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81BA7">
      <w:pPr>
        <w:pStyle w:val="2"/>
        <w:keepNext w:val="0"/>
        <w:keepLines w:val="0"/>
        <w:widowControl/>
        <w:suppressLineNumbers w:val="0"/>
      </w:pPr>
      <w:r>
        <w:t>目前量化系统由两部分构成：PA_Agent 技术分析主程序，以及与它联动的「二阶博弈系统（SecondOrderGame）」。</w:t>
      </w:r>
    </w:p>
    <w:p w14:paraId="7718A160">
      <w:pPr>
        <w:pStyle w:val="2"/>
        <w:keepNext w:val="0"/>
        <w:keepLines w:val="0"/>
        <w:widowControl/>
        <w:suppressLineNumbers w:val="0"/>
      </w:pPr>
      <w:r>
        <w:t>二阶博弈系统当前的功能模块可以概括为：</w:t>
      </w:r>
    </w:p>
    <w:p w14:paraId="503FA0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数据层：富途行情、AkShare 龙虎榜、新闻预取、每日分析缓存、情绪台账、资金流台账、限流与数据源抽象。</w:t>
      </w:r>
    </w:p>
    <w:p w14:paraId="0CF55C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板块/个股标注：板块情绪周期识别（含 v2 影子运行与切换）、个股主力行为事后标注。</w:t>
      </w:r>
    </w:p>
    <w:p w14:paraId="6BF16C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HMM 信念引擎：根据板块情绪周期，持续更新对隐状态的信念，并推导主力/散户行为先验。</w:t>
      </w:r>
    </w:p>
    <w:p w14:paraId="4F341C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博弈信号：纳什均衡带、羊群行为、聪明钱、流动性陷阱、动量/均值回归等程序化观测信号，以及龙虎榜信号。</w:t>
      </w:r>
    </w:p>
    <w:p w14:paraId="5DC38B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概率与风控：开盘区间分布、T+1 首次触及概率、T+1 交易闸门、概率免责声明与先验权重展示。</w:t>
      </w:r>
    </w:p>
    <w:p w14:paraId="1B5100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推演引擎：情绪周期判断、参与者识别、政策环境识别、提示词路由、信念更新、行为预测，以及三情景应对树生成。</w:t>
      </w:r>
    </w:p>
    <w:p w14:paraId="70B103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校准追踪：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构建事后标注器：以前向窗口（T+5）参考标签统计LLM观测偏差、回灌混淆矩阵，形成观测模型的延迟监督自校准闭环</w:t>
      </w:r>
      <w:r>
        <w:t>。</w:t>
      </w:r>
      <w:bookmarkStart w:id="0" w:name="_GoBack"/>
      <w:bookmarkEnd w:id="0"/>
    </w:p>
    <w:p w14:paraId="57A3B9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PA 联动层：读取 PA 的市场/个股分析结果，在 PA 阶段二完成后触发二阶博弈分析，并输出独立的 T+1 闸门。</w:t>
      </w:r>
    </w:p>
    <w:p w14:paraId="07AA9F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参数工作台 GUI：HMM 参数编辑、预览、版本历史和配置会话管理。</w:t>
      </w:r>
    </w:p>
    <w:p w14:paraId="4F478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420" w:firstLineChars="0"/>
      </w:pPr>
      <w:r>
        <w:t>配置与启动校验：HMM 先验、信号、情绪、板块、标注、概率、T+1、龙虎榜、GUI 等配置均由校验器约束。</w:t>
      </w:r>
    </w:p>
    <w:p w14:paraId="64400A43">
      <w:pPr>
        <w:pStyle w:val="2"/>
        <w:keepNext w:val="0"/>
        <w:keepLines w:val="0"/>
        <w:widowControl/>
        <w:suppressLineNumbers w:val="0"/>
      </w:pPr>
      <w:r>
        <w:t>核心分层则是：</w:t>
      </w:r>
    </w:p>
    <w:p w14:paraId="353665F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市场环境 → 板块情绪周期 → 个股参与者行为与T+1应对树</w:t>
      </w:r>
    </w:p>
    <w:p w14:paraId="7139A887">
      <w:pPr>
        <w:pStyle w:val="2"/>
        <w:keepNext w:val="0"/>
        <w:keepLines w:val="0"/>
        <w:widowControl/>
        <w:suppressLineNumbers w:val="0"/>
      </w:pPr>
      <w:r>
        <w:t>其中 PA 负责“技术形态是否成立”，二阶博弈负责“谁在参与、意图可能是什么、下一步应如何应对”。</w:t>
      </w:r>
    </w:p>
    <w:p w14:paraId="23E078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142D8"/>
    <w:multiLevelType w:val="singleLevel"/>
    <w:tmpl w:val="189142D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667F8"/>
    <w:rsid w:val="5A5444BC"/>
    <w:rsid w:val="7831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553</Words>
  <Characters>613</Characters>
  <Lines>0</Lines>
  <Paragraphs>0</Paragraphs>
  <TotalTime>83</TotalTime>
  <ScaleCrop>false</ScaleCrop>
  <LinksUpToDate>false</LinksUpToDate>
  <CharactersWithSpaces>640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2026-08-13T05:55:00Z</dcterms:created>
  <dc:creator>bai</dc:creator>
  <cp:lastModifiedBy>Mr.蔡</cp:lastModifiedBy>
  <dcterms:modified xsi:type="dcterms:W3CDTF">2026-08-23T04:01:21Z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FA948939CC494762BD84996621E87543_12</vt:lpwstr>
  </property>
</Properties>
</file>