
<file path=[Content_Types].xml><?xml version="1.0" encoding="utf-8"?>
<Types xmlns="http://schemas.openxmlformats.org/package/2006/content-types">
  <Default ContentType="image/png" Extension="png"/>
  <Default ContentType="image/png" Extension="tmp"/>
  <Default ContentType="image/jpeg" Extension="jpeg"/>
  <Default ContentType="image/jpeg" Extension="jpg!d"/>
  <Default ContentType="image/jpg" Extension="jpg"/>
  <Default ContentType="image/webp" Extension="webp"/>
  <Default ContentType="image/bmp" Extension="bmp"/>
  <Default ContentType="image/gif" Extension="gif"/>
  <Default ContentType="image/tiff" Extension="tiff"/>
  <Default ContentType="image/x-wmf" Extension="wmf"/>
  <Default ContentType="image/x-wmf" Extension="bin"/>
  <Default ContentType="image/x-emf" Extension="emf"/>
  <Default ContentType="image/aces" Extension="exr"/>
  <Default ContentType="image/x-icon" Extension="ico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
  <Relationship Id="rId1" Type="http://schemas.openxmlformats.org/package/2006/relationships/metadata/core-properties" Target="docProps/core.xml" />
  <Relationship Id="rId2" Type="http://schemas.openxmlformats.org/officeDocument/2006/relationships/extended-properties" Target="docProps/app.xml" />
  <Relationship Id="rId3" Type="http://schemas.openxmlformats.org/officeDocument/2006/relationships/officeDocument" Target="word/document.xml" 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w15="http://schemas.microsoft.com/office/word/2012/wordml" mc:Ignorable="w14 w15 wp14">
  <w:body>
    <w:p>
      <w:pPr>
        <w:pStyle w:val="dingding-heading1"/>
      </w:pPr>
      <w:r>
        <w:rPr>
          <w:sz w:val="48"/>
          <w:b w:val="1"/>
        </w:rPr>
        <w:t xml:space="preserve">6大维度·42个细分变量选择逻辑03</w:t>
      </w:r>
    </w:p>
    <w:p>
      <w:bookmarkStart w:id="mnh533nkqxj9ahuysne" w:name="mnh533nkqxj9ahuysne"/>
      <w:pPr>
        <w:pStyle w:val="dingding-heading1"/>
      </w:pPr>
      <w:r>
        <w:t xml:space="preserve">维度3：功能卖点展示层（核心转化变量，需穷尽功能表达）</w:t>
      </w:r>
      <w:bookmarkEnd w:id="mnh533nkqxj9ahuysne"/>
    </w:p>
    <w:p>
      <w:pPr>
        <w:jc w:val="left"/>
      </w:pPr>
      <w:r>
        <w:rPr>
          <w:b w:val="1"/>
        </w:rPr>
        <w:t xml:space="preserve">选择逻辑</w:t>
      </w:r>
      <w:r>
        <w:t xml:space="preserve">：</w:t>
      </w:r>
    </w:p>
    <w:p>
      <w:pPr>
        <w:jc w:val="left"/>
      </w:pPr>
      <w:r>
        <w:t xml:space="preserve">a：优先核心功能细节与竞品差异化变量（优先突出与同行的核心差异，打造记忆点）；</w:t>
      </w:r>
    </w:p>
    <w:p>
      <w:pPr>
        <w:jc w:val="left"/>
      </w:pPr>
      <w:r>
        <w:t xml:space="preserve">b：次选同材质但是材质有升级（无明显功能差异时，用材质升级强化竞争力）；</w:t>
      </w:r>
    </w:p>
    <w:p>
      <w:pPr>
        <w:jc w:val="left"/>
      </w:pPr>
      <w:r>
        <w:t xml:space="preserve">c：无任何差异化用效果对比（功能、材质均无优势时，用直观对比打动用户）。</w:t>
      </w:r>
    </w:p>
    <w:p>
      <w:pPr>
        <w:jc w:val="left"/>
      </w:pPr>
      <w:r>
        <w:rPr>
          <w:b w:val="1"/>
        </w:rPr>
        <w:t xml:space="preserve">通用匹配原则与方法</w:t>
      </w:r>
      <w:r>
        <w:t xml:space="preserve">：所有变量选择需先排查竞品核心功能（如竞品普遍主打防水，优先选择护眼、防卷边等差异化功能）；若功能无差异，重点突出材质升级点（如同为硅胶，强调“食品级升级款”）；若功能、材质均无差异化，采用前后对比形式，直观呈现使用价值；同时兼顾店铺视觉体系，确保功能展示的视觉风格（如演示图、对比图质感）与店铺整体调性统一，贴合儿童学习桌垫叶子类目的核心人群（宝妈）决策痛点。</w:t>
      </w:r>
    </w:p>
    <w:p>
      <w:bookmarkStart w:id="mnh4pz2r6rx7ain7ku3" w:name="mnh4pz2r6rx7ain7ku3"/>
      <w:pPr>
        <w:pStyle w:val="dingding-heading2"/>
      </w:pPr>
      <w:r>
        <w:t xml:space="preserve">变量类别+细分变量+可选组合+适配场景+匹配原则方法</w:t>
      </w:r>
      <w:bookmarkEnd w:id="mnh4pz2r6rx7ain7ku3"/>
    </w:p>
    <w:tbl>
      <w:tblPr>
        <w:tblStyle w:val="TableGrid"/>
        <w:tblW w:w="0" w:type="auto"/>
      </w:tblPr>
      <w:tblGrid>
        <w:gridCol w:w="1185"/>
        <w:gridCol w:w="1125"/>
        <w:gridCol w:w="1365"/>
        <w:gridCol w:w="1050"/>
        <w:gridCol w:w="6270"/>
      </w:tblGrid>
      <w:tr>
        <w:trPr>
          <w:trHeight w:val="585"/>
        </w:trPr>
        <w:tc>
          <w:tcPr>
            <w:tcW w:w="1185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  <w:shd w:val="clear" w:color="auto" w:fill="F2F3F5"/>
          </w:tcPr>
          <w:p>
            <w:pPr>
              <w:jc w:val="left"/>
            </w:pPr>
            <w:r>
              <w:rPr>
                <w:sz w:val="20"/>
                <w:b w:val="1"/>
                <w:shd w:val="clear" w:color="auto" w:fill="F2F3F5"/>
              </w:rPr>
              <w:t xml:space="preserve">变量类别</w:t>
            </w:r>
          </w:p>
        </w:tc>
        <w:tc>
          <w:tcPr>
            <w:tcW w:w="1125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  <w:shd w:val="clear" w:color="auto" w:fill="F2F3F5"/>
          </w:tcPr>
          <w:p>
            <w:pPr>
              <w:jc w:val="left"/>
            </w:pPr>
            <w:r>
              <w:rPr>
                <w:sz w:val="20"/>
                <w:b w:val="1"/>
                <w:shd w:val="clear" w:color="auto" w:fill="F2F3F5"/>
              </w:rPr>
              <w:t xml:space="preserve">细分变量</w:t>
            </w:r>
          </w:p>
        </w:tc>
        <w:tc>
          <w:tcPr>
            <w:tcW w:w="1365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  <w:shd w:val="clear" w:color="auto" w:fill="F2F3F5"/>
          </w:tcPr>
          <w:p>
            <w:pPr>
              <w:jc w:val="left"/>
            </w:pPr>
            <w:r>
              <w:rPr>
                <w:sz w:val="20"/>
                <w:b w:val="1"/>
                <w:shd w:val="clear" w:color="auto" w:fill="F2F3F5"/>
              </w:rPr>
              <w:t xml:space="preserve">可选组合（参考选择逻辑）</w:t>
            </w:r>
          </w:p>
        </w:tc>
        <w:tc>
          <w:tcPr>
            <w:tcW w:w="105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  <w:shd w:val="clear" w:color="auto" w:fill="F2F3F5"/>
          </w:tcPr>
          <w:p>
            <w:pPr>
              <w:jc w:val="left"/>
            </w:pPr>
            <w:r>
              <w:rPr>
                <w:sz w:val="20"/>
                <w:b w:val="1"/>
                <w:shd w:val="clear" w:color="auto" w:fill="F2F3F5"/>
              </w:rPr>
              <w:t xml:space="preserve">适配场景</w:t>
            </w:r>
          </w:p>
        </w:tc>
        <w:tc>
          <w:tcPr>
            <w:tcW w:w="627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  <w:shd w:val="clear" w:color="auto" w:fill="F2F3F5"/>
          </w:tcPr>
          <w:p>
            <w:pPr>
              <w:jc w:val="left"/>
            </w:pPr>
            <w:r>
              <w:rPr>
                <w:sz w:val="20"/>
                <w:b w:val="1"/>
                <w:shd w:val="clear" w:color="auto" w:fill="F2F3F5"/>
              </w:rPr>
              <w:t xml:space="preserve">匹配原则与方法（严格对应a+b+c选择逻辑）</w:t>
            </w:r>
          </w:p>
        </w:tc>
      </w:tr>
      <w:tr>
        <w:trPr>
          <w:trHeight w:val="585"/>
        </w:trPr>
        <w:tc>
          <w:tcPr>
            <w:tcW w:w="1185" w:type="dxa"/>
            <w:vMerge w:val="restart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left"/>
            </w:pPr>
            <w:r>
              <w:rPr>
                <w:sz w:val="20"/>
              </w:rPr>
              <w:t xml:space="preserve">材质表达</w:t>
            </w:r>
          </w:p>
        </w:tc>
        <w:tc>
          <w:tcPr>
            <w:tcW w:w="1125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left"/>
            </w:pPr>
            <w:r>
              <w:rPr>
                <w:sz w:val="20"/>
              </w:rPr>
              <w:t xml:space="preserve">核心材质</w:t>
            </w:r>
          </w:p>
        </w:tc>
        <w:tc>
          <w:tcPr>
            <w:tcW w:w="1365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left"/>
            </w:pPr>
            <w:r>
              <w:rPr>
                <w:sz w:val="20"/>
              </w:rPr>
              <w:t xml:space="preserve">食品级硅胶/TPU/皮革纹/亚麻纹</w:t>
            </w:r>
          </w:p>
        </w:tc>
        <w:tc>
          <w:tcPr>
            <w:tcW w:w="105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left"/>
            </w:pPr>
            <w:r>
              <w:rPr>
                <w:sz w:val="20"/>
              </w:rPr>
              <w:t xml:space="preserve">主打安全、环保卖点</w:t>
            </w:r>
          </w:p>
        </w:tc>
        <w:tc>
          <w:tcPr>
            <w:tcW w:w="627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left"/>
            </w:pPr>
            <w:r>
              <w:rPr>
                <w:sz w:val="20"/>
              </w:rPr>
              <w:t xml:space="preserve">1. 优先按逻辑a：排查竞品核心材质，若竞品多为普通硅胶/TPU，优先选择“食品级硅胶”“亚麻纹”（差异化材质），突出“安全无异味”，贴合宝妈核心痛点；2. 若竞品也主打食品级硅胶（无功能差异），按逻辑b：强调材质升级（如“食品级硅胶升级款，更柔软、无异味更彻底，添加抗黄变成分，长期使用不发黄”）；3. 若材质与竞品完全一致（无差异化），搭配逻辑c：结合效果对比（如材质耐脏、耐磨对比，展示我方材质使用后无明显痕迹，竞品材质易磨损），强化价值；4. 匹配店铺视觉：中高端店铺优先展示食品级硅胶/亚麻纹，拍摄时突出材质原生纹理，无过度修图；性价比店铺可展示TPU/皮革纹，重点突出耐磨、易清洁的视觉呈现，材质纹理展示风格与店铺详情页保持统一；同时贴合叶子类目，可在材质展示旁搭配小型绿植道具，强化类目关联。</w:t>
            </w:r>
          </w:p>
        </w:tc>
      </w:tr>
      <w:tr>
        <w:trPr>
          <w:trHeight w:val="585"/>
        </w:trPr>
        <w:tc>
          <w:tcPr>
            <w:vMerge w:val="continue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  <w:tc>
          <w:tcPr>
            <w:tcW w:w="1125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left"/>
            </w:pPr>
            <w:r>
              <w:rPr>
                <w:sz w:val="20"/>
              </w:rPr>
              <w:t xml:space="preserve">材质对比</w:t>
            </w:r>
          </w:p>
        </w:tc>
        <w:tc>
          <w:tcPr>
            <w:tcW w:w="1365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left"/>
            </w:pPr>
            <w:r>
              <w:rPr>
                <w:sz w:val="20"/>
              </w:rPr>
              <w:t xml:space="preserve">普通PVC vs 食品级硅胶（材质差异图）、普通硅胶 vs 升级款食品级硅胶、TPU vs 亚麻纹</w:t>
            </w:r>
          </w:p>
        </w:tc>
        <w:tc>
          <w:tcPr>
            <w:tcW w:w="105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left"/>
            </w:pPr>
            <w:r>
              <w:rPr>
                <w:sz w:val="20"/>
              </w:rPr>
              <w:t xml:space="preserve">突出产品优势，建立信任，适配不同客群需求</w:t>
            </w:r>
          </w:p>
        </w:tc>
        <w:tc>
          <w:tcPr>
            <w:tcW w:w="627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left"/>
            </w:pPr>
            <w:r>
              <w:rPr>
                <w:sz w:val="20"/>
              </w:rPr>
              <w:t xml:space="preserve">1. 优先按逻辑a：若竞品普遍使用普通PVC，此对比为核心差异化变量，重点展示“无异味、安全”差异（如PVC有刺鼻气味vs硅胶无异味，PVC易老化发黄vs硅胶长期如新），直击宝妈安全焦虑；若竞品主打普通硅胶，可对比“普通硅胶 vs 升级款食品级硅胶”，突出升级点；若竞品材质多样，可对比“TPU vs 亚麻纹”，差异化适配不同需求（TPU侧重防水耐磨，亚麻纹侧重透气护眼）；2. 若竞品已使用食品级硅胶（无材质差异），按逻辑b：调整对比维度（如“普通食品级硅胶 vs 升级款食品级硅胶”，突出柔软度、耐用性、抗黄变升级，可搭配触感演示图）；3. 若无任何材质差异，此变量可搭配逻辑c：结合效果对比（如材质防水、耐磨、耐脏对比，直观展示我方材质使用效果优于同类），让差异更直观；4. 匹配店铺视觉：对比图需清晰简洁，分栏对比（左竞品、右我方），色彩、修图风格与店铺一致，避免杂乱；用醒目标识（如绿色对勾标注我方材质，灰色叉号标注竞品材质）突出我方优势，同时可添加简短对比文案（如“无异味vs刺鼻味”），提升可读性；贴合叶子类目，对比背景可选用浅色系森系纹理，弱化突兀感。</w:t>
            </w:r>
          </w:p>
        </w:tc>
      </w:tr>
      <w:tr>
        <w:trPr>
          <w:trHeight w:val="585"/>
        </w:trPr>
        <w:tc>
          <w:tcPr>
            <w:tcW w:w="1185" w:type="dxa"/>
            <w:vMerge w:val="restart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left"/>
            </w:pPr>
            <w:r>
              <w:rPr>
                <w:sz w:val="20"/>
              </w:rPr>
              <w:t xml:space="preserve">功能细节</w:t>
            </w:r>
          </w:p>
        </w:tc>
        <w:tc>
          <w:tcPr>
            <w:tcW w:w="1125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left"/>
            </w:pPr>
            <w:r>
              <w:rPr>
                <w:sz w:val="20"/>
              </w:rPr>
              <w:t xml:space="preserve">护眼设计</w:t>
            </w:r>
          </w:p>
        </w:tc>
        <w:tc>
          <w:tcPr>
            <w:tcW w:w="1365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left"/>
            </w:pPr>
            <w:r>
              <w:rPr>
                <w:sz w:val="20"/>
              </w:rPr>
              <w:t xml:space="preserve">柔光纹理/防反光涂层/护眼弧度</w:t>
            </w:r>
          </w:p>
        </w:tc>
        <w:tc>
          <w:tcPr>
            <w:tcW w:w="105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left"/>
            </w:pPr>
            <w:r>
              <w:rPr>
                <w:sz w:val="20"/>
              </w:rPr>
              <w:t xml:space="preserve">主打防近视、护眼卖点</w:t>
            </w:r>
          </w:p>
        </w:tc>
        <w:tc>
          <w:tcPr>
            <w:tcW w:w="627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left"/>
            </w:pPr>
            <w:r>
              <w:rPr>
                <w:sz w:val="20"/>
              </w:rPr>
              <w:t xml:space="preserve">1. 优先按逻辑a：排查竞品护眼功能，若竞品无护眼设计或仅单一护眼功能，优先选择“防反光涂层+柔光纹理”（差异化组合），突出与竞品的核心差异；若竞品有同类护眼功能，重点突出细节差异（如“护眼弧度更贴合儿童坐姿”）；2. 若护眼功能无差异化，按逻辑b：关联材质升级（如“柔光纹理+食品级硅胶升级款，护眼同时更安全”）；3. 若功能、材质均无差异，按逻辑c：搭配坐姿对比，直观展示护眼效果；4. 匹配店铺视觉：护眼功能展示需用明亮通透光，纹理细节清晰，贴合店铺护眼、清新的视觉调性，避免过于花哨。</w:t>
            </w:r>
          </w:p>
        </w:tc>
      </w:tr>
      <w:tr>
        <w:trPr>
          <w:trHeight w:val="585"/>
        </w:trPr>
        <w:tc>
          <w:tcPr>
            <w:vMerge w:val="continue"/>
            <w:tcBorders>
              <w:right w:val="single" w:sz="6" w:space="0" w:color="DEE0E3"/>
            </w:tcBorders>
          </w:tcPr>
          <w:p>
            <w:pPr/>
            <w:r/>
          </w:p>
        </w:tc>
        <w:tc>
          <w:tcPr>
            <w:tcW w:w="1125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left"/>
            </w:pPr>
            <w:r>
              <w:rPr>
                <w:sz w:val="20"/>
              </w:rPr>
              <w:t xml:space="preserve">实用功能</w:t>
            </w:r>
          </w:p>
        </w:tc>
        <w:tc>
          <w:tcPr>
            <w:tcW w:w="1365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left"/>
            </w:pPr>
            <w:r>
              <w:rPr>
                <w:sz w:val="20"/>
              </w:rPr>
              <w:t xml:space="preserve">防水防油（咖啡/果汁滴落）、防烫（100℃热水）、耐磨（钥匙划擦）、防卷边（一体成型）</w:t>
            </w:r>
          </w:p>
        </w:tc>
        <w:tc>
          <w:tcPr>
            <w:tcW w:w="105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left"/>
            </w:pPr>
            <w:r>
              <w:rPr>
                <w:sz w:val="20"/>
              </w:rPr>
              <w:t xml:space="preserve">逐一展示核心功能，解决痛点</w:t>
            </w:r>
          </w:p>
        </w:tc>
        <w:tc>
          <w:tcPr>
            <w:tcW w:w="627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left"/>
            </w:pPr>
            <w:r>
              <w:rPr>
                <w:sz w:val="20"/>
              </w:rPr>
              <w:t xml:space="preserve">1. 优先按逻辑a：筛选竞品未重点展示的功能作为差异化变量（如竞品主打防水，优先展示防卷边、防烫）；若竞品均有这些功能，重点突出功能细节差异（如“一体成型防卷边，比拼接款更耐用”“100℃防烫，比普通款耐高温”）；2. 若功能无差异化，按逻辑b：关联材质升级（如“防水防油+升级TPU材质，一擦即净更省心”）；3. 若功能、材质均无差异，按逻辑c：搭配前后对比（如防水前后、耐磨前后），让功能效果更直观；4. 匹配店铺视觉：功能演示图需真实清晰，动作统一（如水滴滴落角度、钥匙划擦力度），与店铺实用、品质的视觉定位一致。</w:t>
            </w:r>
          </w:p>
        </w:tc>
      </w:tr>
      <w:tr>
        <w:trPr>
          <w:trHeight w:val="585"/>
        </w:trPr>
        <w:tc>
          <w:tcPr>
            <w:vMerge w:val="continue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  <w:tc>
          <w:tcPr>
            <w:tcW w:w="1125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left"/>
            </w:pPr>
            <w:r>
              <w:rPr>
                <w:sz w:val="20"/>
              </w:rPr>
              <w:t xml:space="preserve">附加功能</w:t>
            </w:r>
          </w:p>
        </w:tc>
        <w:tc>
          <w:tcPr>
            <w:tcW w:w="1365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left"/>
            </w:pPr>
            <w:r>
              <w:rPr>
                <w:sz w:val="20"/>
              </w:rPr>
              <w:t xml:space="preserve">可折叠（便携）、可裁剪（适配异形桌）、带笔槽/收纳袋</w:t>
            </w:r>
          </w:p>
        </w:tc>
        <w:tc>
          <w:tcPr>
            <w:tcW w:w="105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left"/>
            </w:pPr>
            <w:r>
              <w:rPr>
                <w:sz w:val="20"/>
              </w:rPr>
              <w:t xml:space="preserve">差异化卖点，提升竞争力</w:t>
            </w:r>
          </w:p>
        </w:tc>
        <w:tc>
          <w:tcPr>
            <w:tcW w:w="627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left"/>
            </w:pPr>
            <w:r>
              <w:rPr>
                <w:sz w:val="20"/>
              </w:rPr>
              <w:t xml:space="preserve">1. 优先按逻辑a：此类功能为核心差异化变量，优先选择竞品未涉及的附加功能（如竞品无笔槽，优先展示带笔槽；竞品不可裁剪，优先展示可裁剪），打造独特优势；2. 若竞品也有同类附加功能，按逻辑b：突出功能升级（如“可折叠升级款，折叠后更小巧，便于携带”）；3. 若附加功能无差异化，按逻辑c：搭配使用场景对比（如可裁剪适配不同书桌，展示适配前后效果）；4. 匹配店铺视觉：附加功能展示需简洁，突出实用性，与店铺整体风格统一（如简约店铺避免笔槽/收纳袋设计过于花哨）。</w:t>
            </w:r>
          </w:p>
        </w:tc>
      </w:tr>
      <w:tr>
        <w:trPr>
          <w:trHeight w:val="585"/>
        </w:trPr>
        <w:tc>
          <w:tcPr>
            <w:tcW w:w="1185" w:type="dxa"/>
            <w:vMerge w:val="restart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left"/>
            </w:pPr>
            <w:r>
              <w:rPr>
                <w:sz w:val="20"/>
              </w:rPr>
              <w:t xml:space="preserve">效果对比</w:t>
            </w:r>
          </w:p>
        </w:tc>
        <w:tc>
          <w:tcPr>
            <w:tcW w:w="1125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left"/>
            </w:pPr>
            <w:r>
              <w:rPr>
                <w:sz w:val="20"/>
              </w:rPr>
              <w:t xml:space="preserve">前后对比</w:t>
            </w:r>
          </w:p>
        </w:tc>
        <w:tc>
          <w:tcPr>
            <w:tcW w:w="1365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left"/>
            </w:pPr>
            <w:r>
              <w:rPr>
                <w:sz w:val="20"/>
              </w:rPr>
              <w:t xml:space="preserve">脏桌垫 vs 清洁后桌垫（防水防脏效果）</w:t>
            </w:r>
          </w:p>
        </w:tc>
        <w:tc>
          <w:tcPr>
            <w:tcW w:w="105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left"/>
            </w:pPr>
            <w:r>
              <w:rPr>
                <w:sz w:val="20"/>
              </w:rPr>
              <w:t xml:space="preserve">直观展示耐脏特性</w:t>
            </w:r>
          </w:p>
        </w:tc>
        <w:tc>
          <w:tcPr>
            <w:tcW w:w="627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left"/>
            </w:pPr>
            <w:r>
              <w:rPr>
                <w:sz w:val="20"/>
              </w:rPr>
              <w:t xml:space="preserve">1. 优先按逻辑c：此变量为无功能、材质差异化时的核心选择，重点突出“清洁便捷”的效果，直击宝妈“怕脏、难打理”的痛点；2. 若有功能/材质差异化（如升级防水材质），按逻辑a+b：将对比与差异化结合（如“升级防水材质，脏了一擦即净，对比普通材质难清洁”）；3. 匹配店铺视觉：对比图需左右对称，清洁前后的画质、光线统一，突出清洁后的干净整洁，避免对比过于夸张；4. 适配人群：重点贴合低龄儿童宝妈（低龄儿童易弄脏桌垫，清洁便捷为强需求）。</w:t>
            </w:r>
          </w:p>
        </w:tc>
      </w:tr>
      <w:tr>
        <w:trPr>
          <w:trHeight w:val="585"/>
        </w:trPr>
        <w:tc>
          <w:tcPr>
            <w:vMerge w:val="continue"/>
            <w:tcBorders>
              <w:right w:val="single" w:sz="6" w:space="0" w:color="DEE0E3"/>
            </w:tcBorders>
          </w:tcPr>
          <w:p>
            <w:pPr/>
            <w:r/>
          </w:p>
        </w:tc>
        <w:tc>
          <w:tcPr>
            <w:tcW w:w="1125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left"/>
            </w:pPr>
            <w:r>
              <w:rPr>
                <w:sz w:val="20"/>
              </w:rPr>
              <w:t xml:space="preserve">坐姿对比</w:t>
            </w:r>
          </w:p>
        </w:tc>
        <w:tc>
          <w:tcPr>
            <w:tcW w:w="1365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left"/>
            </w:pPr>
            <w:r>
              <w:rPr>
                <w:sz w:val="20"/>
              </w:rPr>
              <w:t xml:space="preserve">孩子使用桌垫坐姿（端正） vs 不使用坐姿（弯腰）</w:t>
            </w:r>
          </w:p>
        </w:tc>
        <w:tc>
          <w:tcPr>
            <w:tcW w:w="105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left"/>
            </w:pPr>
            <w:r>
              <w:rPr>
                <w:sz w:val="20"/>
              </w:rPr>
              <w:t xml:space="preserve">突出护眼、护脊卖点</w:t>
            </w:r>
          </w:p>
        </w:tc>
        <w:tc>
          <w:tcPr>
            <w:tcW w:w="627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left"/>
            </w:pPr>
            <w:r>
              <w:rPr>
                <w:sz w:val="20"/>
              </w:rPr>
              <w:t xml:space="preserve">1. 优先按逻辑c：无护眼功能差异化时，用此对比直观展示护眼、护脊价值，打动注重孩子体态的宝妈；2. 若有护眼功能差异化（如护眼弧度），按逻辑a+b：将对比与功能结合（如“护眼弧度桌垫，助力孩子端正坐姿，对比无弧度桌垫弯腰驼背”）；3. 匹配店铺视觉：对比图中孩子姿态自然，坐姿差异清晰，光线柔和，贴合店铺温馨、护眼的视觉调性，避免过度夸张；4. 适配人群：全年龄段宝妈通用，尤其贴合学龄儿童宝妈（关注孩子坐姿、视力健康）。</w:t>
            </w:r>
          </w:p>
        </w:tc>
      </w:tr>
    </w:tbl>
    <w:sectPr>
      <w:pgSz w:w="13380" w:h="16905"/>
      <w:pgMar w:top="720" w:right="1080" w:bottom="720" w:left="1080" w:header="850.95" w:footer="991.95" w:gutter="0"/>
      <w:type w:val="nextPage"/>
    </w:sectPr>
  </w:body>
</w:document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se="http://schemas.microsoft.com/office/word/2015/wordml/symex" xmlns:sl="http://schemas.openxmlformats.org/schemaLibrary/2006/main" mc:Ignorable="w14 w15 w16se w16cid">
  <w:displayBackgroundShape/>
  <w:bordersDoNotSurroundFooter/>
  <w:bordersDoNotSurroundHead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rFonts w:asciiTheme="minorHAnsi" w:hAnsiTheme="minorHAnsi" w:cstheme="minorBidi" w:eastAsiaTheme="minorEastAsia"/>
        <w:kern w:val="2"/>
      </w:rPr>
    </w:rPrDefault>
    <w:pPrDefault/>
  </w:docDefaults>
  <w:style w:type="table" w:default="0" w:styleId="TableGrid">
    <w:name w:val="Table Grid"/>
    <w:basedOn w:val="Normal Table"/>
    <w:tblPr>
      <w:tblBorders>
        <w:left w:val="single" w:sz="6" w:space="0" w:color="000000"/>
        <w:right w:val="single" w:sz="6" w:space="0" w:color="000000"/>
        <w:top w:val="single" w:sz="6" w:space="0" w:color="000000"/>
        <w:bottom w:val="single" w:sz="6" w:space="0" w:color="000000"/>
        <w:insideH w:val="single" w:sz="6" w:space="0" w:color="000000"/>
        <w:insideV w:val="single" w:sz="6" w:space="0" w:color="000000"/>
      </w:tblBorders>
      <w:tblW w:w="0" w:type="auto"/>
    </w:tblPr>
    <w:tcPr/>
  </w:style>
  <w:style w:type="paragraph" w:default="0" w:styleId="dingding-heading1">
    <w:name w:val="heading 1"/>
    <w:basedOn w:val="NormalParagraph"/>
    <w:tcPr/>
    <w:pPr>
      <w:keepLines w:val="1"/>
      <w:keepNext w:val="1"/>
      <w:spacing w:before="348" w:after="210" w:lineRule="auto"/>
    </w:pPr>
    <w:rPr>
      <w:sz w:val="34"/>
      <w:b w:val="1"/>
    </w:rPr>
  </w:style>
  <w:style w:type="paragraph" w:default="0" w:styleId="dingding-heading2">
    <w:name w:val="heading 2"/>
    <w:basedOn w:val="NormalParagraph"/>
    <w:tcPr/>
    <w:pPr>
      <w:keepLines w:val="1"/>
      <w:keepNext w:val="1"/>
      <w:spacing w:before="348" w:after="190" w:lineRule="auto"/>
    </w:pPr>
    <w:rPr>
      <w:sz w:val="28"/>
      <w:b w:val="1"/>
    </w:rPr>
  </w:style>
  <w:style w:type="paragraph" w:default="1" w:styleId="docDefaults">
    <w:name w:val="dingdocnormal"/>
    <w:tcPr/>
    <w:pPr>
      <w:spacing/>
    </w:pPr>
    <w:rPr>
      <w:sz w:val="24"/>
    </w:rPr>
  </w:style>
</w:styles>
</file>

<file path=word/_rels/document.xml.rels><?xml version="1.0" encoding="UTF-8"?>
<Relationships xmlns="http://schemas.openxmlformats.org/package/2006/relationships">
  <Relationship Id="rId1" Type="http://schemas.openxmlformats.org/officeDocument/2006/relationships/styles" Target="styles.xml" />
  <Relationship Id="rId2" Type="http://schemas.openxmlformats.org/officeDocument/2006/relationships/settings" Target="settings.xml" />
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DingTalk</dc:creator>
  <cp:lastModifiedBy>DingTalk</cp:lastModifiedBy>
  <dcterms:modified xsi:type="dcterms:W3CDTF">1970-01-01T00:00:00Z</dcterms:modified>
  <cp:revision>1</cp:revision>
  <dc:description>DingTalk Document</dc:description>
  <dc:language>ZN_CH</dc:language>
</cp:coreProperties>
</file>