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Computing Overview</w:t>
      </w:r>
    </w:p>
    <w:p>
      <w:r>
        <w:t>Cloud computing provides on-demand computing resources over the internet with pay-as-you-go pricing.</w:t>
      </w:r>
    </w:p>
    <w:p>
      <w:pPr>
        <w:pStyle w:val="Heading1"/>
      </w:pPr>
      <w:r>
        <w:t>Key Points</w:t>
      </w:r>
    </w:p>
    <w:p>
      <w:r>
        <w:t>1. IaaS: Infrastructure as a Service.</w:t>
        <w:br/>
        <w:t>2. PaaS: Platform as a Service.</w:t>
        <w:br/>
        <w:t>3. SaaS: Software as a Service.</w:t>
        <w:br/>
      </w:r>
    </w:p>
    <w:p>
      <w:pPr>
        <w:pStyle w:val="Heading1"/>
      </w:pPr>
      <w:r>
        <w:t>Example Code</w:t>
      </w:r>
    </w:p>
    <w:p>
      <w:r>
        <w:t>services = ['IaaS', 'PaaS', 'SaaS']</w:t>
        <w:br/>
        <w:t>for s in services:</w:t>
        <w:br/>
        <w:t xml:space="preserve">    print('Service:', s)</w:t>
      </w:r>
    </w:p>
    <w:p>
      <w:r>
        <w:t>Illustration:</w:t>
      </w:r>
    </w:p>
    <w:p>
      <w:r>
        <w:drawing>
          <wp:inline xmlns:a="http://schemas.openxmlformats.org/drawingml/2006/main" xmlns:pic="http://schemas.openxmlformats.org/drawingml/2006/picture">
            <wp:extent cx="27432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_ser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Cloud computing powers scalability and cost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