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Official Test Document — Word to PDF Conversion</w:t>
      </w:r>
    </w:p>
    <w:p>
      <w:r>
        <w:rPr>
          <w:sz w:val="22"/>
          <w:szCs w:val="22"/>
        </w:rPr>
        <w:t xml:space="preserve">This document tests table formatting, bold/italic fonts, and paragraph fidelity.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Header Col 1</w:t>
            </w:r>
          </w:p>
        </w:tc>
        <w:tc>
          <w:p>
            <w:r>
              <w:rPr>
                <w:b/>
                <w:bCs/>
              </w:rPr>
              <w:t xml:space="preserve">Header Col 2</w:t>
            </w:r>
          </w:p>
        </w:tc>
      </w:tr>
      <w:tr>
        <w:tc>
          <w:p>
            <w:r>
              <w:t xml:space="preserve">Data Alpha 100</w:t>
            </w:r>
          </w:p>
        </w:tc>
        <w:tc>
          <w:p>
            <w:r>
              <w:t xml:space="preserve">Data Beta 200</w:t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2026-10-06T22:29:37.752Z</dcterms:created>
  <dcterms:modified xsi:type="dcterms:W3CDTF">2026-10-06T22:29:37.753Z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