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Style w:val="a6"/>
          <w:rFonts w:ascii="仿宋_GB2312" w:eastAsia="仿宋_GB2312" w:hAnsi="华文细黑" w:hint="eastAsia"/>
          <w:color w:val="333333"/>
        </w:rPr>
        <w:t>问题一：用“按规定办”塞责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有乡镇干部反映，工作中遇到难事急事，请示相关部门怎么办，有时得到的答复是“按规定办”。然而，按什么规定办、如何办却不肯多讲，让基层无所适从。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Style w:val="a6"/>
          <w:rFonts w:ascii="仿宋_GB2312" w:eastAsia="仿宋_GB2312" w:hAnsi="华文细黑" w:hint="eastAsia"/>
          <w:color w:val="333333"/>
        </w:rPr>
        <w:t>基层请示上级机关，往往是遇到了难题。若知道按规定如何办，怎么会请示？</w:t>
      </w:r>
      <w:r w:rsidRPr="00DC603B">
        <w:rPr>
          <w:rFonts w:ascii="仿宋_GB2312" w:eastAsia="仿宋_GB2312" w:hAnsi="华文细黑" w:hint="eastAsia"/>
          <w:color w:val="2F2F2F"/>
        </w:rPr>
        <w:t>作为熟练掌握政策甚至是制定政策的机关干部，理应耐心细致做好服务工作，认真解答基层的问题。</w:t>
      </w:r>
      <w:r w:rsidRPr="00DC603B">
        <w:rPr>
          <w:rStyle w:val="a6"/>
          <w:rFonts w:ascii="仿宋_GB2312" w:eastAsia="仿宋_GB2312" w:hAnsi="华文细黑" w:hint="eastAsia"/>
          <w:color w:val="333333"/>
        </w:rPr>
        <w:t>个别机关工作人员一句“按规定办”，看似公事公办，</w:t>
      </w:r>
      <w:r w:rsidRPr="00DC603B">
        <w:rPr>
          <w:rStyle w:val="a6"/>
          <w:rFonts w:ascii="华文细黑" w:eastAsia="仿宋_GB2312" w:hAnsi="华文细黑" w:hint="eastAsia"/>
          <w:color w:val="333333"/>
        </w:rPr>
        <w:t> </w:t>
      </w:r>
      <w:r w:rsidRPr="00DC603B">
        <w:rPr>
          <w:rStyle w:val="a6"/>
          <w:rFonts w:ascii="仿宋_GB2312" w:eastAsia="仿宋_GB2312" w:hAnsi="华文细黑" w:hint="eastAsia"/>
          <w:color w:val="333333"/>
        </w:rPr>
        <w:t>其实是不担当不作为，很容易挫伤基层干部工作积极性。</w:t>
      </w:r>
      <w:r w:rsidRPr="00DC603B">
        <w:rPr>
          <w:rFonts w:ascii="仿宋_GB2312" w:eastAsia="仿宋_GB2312" w:hAnsi="华文细黑" w:hint="eastAsia"/>
          <w:color w:val="2F2F2F"/>
        </w:rPr>
        <w:t>况且，乡镇基层干部遇到的问题，大都和老百姓生产生活有直接关系，一旦解决不好，就有可能由小问题拖成大问题。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产生这种现象的根源，有的是业务不熟，自己也不知道该怎么办；有的是怕出问题担责任，干脆用“按规定办”一推了之；有的是作风不实，缺乏为民服务意识。上级部门应该把服务基层与服务群众统一起来，服务好指导好基层。对有具体规定的，要有理有据耐心指导，让基层干部有章可循；没有明确规定的，要积极帮基层出主意想办法。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7F7F7F"/>
        </w:rPr>
        <w:t>山西阳泉市</w:t>
      </w:r>
      <w:r w:rsidRPr="00DC603B">
        <w:rPr>
          <w:rFonts w:ascii="华文细黑" w:eastAsia="仿宋_GB2312" w:hAnsi="华文细黑" w:hint="eastAsia"/>
          <w:color w:val="7F7F7F"/>
        </w:rPr>
        <w:t>   </w:t>
      </w:r>
      <w:r w:rsidRPr="00DC603B">
        <w:rPr>
          <w:rFonts w:ascii="仿宋_GB2312" w:eastAsia="仿宋_GB2312" w:hAnsi="华文细黑" w:hint="eastAsia"/>
          <w:color w:val="7F7F7F"/>
        </w:rPr>
        <w:t>高军琴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Style w:val="a6"/>
          <w:rFonts w:ascii="仿宋_GB2312" w:eastAsia="仿宋_GB2312" w:hAnsi="华文细黑" w:hint="eastAsia"/>
          <w:color w:val="333333"/>
        </w:rPr>
        <w:t>问题二：考核指标不合理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完成一项工作，评价成效如何，考核指标的完成情况占很大比重甚至“一票否决”。为此，基层就要尽可能做好收集统计、台账准备等工作。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有的指标已经形成了科学合理的监测体系，不用基层动太多脑筋；但有的指标设计不够科学合理，让基层统计起来费时又费力，最后还难以达标。这实际上也是一种形式主义的表现。比如，衡量农膜回收工作的成效，往往采用农膜回收率这个指标，计算方法是农膜回收量除以农膜使用量。听起来好像没什么问题，但事实上对于农用地膜而言，无论是回收量，还是使用量，都很难准确统计。从回收量来看，地膜在农田使用过程中、在捡拾过程中本身就会有损耗，而且会附着水分、泥土等杂质，两方面都会使重量失真。从使用量来看，地膜生产、销售渠道较为广泛，农资公司、个体商贩、电子商务等方面不一而足，难以准确统计。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一个看似简单的指标，如果设计不合理，基层工作人员就得耗费更多工夫。因此，</w:t>
      </w:r>
      <w:r w:rsidRPr="00DC603B">
        <w:rPr>
          <w:rStyle w:val="a6"/>
          <w:rFonts w:ascii="仿宋_GB2312" w:eastAsia="仿宋_GB2312" w:hAnsi="华文细黑" w:hint="eastAsia"/>
          <w:color w:val="333333"/>
        </w:rPr>
        <w:t>制定指标不能想当然，还得多听听基层的意见，看看实践的效果</w:t>
      </w:r>
      <w:r w:rsidRPr="00DC603B">
        <w:rPr>
          <w:rFonts w:ascii="仿宋_GB2312" w:eastAsia="仿宋_GB2312" w:hAnsi="华文细黑" w:hint="eastAsia"/>
          <w:color w:val="2F2F2F"/>
        </w:rPr>
        <w:t>，不断健全完善，提高可操作性。</w:t>
      </w:r>
      <w:r w:rsidRPr="00DC603B">
        <w:rPr>
          <w:rFonts w:ascii="华文细黑" w:eastAsia="仿宋_GB2312" w:hAnsi="华文细黑" w:hint="eastAsia"/>
          <w:color w:val="2F2F2F"/>
        </w:rPr>
        <w:t>       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7F7F7F"/>
        </w:rPr>
        <w:lastRenderedPageBreak/>
        <w:t>江苏苏州市</w:t>
      </w:r>
      <w:r w:rsidRPr="00DC603B">
        <w:rPr>
          <w:rFonts w:ascii="华文细黑" w:eastAsia="仿宋_GB2312" w:hAnsi="华文细黑" w:hint="eastAsia"/>
          <w:color w:val="7F7F7F"/>
        </w:rPr>
        <w:t>   </w:t>
      </w:r>
      <w:r w:rsidRPr="00DC603B">
        <w:rPr>
          <w:rFonts w:ascii="仿宋_GB2312" w:eastAsia="仿宋_GB2312" w:hAnsi="华文细黑" w:hint="eastAsia"/>
          <w:color w:val="7F7F7F"/>
        </w:rPr>
        <w:t>王冠楠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Style w:val="a6"/>
          <w:rFonts w:ascii="仿宋_GB2312" w:eastAsia="仿宋_GB2312" w:hAnsi="华文细黑" w:hint="eastAsia"/>
          <w:color w:val="333333"/>
        </w:rPr>
        <w:t>问题三：事事过度留痕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笔者在街道工作了将近7年，前段时间还在为整理残疾人辅助器具发放资料犯愁。每发放一套残疾人辅助器具，需要基层社区、街道残联部门提供残疾人身份证、户口本、残疾证、低保证共4个证件复印件并加盖社区公章；需要填写调查表、申请表、发放表等3套表格，残疾人、社区、街道三方签字，加盖社区、街道相关部门公章；还需要拍摄领取器具时的正面照作为发放证据，有人不愿露正脸的则要求社区写情况说明盖章，好不折腾。有人听说这么麻烦，当即改变主意不想要了。这一下不打紧，上级部门又要求基层街道社区“不得退回，前期都摸过底确定的，现在退回要追责”。基层街道、社区干部夹在中间左右为难。</w:t>
      </w:r>
    </w:p>
    <w:p w:rsidR="00DC603B" w:rsidRPr="00DC603B" w:rsidRDefault="00DC603B" w:rsidP="00DC603B">
      <w:pPr>
        <w:pStyle w:val="a5"/>
        <w:shd w:val="clear" w:color="auto" w:fill="FFFFFF"/>
        <w:spacing w:before="0" w:beforeAutospacing="0" w:after="375" w:afterAutospacing="0"/>
        <w:ind w:firstLine="480"/>
        <w:jc w:val="both"/>
        <w:rPr>
          <w:rFonts w:ascii="仿宋_GB2312" w:eastAsia="仿宋_GB2312" w:hAnsi="华文细黑" w:hint="eastAsia"/>
          <w:color w:val="2F2F2F"/>
        </w:rPr>
      </w:pPr>
      <w:r w:rsidRPr="00DC603B">
        <w:rPr>
          <w:rFonts w:ascii="仿宋_GB2312" w:eastAsia="仿宋_GB2312" w:hAnsi="华文细黑" w:hint="eastAsia"/>
          <w:color w:val="2F2F2F"/>
        </w:rPr>
        <w:t>就这样，本应是为群众提供生活便利的暖心事，却很麻烦。从表面上看，这是过度留痕惹的祸；深挖一层，实则是形式主义、官僚主义作祟。</w:t>
      </w:r>
      <w:r w:rsidRPr="00DC603B">
        <w:rPr>
          <w:rStyle w:val="a6"/>
          <w:rFonts w:ascii="仿宋_GB2312" w:eastAsia="仿宋_GB2312" w:hAnsi="华文细黑" w:hint="eastAsia"/>
          <w:color w:val="333333"/>
        </w:rPr>
        <w:t>整治事事过度留痕，不能只停留在口头呼吁上，而要落实到强有力的行动上，制定切实可行的刚性约束，将基层干部从繁忙事务中解脱出来。</w:t>
      </w:r>
    </w:p>
    <w:p w:rsidR="00741105" w:rsidRPr="00DC603B" w:rsidRDefault="00741105" w:rsidP="00DC603B">
      <w:pPr>
        <w:rPr>
          <w:rFonts w:ascii="仿宋_GB2312" w:eastAsia="仿宋_GB2312" w:hint="eastAsia"/>
          <w:sz w:val="24"/>
          <w:szCs w:val="24"/>
        </w:rPr>
      </w:pPr>
    </w:p>
    <w:sectPr w:rsidR="00741105" w:rsidRPr="00DC603B" w:rsidSect="000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9E7" w:rsidRDefault="008079E7" w:rsidP="001A3431">
      <w:r>
        <w:separator/>
      </w:r>
    </w:p>
  </w:endnote>
  <w:endnote w:type="continuationSeparator" w:id="1">
    <w:p w:rsidR="008079E7" w:rsidRDefault="008079E7" w:rsidP="001A3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9E7" w:rsidRDefault="008079E7" w:rsidP="001A3431">
      <w:r>
        <w:separator/>
      </w:r>
    </w:p>
  </w:footnote>
  <w:footnote w:type="continuationSeparator" w:id="1">
    <w:p w:rsidR="008079E7" w:rsidRDefault="008079E7" w:rsidP="001A3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431"/>
    <w:rsid w:val="00093A87"/>
    <w:rsid w:val="00095A01"/>
    <w:rsid w:val="00123694"/>
    <w:rsid w:val="001A3431"/>
    <w:rsid w:val="00242F71"/>
    <w:rsid w:val="004C5CFC"/>
    <w:rsid w:val="004D068F"/>
    <w:rsid w:val="006966CD"/>
    <w:rsid w:val="00741105"/>
    <w:rsid w:val="008079E7"/>
    <w:rsid w:val="00DC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4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4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3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369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236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36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胡卫萍</dc:creator>
  <cp:keywords/>
  <dc:description/>
  <cp:lastModifiedBy>胡卫萍</cp:lastModifiedBy>
  <cp:revision>6</cp:revision>
  <cp:lastPrinted>2020-06-02T03:21:00Z</cp:lastPrinted>
  <dcterms:created xsi:type="dcterms:W3CDTF">2020-06-02T03:08:00Z</dcterms:created>
  <dcterms:modified xsi:type="dcterms:W3CDTF">2020-06-02T03:21:00Z</dcterms:modified>
</cp:coreProperties>
</file>