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重写：架构图、快速开始、配置表、接口表、基线数字、技术要点、已知限制；截图与视频待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进行中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召回 90.0%/90.0%/86.7%，512 最优（名次 1.33、Top-1 20 题），维持默认；E3/E2 需额外拉模型，E4 待跑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