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2026/10/20（延迟未达标）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经代理实测：sources→token(155)→done；首字延迟实测 5.6–6.9s（冷启 19.8s），未达 ≤3s，原因与处置见 docs/baseline.md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重写：架构图、快速开始、配置表、接口表、基线数字、技术要点、已知限制；截图与视频待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