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80"/>
        <w:jc w:val="center"/>
      </w:pPr>
      <w:r>
        <w:t>合同审批审查系统 · 第一次会议纪要</w:t>
      </w:r>
    </w:p>
    <w:p>
      <w:pPr>
        <w:pStyle w:val="Heading2"/>
      </w:pPr>
      <w:r>
        <w:t>会议信息</w:t>
      </w:r>
    </w:p>
    <w:tbl>
      <w:tblPr>
        <w:tblStyle w:val="TableGrid"/>
        <w:tblW w:type="auto" w:w="0"/>
        <w:jc w:val="center"/>
        <w:tblLook w:firstColumn="1" w:firstRow="1" w:lastColumn="0" w:lastRow="0" w:noHBand="0" w:noVBand="1" w:val="04A0"/>
      </w:tblPr>
      <w:tblGrid>
        <w:gridCol w:w="4479"/>
        <w:gridCol w:w="4479"/>
      </w:tblGrid>
      <w:tr>
        <w:tc>
          <w:tcPr>
            <w:tcW w:type="dxa" w:w="4479"/>
            <w:shd w:val="clear" w:color="auto" w:fill="2E5496"/>
          </w:tcPr>
          <w:p>
            <w:pPr>
              <w:jc w:val="center"/>
            </w:pPr>
            <w:r/>
            <w:r>
              <w:rPr>
                <w:rFonts w:ascii="微软雅黑" w:hAnsi="微软雅黑" w:eastAsia="微软雅黑"/>
                <w:b/>
                <w:color w:val="FFFFFF"/>
                <w:sz w:val="20"/>
              </w:rPr>
              <w:t>项目</w:t>
            </w:r>
          </w:p>
        </w:tc>
        <w:tc>
          <w:tcPr>
            <w:tcW w:type="dxa" w:w="4479"/>
            <w:shd w:val="clear" w:color="auto" w:fill="2E5496"/>
          </w:tcPr>
          <w:p>
            <w:pPr>
              <w:jc w:val="center"/>
            </w:pPr>
            <w:r/>
            <w:r>
              <w:rPr>
                <w:rFonts w:ascii="微软雅黑" w:hAnsi="微软雅黑" w:eastAsia="微软雅黑"/>
                <w:b/>
                <w:color w:val="FFFFFF"/>
                <w:sz w:val="20"/>
              </w:rPr>
              <w:t>内容</w:t>
            </w:r>
          </w:p>
        </w:tc>
      </w:tr>
      <w:tr>
        <w:tc>
          <w:tcPr>
            <w:tcW w:type="dxa" w:w="4479"/>
          </w:tcPr>
          <w:p>
            <w:pPr>
              <w:spacing w:after="40" w:line="276" w:lineRule="auto"/>
            </w:pPr>
            <w:r/>
            <w:r>
              <w:rPr>
                <w:rFonts w:ascii="微软雅黑" w:hAnsi="微软雅黑" w:eastAsia="微软雅黑"/>
                <w:b w:val="0"/>
                <w:sz w:val="20"/>
              </w:rPr>
              <w:t>会议名称</w:t>
            </w:r>
          </w:p>
        </w:tc>
        <w:tc>
          <w:tcPr>
            <w:tcW w:type="dxa" w:w="4479"/>
          </w:tcPr>
          <w:p>
            <w:pPr>
              <w:spacing w:after="40" w:line="276" w:lineRule="auto"/>
            </w:pPr>
            <w:r/>
            <w:r>
              <w:rPr>
                <w:rFonts w:ascii="微软雅黑" w:hAnsi="微软雅黑" w:eastAsia="微软雅黑"/>
                <w:b w:val="0"/>
                <w:sz w:val="20"/>
              </w:rPr>
              <w:t>合同审批审查系统 项目立项与需求交底会（第一次会议）</w:t>
            </w:r>
          </w:p>
        </w:tc>
      </w:tr>
      <w:tr>
        <w:tc>
          <w:tcPr>
            <w:tcW w:type="dxa" w:w="4479"/>
          </w:tcPr>
          <w:p>
            <w:pPr>
              <w:spacing w:after="40" w:line="276" w:lineRule="auto"/>
            </w:pPr>
            <w:r/>
            <w:r>
              <w:rPr>
                <w:rFonts w:ascii="微软雅黑" w:hAnsi="微软雅黑" w:eastAsia="微软雅黑"/>
                <w:b w:val="0"/>
                <w:sz w:val="20"/>
              </w:rPr>
              <w:t>会议时间</w:t>
            </w:r>
          </w:p>
        </w:tc>
        <w:tc>
          <w:tcPr>
            <w:tcW w:type="dxa" w:w="4479"/>
          </w:tcPr>
          <w:p>
            <w:pPr>
              <w:spacing w:after="40" w:line="276" w:lineRule="auto"/>
            </w:pPr>
            <w:r/>
            <w:r>
              <w:rPr>
                <w:rFonts w:ascii="微软雅黑" w:hAnsi="微软雅黑" w:eastAsia="微软雅黑"/>
                <w:b w:val="0"/>
                <w:sz w:val="20"/>
              </w:rPr>
              <w:t>2026 年 9 月 18 日 20:38（GMT+8）</w:t>
            </w:r>
          </w:p>
        </w:tc>
      </w:tr>
      <w:tr>
        <w:tc>
          <w:tcPr>
            <w:tcW w:type="dxa" w:w="4479"/>
          </w:tcPr>
          <w:p>
            <w:pPr>
              <w:spacing w:after="40" w:line="276" w:lineRule="auto"/>
            </w:pPr>
            <w:r/>
            <w:r>
              <w:rPr>
                <w:rFonts w:ascii="微软雅黑" w:hAnsi="微软雅黑" w:eastAsia="微软雅黑"/>
                <w:b w:val="0"/>
                <w:sz w:val="20"/>
              </w:rPr>
              <w:t>会议形式</w:t>
            </w:r>
          </w:p>
        </w:tc>
        <w:tc>
          <w:tcPr>
            <w:tcW w:type="dxa" w:w="4479"/>
          </w:tcPr>
          <w:p>
            <w:pPr>
              <w:spacing w:after="40" w:line="276" w:lineRule="auto"/>
            </w:pPr>
            <w:r/>
            <w:r>
              <w:rPr>
                <w:rFonts w:ascii="微软雅黑" w:hAnsi="微软雅黑" w:eastAsia="微软雅黑"/>
                <w:b w:val="0"/>
                <w:sz w:val="20"/>
              </w:rPr>
              <w:t xml:space="preserve">线上协作（本机工作区 </w:t>
            </w:r>
            <w:r>
              <w:rPr>
                <w:rFonts w:ascii="Consolas" w:hAnsi="Consolas" w:eastAsia="Consolas"/>
                <w:b w:val="0"/>
                <w:sz w:val="20"/>
              </w:rPr>
              <w:t>2026-09-18-20-38-21</w:t>
            </w:r>
            <w:r>
              <w:rPr>
                <w:rFonts w:ascii="微软雅黑" w:hAnsi="微软雅黑" w:eastAsia="微软雅黑"/>
                <w:b w:val="0"/>
                <w:sz w:val="20"/>
              </w:rPr>
              <w:t>）</w:t>
            </w:r>
          </w:p>
        </w:tc>
      </w:tr>
      <w:tr>
        <w:tc>
          <w:tcPr>
            <w:tcW w:type="dxa" w:w="4479"/>
          </w:tcPr>
          <w:p>
            <w:pPr>
              <w:spacing w:after="40" w:line="276" w:lineRule="auto"/>
            </w:pPr>
            <w:r/>
            <w:r>
              <w:rPr>
                <w:rFonts w:ascii="微软雅黑" w:hAnsi="微软雅黑" w:eastAsia="微软雅黑"/>
                <w:b w:val="0"/>
                <w:sz w:val="20"/>
              </w:rPr>
              <w:t>需求方 / 项目负责人</w:t>
            </w:r>
          </w:p>
        </w:tc>
        <w:tc>
          <w:tcPr>
            <w:tcW w:type="dxa" w:w="4479"/>
          </w:tcPr>
          <w:p>
            <w:pPr>
              <w:spacing w:after="40" w:line="276" w:lineRule="auto"/>
            </w:pPr>
            <w:r/>
            <w:r>
              <w:rPr>
                <w:rFonts w:ascii="微软雅黑" w:hAnsi="微软雅黑" w:eastAsia="微软雅黑"/>
                <w:b w:val="0"/>
                <w:sz w:val="20"/>
              </w:rPr>
              <w:t>李奕波</w:t>
            </w:r>
          </w:p>
        </w:tc>
      </w:tr>
      <w:tr>
        <w:tc>
          <w:tcPr>
            <w:tcW w:type="dxa" w:w="4479"/>
          </w:tcPr>
          <w:p>
            <w:pPr>
              <w:spacing w:after="40" w:line="276" w:lineRule="auto"/>
            </w:pPr>
            <w:r/>
            <w:r>
              <w:rPr>
                <w:rFonts w:ascii="微软雅黑" w:hAnsi="微软雅黑" w:eastAsia="微软雅黑"/>
                <w:b w:val="0"/>
                <w:sz w:val="20"/>
              </w:rPr>
              <w:t>方案与研发支持</w:t>
            </w:r>
          </w:p>
        </w:tc>
        <w:tc>
          <w:tcPr>
            <w:tcW w:type="dxa" w:w="4479"/>
          </w:tcPr>
          <w:p>
            <w:pPr>
              <w:spacing w:after="40" w:line="276" w:lineRule="auto"/>
            </w:pPr>
            <w:r/>
            <w:r>
              <w:rPr>
                <w:rFonts w:ascii="微软雅黑" w:hAnsi="微软雅黑" w:eastAsia="微软雅黑"/>
                <w:b w:val="0"/>
                <w:sz w:val="20"/>
              </w:rPr>
              <w:t>启明（AI 工程助手）</w:t>
            </w:r>
          </w:p>
        </w:tc>
      </w:tr>
      <w:tr>
        <w:tc>
          <w:tcPr>
            <w:tcW w:type="dxa" w:w="4479"/>
          </w:tcPr>
          <w:p>
            <w:pPr>
              <w:spacing w:after="40" w:line="276" w:lineRule="auto"/>
            </w:pPr>
            <w:r/>
            <w:r>
              <w:rPr>
                <w:rFonts w:ascii="微软雅黑" w:hAnsi="微软雅黑" w:eastAsia="微软雅黑"/>
                <w:b w:val="0"/>
                <w:sz w:val="20"/>
              </w:rPr>
              <w:t>会议记录人</w:t>
            </w:r>
          </w:p>
        </w:tc>
        <w:tc>
          <w:tcPr>
            <w:tcW w:type="dxa" w:w="4479"/>
          </w:tcPr>
          <w:p>
            <w:pPr>
              <w:spacing w:after="40" w:line="276" w:lineRule="auto"/>
            </w:pPr>
            <w:r/>
            <w:r>
              <w:rPr>
                <w:rFonts w:ascii="微软雅黑" w:hAnsi="微软雅黑" w:eastAsia="微软雅黑"/>
                <w:b w:val="0"/>
                <w:sz w:val="20"/>
              </w:rPr>
              <w:t>启明</w:t>
            </w:r>
          </w:p>
        </w:tc>
      </w:tr>
      <w:tr>
        <w:tc>
          <w:tcPr>
            <w:tcW w:type="dxa" w:w="4479"/>
          </w:tcPr>
          <w:p>
            <w:pPr>
              <w:spacing w:after="40" w:line="276" w:lineRule="auto"/>
            </w:pPr>
            <w:r/>
            <w:r>
              <w:rPr>
                <w:rFonts w:ascii="微软雅黑" w:hAnsi="微软雅黑" w:eastAsia="微软雅黑"/>
                <w:b w:val="0"/>
                <w:sz w:val="20"/>
              </w:rPr>
              <w:t>纪要性质</w:t>
            </w:r>
          </w:p>
        </w:tc>
        <w:tc>
          <w:tcPr>
            <w:tcW w:type="dxa" w:w="4479"/>
          </w:tcPr>
          <w:p>
            <w:pPr>
              <w:spacing w:after="40" w:line="276" w:lineRule="auto"/>
            </w:pPr>
            <w:r/>
            <w:r>
              <w:rPr>
                <w:rFonts w:ascii="微软雅黑" w:hAnsi="微软雅黑" w:eastAsia="微软雅黑"/>
                <w:b w:val="0"/>
                <w:sz w:val="20"/>
              </w:rPr>
              <w:t>首次会议，用于确立项目目标、交付范围、业务规则与验收基线</w:t>
            </w:r>
          </w:p>
        </w:tc>
      </w:tr>
      <w:tr>
        <w:tc>
          <w:tcPr>
            <w:tcW w:type="dxa" w:w="4479"/>
          </w:tcPr>
          <w:p>
            <w:pPr>
              <w:spacing w:after="40" w:line="276" w:lineRule="auto"/>
            </w:pPr>
            <w:r/>
            <w:r>
              <w:rPr>
                <w:rFonts w:ascii="微软雅黑" w:hAnsi="微软雅黑" w:eastAsia="微软雅黑"/>
                <w:b w:val="0"/>
                <w:sz w:val="20"/>
              </w:rPr>
              <w:t>材料来源</w:t>
            </w:r>
          </w:p>
        </w:tc>
        <w:tc>
          <w:tcPr>
            <w:tcW w:type="dxa" w:w="4479"/>
          </w:tcPr>
          <w:p>
            <w:pPr>
              <w:spacing w:after="40" w:line="276" w:lineRule="auto"/>
            </w:pPr>
            <w:r/>
            <w:r>
              <w:rPr>
                <w:rFonts w:ascii="微软雅黑" w:hAnsi="微软雅黑" w:eastAsia="微软雅黑"/>
                <w:b w:val="0"/>
                <w:sz w:val="20"/>
              </w:rPr>
              <w:t>本次会议的口头与文字沟通内容，即已确定并写入工作区项目指令的《2.4 合同审批审查系统》需求说明</w:t>
            </w:r>
          </w:p>
        </w:tc>
      </w:tr>
    </w:tbl>
    <w:p/>
    <w:p>
      <w:pPr>
        <w:ind w:left="340"/>
      </w:pPr>
      <w:r>
        <w:rPr>
          <w:rFonts w:ascii="微软雅黑" w:hAnsi="微软雅黑" w:eastAsia="微软雅黑"/>
          <w:b w:val="0"/>
          <w:color w:val="595959"/>
          <w:sz w:val="19"/>
        </w:rPr>
        <w:t>说明：截至本纪要形成时，工作区尚无早期会议文件，本次为该项目</w:t>
      </w:r>
      <w:r>
        <w:rPr>
          <w:rFonts w:ascii="微软雅黑" w:hAnsi="微软雅黑" w:eastAsia="微软雅黑"/>
          <w:b/>
          <w:color w:val="595959"/>
          <w:sz w:val="19"/>
        </w:rPr>
        <w:t>第一次会议</w:t>
      </w:r>
      <w:r>
        <w:rPr>
          <w:rFonts w:ascii="微软雅黑" w:hAnsi="微软雅黑" w:eastAsia="微软雅黑"/>
          <w:b w:val="0"/>
          <w:color w:val="595959"/>
          <w:sz w:val="19"/>
        </w:rPr>
        <w:t>；纪要覆盖本次沟通中已明确的全部需求项，未在本纪要中出现的议题视为尚未讨论。</w:t>
      </w:r>
    </w:p>
    <w:p>
      <w:pPr>
        <w:pBdr>
          <w:bottom w:val="single" w:sz="6" w:space="1" w:color="BFBFBF"/>
        </w:pBdr>
      </w:pPr>
    </w:p>
    <w:p>
      <w:pPr>
        <w:pStyle w:val="Heading2"/>
      </w:pPr>
      <w:r>
        <w:t>一、会议背景与目的</w:t>
      </w:r>
    </w:p>
    <w:p>
      <w:r>
        <w:rPr>
          <w:rFonts w:ascii="微软雅黑" w:hAnsi="微软雅黑" w:eastAsia="微软雅黑"/>
          <w:b w:val="0"/>
          <w:sz w:val="21"/>
        </w:rPr>
        <w:t>本次会议围绕"企业合同审批场景下的智能审查"这一选题展开，目标是确定一套</w:t>
      </w:r>
      <w:r>
        <w:rPr>
          <w:rFonts w:ascii="微软雅黑" w:hAnsi="微软雅黑" w:eastAsia="微软雅黑"/>
          <w:b/>
          <w:sz w:val="21"/>
        </w:rPr>
        <w:t>可运行、可演示、可交付</w:t>
      </w:r>
      <w:r>
        <w:rPr>
          <w:rFonts w:ascii="微软雅黑" w:hAnsi="微软雅黑" w:eastAsia="微软雅黑"/>
          <w:b w:val="0"/>
          <w:sz w:val="21"/>
        </w:rPr>
        <w:t>的合同智能审查系统的建设方案。</w:t>
      </w:r>
    </w:p>
    <w:p>
      <w:r>
        <w:rPr>
          <w:rFonts w:ascii="微软雅黑" w:hAnsi="微软雅黑" w:eastAsia="微软雅黑"/>
          <w:b w:val="0"/>
          <w:sz w:val="21"/>
        </w:rPr>
        <w:t>会议需解决的三个问题：</w:t>
      </w:r>
    </w:p>
    <w:p>
      <w:pPr>
        <w:pStyle w:val="ListNumber"/>
        <w:spacing w:after="60"/>
        <w:ind w:left="482"/>
      </w:pPr>
      <w:r>
        <w:rPr>
          <w:rFonts w:ascii="微软雅黑" w:hAnsi="微软雅黑" w:eastAsia="微软雅黑"/>
          <w:b w:val="0"/>
          <w:sz w:val="21"/>
        </w:rPr>
        <w:t>系统要解决什么业务问题、面向谁；</w:t>
      </w:r>
    </w:p>
    <w:p>
      <w:pPr>
        <w:pStyle w:val="ListNumber"/>
        <w:spacing w:after="60"/>
        <w:ind w:left="482"/>
      </w:pPr>
      <w:r>
        <w:rPr>
          <w:rFonts w:ascii="微软雅黑" w:hAnsi="微软雅黑" w:eastAsia="微软雅黑"/>
          <w:b w:val="0"/>
          <w:sz w:val="21"/>
        </w:rPr>
        <w:t>本次交付的边界在哪里（做什么、不做什么）；</w:t>
      </w:r>
    </w:p>
    <w:p>
      <w:pPr>
        <w:pStyle w:val="ListNumber"/>
        <w:spacing w:after="60"/>
        <w:ind w:left="482"/>
      </w:pPr>
      <w:r>
        <w:rPr>
          <w:rFonts w:ascii="微软雅黑" w:hAnsi="微软雅黑" w:eastAsia="微软雅黑"/>
          <w:b w:val="0"/>
          <w:sz w:val="21"/>
        </w:rPr>
        <w:t>用什么标准判定"做完了"。</w:t>
      </w:r>
    </w:p>
    <w:p>
      <w:r>
        <w:rPr>
          <w:rFonts w:ascii="微软雅黑" w:hAnsi="微软雅黑" w:eastAsia="微软雅黑"/>
          <w:b w:val="0"/>
          <w:sz w:val="21"/>
        </w:rPr>
        <w:t>会议结论：项目正式立项，按本纪要确认的范围推进。</w:t>
      </w:r>
    </w:p>
    <w:p>
      <w:pPr>
        <w:pBdr>
          <w:bottom w:val="single" w:sz="6" w:space="1" w:color="BFBFBF"/>
        </w:pBdr>
      </w:pPr>
    </w:p>
    <w:p>
      <w:pPr>
        <w:pStyle w:val="Heading2"/>
      </w:pPr>
      <w:r>
        <w:t>二、会议确认事项</w:t>
      </w:r>
    </w:p>
    <w:p>
      <w:pPr>
        <w:pStyle w:val="Heading3"/>
      </w:pPr>
      <w:r>
        <w:t>2.1 项目目标（已确认）</w:t>
      </w:r>
    </w:p>
    <w:p>
      <w:r>
        <w:rPr>
          <w:rFonts w:ascii="微软雅黑" w:hAnsi="微软雅黑" w:eastAsia="微软雅黑"/>
          <w:b w:val="0"/>
          <w:sz w:val="21"/>
        </w:rPr>
        <w:t>建设一个面向企业合同审批场景的智能审查系统，具备以下端到端能力：</w:t>
      </w:r>
    </w:p>
    <w:p>
      <w:pPr>
        <w:pStyle w:val="ListNumber"/>
        <w:spacing w:after="60"/>
        <w:ind w:left="482"/>
      </w:pPr>
      <w:r>
        <w:rPr>
          <w:rFonts w:ascii="微软雅黑" w:hAnsi="微软雅黑" w:eastAsia="微软雅黑"/>
          <w:b w:val="0"/>
          <w:sz w:val="21"/>
        </w:rPr>
        <w:t>支持</w:t>
      </w:r>
      <w:r>
        <w:rPr>
          <w:rFonts w:ascii="微软雅黑" w:hAnsi="微软雅黑" w:eastAsia="微软雅黑"/>
          <w:b/>
          <w:sz w:val="21"/>
        </w:rPr>
        <w:t>多格式</w:t>
      </w:r>
      <w:r>
        <w:rPr>
          <w:rFonts w:ascii="微软雅黑" w:hAnsi="微软雅黑" w:eastAsia="微软雅黑"/>
          <w:b w:val="0"/>
          <w:sz w:val="21"/>
        </w:rPr>
        <w:t>合同文档（Word、PDF、扫描件）解析与条款结构化切分；</w:t>
      </w:r>
    </w:p>
    <w:p>
      <w:pPr>
        <w:pStyle w:val="ListNumber"/>
        <w:spacing w:after="60"/>
        <w:ind w:left="482"/>
      </w:pPr>
      <w:r>
        <w:rPr>
          <w:rFonts w:ascii="微软雅黑" w:hAnsi="微软雅黑" w:eastAsia="微软雅黑"/>
          <w:b w:val="0"/>
          <w:sz w:val="21"/>
        </w:rPr>
        <w:t>通过</w:t>
      </w:r>
      <w:r>
        <w:rPr>
          <w:rFonts w:ascii="微软雅黑" w:hAnsi="微软雅黑" w:eastAsia="微软雅黑"/>
          <w:b/>
          <w:sz w:val="21"/>
        </w:rPr>
        <w:t>大语言模型 + 合规规则引擎</w:t>
      </w:r>
      <w:r>
        <w:rPr>
          <w:rFonts w:ascii="微软雅黑" w:hAnsi="微软雅黑" w:eastAsia="微软雅黑"/>
          <w:b w:val="0"/>
          <w:sz w:val="21"/>
        </w:rPr>
        <w:t>识别法律合规与商业风险；</w:t>
      </w:r>
    </w:p>
    <w:p>
      <w:pPr>
        <w:pStyle w:val="ListNumber"/>
        <w:spacing w:after="60"/>
        <w:ind w:left="482"/>
      </w:pPr>
      <w:r>
        <w:rPr>
          <w:rFonts w:ascii="微软雅黑" w:hAnsi="微软雅黑" w:eastAsia="微软雅黑"/>
          <w:b w:val="0"/>
          <w:sz w:val="21"/>
        </w:rPr>
        <w:t>提供</w:t>
      </w:r>
      <w:r>
        <w:rPr>
          <w:rFonts w:ascii="微软雅黑" w:hAnsi="微软雅黑" w:eastAsia="微软雅黑"/>
          <w:b/>
          <w:sz w:val="21"/>
        </w:rPr>
        <w:t>原文高亮定位、智能修改建议与报告导出</w:t>
      </w:r>
      <w:r>
        <w:rPr>
          <w:rFonts w:ascii="微软雅黑" w:hAnsi="微软雅黑" w:eastAsia="微软雅黑"/>
          <w:b w:val="0"/>
          <w:sz w:val="21"/>
        </w:rPr>
        <w:t>；</w:t>
      </w:r>
    </w:p>
    <w:p>
      <w:pPr>
        <w:pStyle w:val="ListNumber"/>
        <w:spacing w:after="60"/>
        <w:ind w:left="482"/>
      </w:pPr>
      <w:r>
        <w:rPr>
          <w:rFonts w:ascii="微软雅黑" w:hAnsi="微软雅黑" w:eastAsia="微软雅黑"/>
          <w:b w:val="0"/>
          <w:sz w:val="21"/>
        </w:rPr>
        <w:t>支持将审查意见</w:t>
      </w:r>
      <w:r>
        <w:rPr>
          <w:rFonts w:ascii="微软雅黑" w:hAnsi="微软雅黑" w:eastAsia="微软雅黑"/>
          <w:b/>
          <w:sz w:val="21"/>
        </w:rPr>
        <w:t>自动回写</w:t>
      </w:r>
      <w:r>
        <w:rPr>
          <w:rFonts w:ascii="微软雅黑" w:hAnsi="微软雅黑" w:eastAsia="微软雅黑"/>
          <w:b w:val="0"/>
          <w:sz w:val="21"/>
        </w:rPr>
        <w:t>至企业审批系统评论区。</w:t>
      </w:r>
    </w:p>
    <w:p>
      <w:r>
        <w:rPr>
          <w:rFonts w:ascii="微软雅黑" w:hAnsi="微软雅黑" w:eastAsia="微软雅黑"/>
          <w:b/>
          <w:sz w:val="21"/>
        </w:rPr>
        <w:t>交付形式</w:t>
      </w:r>
      <w:r>
        <w:rPr>
          <w:rFonts w:ascii="微软雅黑" w:hAnsi="微软雅黑" w:eastAsia="微软雅黑"/>
          <w:b w:val="0"/>
          <w:sz w:val="21"/>
        </w:rPr>
        <w:t>：可运行前端（审查大盘 + 交互式工作台）、后端审查服务、示例合同文件集（覆盖采购、销售、劳动等标准与风险用例）、审批回写模拟模块，以及一条完整演示链路。</w:t>
      </w:r>
    </w:p>
    <w:p>
      <w:pPr>
        <w:pStyle w:val="Heading3"/>
      </w:pPr>
      <w:r>
        <w:t>2.2 开发范围（已确认）</w:t>
      </w:r>
    </w:p>
    <w:tbl>
      <w:tblPr>
        <w:tblStyle w:val="TableGrid"/>
        <w:tblW w:type="auto" w:w="0"/>
        <w:jc w:val="center"/>
        <w:tblLook w:firstColumn="1" w:firstRow="1" w:lastColumn="0" w:lastRow="0" w:noHBand="0" w:noVBand="1" w:val="04A0"/>
      </w:tblPr>
      <w:tblGrid>
        <w:gridCol w:w="2986"/>
        <w:gridCol w:w="2986"/>
        <w:gridCol w:w="2986"/>
      </w:tblGrid>
      <w:tr>
        <w:tc>
          <w:tcPr>
            <w:tcW w:type="dxa" w:w="2986"/>
            <w:shd w:val="clear" w:color="auto" w:fill="2E5496"/>
          </w:tcPr>
          <w:p>
            <w:pPr>
              <w:jc w:val="center"/>
            </w:pPr>
            <w:r/>
            <w:r>
              <w:rPr>
                <w:rFonts w:ascii="微软雅黑" w:hAnsi="微软雅黑" w:eastAsia="微软雅黑"/>
                <w:b/>
                <w:color w:val="FFFFFF"/>
                <w:sz w:val="20"/>
              </w:rPr>
              <w:t>序号</w:t>
            </w:r>
          </w:p>
        </w:tc>
        <w:tc>
          <w:tcPr>
            <w:tcW w:type="dxa" w:w="2986"/>
            <w:shd w:val="clear" w:color="auto" w:fill="2E5496"/>
          </w:tcPr>
          <w:p>
            <w:pPr>
              <w:jc w:val="center"/>
            </w:pPr>
            <w:r/>
            <w:r>
              <w:rPr>
                <w:rFonts w:ascii="微软雅黑" w:hAnsi="微软雅黑" w:eastAsia="微软雅黑"/>
                <w:b/>
                <w:color w:val="FFFFFF"/>
                <w:sz w:val="20"/>
              </w:rPr>
              <w:t>能力域</w:t>
            </w:r>
          </w:p>
        </w:tc>
        <w:tc>
          <w:tcPr>
            <w:tcW w:type="dxa" w:w="2986"/>
            <w:shd w:val="clear" w:color="auto" w:fill="2E5496"/>
          </w:tcPr>
          <w:p>
            <w:pPr>
              <w:jc w:val="center"/>
            </w:pPr>
            <w:r/>
            <w:r>
              <w:rPr>
                <w:rFonts w:ascii="微软雅黑" w:hAnsi="微软雅黑" w:eastAsia="微软雅黑"/>
                <w:b/>
                <w:color w:val="FFFFFF"/>
                <w:sz w:val="20"/>
              </w:rPr>
              <w:t>内容要点</w:t>
            </w:r>
          </w:p>
        </w:tc>
      </w:tr>
      <w:tr>
        <w:tc>
          <w:tcPr>
            <w:tcW w:type="dxa" w:w="2986"/>
          </w:tcPr>
          <w:p>
            <w:pPr>
              <w:spacing w:after="40" w:line="276" w:lineRule="auto"/>
            </w:pPr>
            <w:r/>
            <w:r>
              <w:rPr>
                <w:rFonts w:ascii="微软雅黑" w:hAnsi="微软雅黑" w:eastAsia="微软雅黑"/>
                <w:b w:val="0"/>
                <w:sz w:val="20"/>
              </w:rPr>
              <w:t>1</w:t>
            </w:r>
          </w:p>
        </w:tc>
        <w:tc>
          <w:tcPr>
            <w:tcW w:type="dxa" w:w="2986"/>
          </w:tcPr>
          <w:p>
            <w:pPr>
              <w:spacing w:after="40" w:line="276" w:lineRule="auto"/>
            </w:pPr>
            <w:r/>
            <w:r>
              <w:rPr>
                <w:rFonts w:ascii="微软雅黑" w:hAnsi="微软雅黑" w:eastAsia="微软雅黑"/>
                <w:b w:val="0"/>
                <w:sz w:val="20"/>
              </w:rPr>
              <w:t>文档接入与解析</w:t>
            </w:r>
          </w:p>
        </w:tc>
        <w:tc>
          <w:tcPr>
            <w:tcW w:type="dxa" w:w="2986"/>
          </w:tcPr>
          <w:p>
            <w:pPr>
              <w:spacing w:after="40" w:line="276" w:lineRule="auto"/>
            </w:pPr>
            <w:r/>
            <w:r>
              <w:rPr>
                <w:rFonts w:ascii="微软雅黑" w:hAnsi="微软雅黑" w:eastAsia="微软雅黑"/>
                <w:b w:val="0"/>
                <w:sz w:val="20"/>
              </w:rPr>
              <w:t>对接审批系统待办任务或本地上传；支持 DOCX、PDF 与扫描件 OCR 解析；自动提取合同元数据；完成条款层级切分</w:t>
            </w:r>
          </w:p>
        </w:tc>
      </w:tr>
      <w:tr>
        <w:tc>
          <w:tcPr>
            <w:tcW w:type="dxa" w:w="2986"/>
          </w:tcPr>
          <w:p>
            <w:pPr>
              <w:spacing w:after="40" w:line="276" w:lineRule="auto"/>
            </w:pPr>
            <w:r/>
            <w:r>
              <w:rPr>
                <w:rFonts w:ascii="微软雅黑" w:hAnsi="微软雅黑" w:eastAsia="微软雅黑"/>
                <w:b w:val="0"/>
                <w:sz w:val="20"/>
              </w:rPr>
              <w:t>2</w:t>
            </w:r>
          </w:p>
        </w:tc>
        <w:tc>
          <w:tcPr>
            <w:tcW w:type="dxa" w:w="2986"/>
          </w:tcPr>
          <w:p>
            <w:pPr>
              <w:spacing w:after="40" w:line="276" w:lineRule="auto"/>
            </w:pPr>
            <w:r/>
            <w:r>
              <w:rPr>
                <w:rFonts w:ascii="微软雅黑" w:hAnsi="微软雅黑" w:eastAsia="微软雅黑"/>
                <w:b w:val="0"/>
                <w:sz w:val="20"/>
              </w:rPr>
              <w:t>智能合规与风险审查</w:t>
            </w:r>
          </w:p>
        </w:tc>
        <w:tc>
          <w:tcPr>
            <w:tcW w:type="dxa" w:w="2986"/>
          </w:tcPr>
          <w:p>
            <w:pPr>
              <w:spacing w:after="40" w:line="276" w:lineRule="auto"/>
            </w:pPr>
            <w:r/>
            <w:r>
              <w:rPr>
                <w:rFonts w:ascii="微软雅黑" w:hAnsi="微软雅黑" w:eastAsia="微软雅黑"/>
                <w:b w:val="0"/>
                <w:sz w:val="20"/>
              </w:rPr>
              <w:t>覆盖主体资质、金额支付、违约责任、知识产权、争议管辖等核心维度；识别必备条款缺失、权责不对等与高风险表述；输出风险等级与合规依据</w:t>
            </w:r>
          </w:p>
        </w:tc>
      </w:tr>
      <w:tr>
        <w:tc>
          <w:tcPr>
            <w:tcW w:type="dxa" w:w="2986"/>
          </w:tcPr>
          <w:p>
            <w:pPr>
              <w:spacing w:after="40" w:line="276" w:lineRule="auto"/>
            </w:pPr>
            <w:r/>
            <w:r>
              <w:rPr>
                <w:rFonts w:ascii="微软雅黑" w:hAnsi="微软雅黑" w:eastAsia="微软雅黑"/>
                <w:b w:val="0"/>
                <w:sz w:val="20"/>
              </w:rPr>
              <w:t>3</w:t>
            </w:r>
          </w:p>
        </w:tc>
        <w:tc>
          <w:tcPr>
            <w:tcW w:type="dxa" w:w="2986"/>
          </w:tcPr>
          <w:p>
            <w:pPr>
              <w:spacing w:after="40" w:line="276" w:lineRule="auto"/>
            </w:pPr>
            <w:r/>
            <w:r>
              <w:rPr>
                <w:rFonts w:ascii="微软雅黑" w:hAnsi="微软雅黑" w:eastAsia="微软雅黑"/>
                <w:b w:val="0"/>
                <w:sz w:val="20"/>
              </w:rPr>
              <w:t>交互研判与建议生成</w:t>
            </w:r>
          </w:p>
        </w:tc>
        <w:tc>
          <w:tcPr>
            <w:tcW w:type="dxa" w:w="2986"/>
          </w:tcPr>
          <w:p>
            <w:pPr>
              <w:spacing w:after="40" w:line="276" w:lineRule="auto"/>
            </w:pPr>
            <w:r/>
            <w:r>
              <w:rPr>
                <w:rFonts w:ascii="微软雅黑" w:hAnsi="微软雅黑" w:eastAsia="微软雅黑"/>
                <w:b w:val="0"/>
                <w:sz w:val="20"/>
              </w:rPr>
              <w:t>原文与审查意见双向锚定高亮；针对风险条款生成修改建议示范文本；支持法务批注与人工确认</w:t>
            </w:r>
          </w:p>
        </w:tc>
      </w:tr>
      <w:tr>
        <w:tc>
          <w:tcPr>
            <w:tcW w:type="dxa" w:w="2986"/>
          </w:tcPr>
          <w:p>
            <w:pPr>
              <w:spacing w:after="40" w:line="276" w:lineRule="auto"/>
            </w:pPr>
            <w:r/>
            <w:r>
              <w:rPr>
                <w:rFonts w:ascii="微软雅黑" w:hAnsi="微软雅黑" w:eastAsia="微软雅黑"/>
                <w:b w:val="0"/>
                <w:sz w:val="20"/>
              </w:rPr>
              <w:t>4</w:t>
            </w:r>
          </w:p>
        </w:tc>
        <w:tc>
          <w:tcPr>
            <w:tcW w:type="dxa" w:w="2986"/>
          </w:tcPr>
          <w:p>
            <w:pPr>
              <w:spacing w:after="40" w:line="276" w:lineRule="auto"/>
            </w:pPr>
            <w:r/>
            <w:r>
              <w:rPr>
                <w:rFonts w:ascii="微软雅黑" w:hAnsi="微软雅黑" w:eastAsia="微软雅黑"/>
                <w:b w:val="0"/>
                <w:sz w:val="20"/>
              </w:rPr>
              <w:t>审批集成与结果回写</w:t>
            </w:r>
          </w:p>
        </w:tc>
        <w:tc>
          <w:tcPr>
            <w:tcW w:type="dxa" w:w="2986"/>
          </w:tcPr>
          <w:p>
            <w:pPr>
              <w:spacing w:after="40" w:line="276" w:lineRule="auto"/>
            </w:pPr>
            <w:r/>
            <w:r>
              <w:rPr>
                <w:rFonts w:ascii="微软雅黑" w:hAnsi="微软雅黑" w:eastAsia="微软雅黑"/>
                <w:b w:val="0"/>
                <w:sz w:val="20"/>
              </w:rPr>
              <w:t>最终审查意见与风险摘要自动写回审批系统评论区；支持导出审查意见报告（PDF、Markdown）</w:t>
            </w:r>
          </w:p>
        </w:tc>
      </w:tr>
      <w:tr>
        <w:tc>
          <w:tcPr>
            <w:tcW w:type="dxa" w:w="2986"/>
          </w:tcPr>
          <w:p>
            <w:pPr>
              <w:spacing w:after="40" w:line="276" w:lineRule="auto"/>
            </w:pPr>
            <w:r/>
            <w:r>
              <w:rPr>
                <w:rFonts w:ascii="微软雅黑" w:hAnsi="微软雅黑" w:eastAsia="微软雅黑"/>
                <w:b w:val="0"/>
                <w:sz w:val="20"/>
              </w:rPr>
              <w:t>5</w:t>
            </w:r>
          </w:p>
        </w:tc>
        <w:tc>
          <w:tcPr>
            <w:tcW w:type="dxa" w:w="2986"/>
          </w:tcPr>
          <w:p>
            <w:pPr>
              <w:spacing w:after="40" w:line="276" w:lineRule="auto"/>
            </w:pPr>
            <w:r/>
            <w:r>
              <w:rPr>
                <w:rFonts w:ascii="微软雅黑" w:hAnsi="微软雅黑" w:eastAsia="微软雅黑"/>
                <w:b w:val="0"/>
                <w:sz w:val="20"/>
              </w:rPr>
              <w:t>规则与模板管理</w:t>
            </w:r>
          </w:p>
        </w:tc>
        <w:tc>
          <w:tcPr>
            <w:tcW w:type="dxa" w:w="2986"/>
          </w:tcPr>
          <w:p>
            <w:pPr>
              <w:spacing w:after="40" w:line="276" w:lineRule="auto"/>
            </w:pPr>
            <w:r/>
            <w:r>
              <w:rPr>
                <w:rFonts w:ascii="微软雅黑" w:hAnsi="微软雅黑" w:eastAsia="微软雅黑"/>
                <w:b w:val="0"/>
                <w:sz w:val="20"/>
              </w:rPr>
              <w:t>维护合同分类审查清单、风险等级判定规则、标准示范条款库与阻塞重试机制</w:t>
            </w:r>
          </w:p>
        </w:tc>
      </w:tr>
    </w:tbl>
    <w:p/>
    <w:p>
      <w:pPr>
        <w:pStyle w:val="Heading3"/>
      </w:pPr>
      <w:r>
        <w:t>2.3 用户角色与权限（已确认）</w:t>
      </w:r>
    </w:p>
    <w:tbl>
      <w:tblPr>
        <w:tblStyle w:val="TableGrid"/>
        <w:tblW w:type="auto" w:w="0"/>
        <w:jc w:val="center"/>
        <w:tblLook w:firstColumn="1" w:firstRow="1" w:lastColumn="0" w:lastRow="0" w:noHBand="0" w:noVBand="1" w:val="04A0"/>
      </w:tblPr>
      <w:tblGrid>
        <w:gridCol w:w="4479"/>
        <w:gridCol w:w="4479"/>
      </w:tblGrid>
      <w:tr>
        <w:tc>
          <w:tcPr>
            <w:tcW w:type="dxa" w:w="4479"/>
            <w:shd w:val="clear" w:color="auto" w:fill="2E5496"/>
          </w:tcPr>
          <w:p>
            <w:pPr>
              <w:jc w:val="center"/>
            </w:pPr>
            <w:r/>
            <w:r>
              <w:rPr>
                <w:rFonts w:ascii="微软雅黑" w:hAnsi="微软雅黑" w:eastAsia="微软雅黑"/>
                <w:b/>
                <w:color w:val="FFFFFF"/>
                <w:sz w:val="20"/>
              </w:rPr>
              <w:t>角色</w:t>
            </w:r>
          </w:p>
        </w:tc>
        <w:tc>
          <w:tcPr>
            <w:tcW w:type="dxa" w:w="4479"/>
            <w:shd w:val="clear" w:color="auto" w:fill="2E5496"/>
          </w:tcPr>
          <w:p>
            <w:pPr>
              <w:jc w:val="center"/>
            </w:pPr>
            <w:r/>
            <w:r>
              <w:rPr>
                <w:rFonts w:ascii="微软雅黑" w:hAnsi="微软雅黑" w:eastAsia="微软雅黑"/>
                <w:b/>
                <w:color w:val="FFFFFF"/>
                <w:sz w:val="20"/>
              </w:rPr>
              <w:t>权限边界</w:t>
            </w:r>
          </w:p>
        </w:tc>
      </w:tr>
      <w:tr>
        <w:tc>
          <w:tcPr>
            <w:tcW w:type="dxa" w:w="4479"/>
          </w:tcPr>
          <w:p>
            <w:pPr>
              <w:spacing w:after="40" w:line="276" w:lineRule="auto"/>
            </w:pPr>
            <w:r/>
            <w:r>
              <w:rPr>
                <w:rFonts w:ascii="微软雅黑" w:hAnsi="微软雅黑" w:eastAsia="微软雅黑"/>
                <w:b w:val="0"/>
                <w:sz w:val="20"/>
              </w:rPr>
              <w:t>法务审查人</w:t>
            </w:r>
          </w:p>
        </w:tc>
        <w:tc>
          <w:tcPr>
            <w:tcW w:type="dxa" w:w="4479"/>
          </w:tcPr>
          <w:p>
            <w:pPr>
              <w:spacing w:after="40" w:line="276" w:lineRule="auto"/>
            </w:pPr>
            <w:r/>
            <w:r>
              <w:rPr>
                <w:rFonts w:ascii="微软雅黑" w:hAnsi="微软雅黑" w:eastAsia="微软雅黑"/>
                <w:b w:val="0"/>
                <w:sz w:val="20"/>
              </w:rPr>
              <w:t>查看合同审查详情；核对原文高亮证据；采纳或调整修改建议；补充法务意见并触发审批回写</w:t>
            </w:r>
          </w:p>
        </w:tc>
      </w:tr>
      <w:tr>
        <w:tc>
          <w:tcPr>
            <w:tcW w:type="dxa" w:w="4479"/>
          </w:tcPr>
          <w:p>
            <w:pPr>
              <w:spacing w:after="40" w:line="276" w:lineRule="auto"/>
            </w:pPr>
            <w:r/>
            <w:r>
              <w:rPr>
                <w:rFonts w:ascii="微软雅黑" w:hAnsi="微软雅黑" w:eastAsia="微软雅黑"/>
                <w:b w:val="0"/>
                <w:sz w:val="20"/>
              </w:rPr>
              <w:t>业务经办人</w:t>
            </w:r>
          </w:p>
        </w:tc>
        <w:tc>
          <w:tcPr>
            <w:tcW w:type="dxa" w:w="4479"/>
          </w:tcPr>
          <w:p>
            <w:pPr>
              <w:spacing w:after="40" w:line="276" w:lineRule="auto"/>
            </w:pPr>
            <w:r/>
            <w:r>
              <w:rPr>
                <w:rFonts w:ascii="微软雅黑" w:hAnsi="微软雅黑" w:eastAsia="微软雅黑"/>
                <w:b w:val="0"/>
                <w:sz w:val="20"/>
              </w:rPr>
              <w:t>提交合同审查申请；查看合同风险点与整改建议；下载审查报告</w:t>
            </w:r>
          </w:p>
        </w:tc>
      </w:tr>
      <w:tr>
        <w:tc>
          <w:tcPr>
            <w:tcW w:type="dxa" w:w="4479"/>
          </w:tcPr>
          <w:p>
            <w:pPr>
              <w:spacing w:after="40" w:line="276" w:lineRule="auto"/>
            </w:pPr>
            <w:r/>
            <w:r>
              <w:rPr>
                <w:rFonts w:ascii="微软雅黑" w:hAnsi="微软雅黑" w:eastAsia="微软雅黑"/>
                <w:b w:val="0"/>
                <w:sz w:val="20"/>
              </w:rPr>
              <w:t>系统管理员</w:t>
            </w:r>
          </w:p>
        </w:tc>
        <w:tc>
          <w:tcPr>
            <w:tcW w:type="dxa" w:w="4479"/>
          </w:tcPr>
          <w:p>
            <w:pPr>
              <w:spacing w:after="40" w:line="276" w:lineRule="auto"/>
            </w:pPr>
            <w:r/>
            <w:r>
              <w:rPr>
                <w:rFonts w:ascii="微软雅黑" w:hAnsi="微软雅黑" w:eastAsia="微软雅黑"/>
                <w:b w:val="0"/>
                <w:sz w:val="20"/>
              </w:rPr>
              <w:t>配置审批流对接参数；维护合规审查规则与标准条款库；监控审查任务状态并处理阻塞重试</w:t>
            </w:r>
          </w:p>
        </w:tc>
      </w:tr>
    </w:tbl>
    <w:p/>
    <w:p>
      <w:pPr>
        <w:pStyle w:val="Heading3"/>
      </w:pPr>
      <w:r>
        <w:t>2.4 页面需求（已确认）</w:t>
      </w:r>
    </w:p>
    <w:p>
      <w:r>
        <w:rPr>
          <w:rFonts w:ascii="微软雅黑" w:hAnsi="微软雅黑" w:eastAsia="微软雅黑"/>
          <w:b/>
          <w:sz w:val="21"/>
        </w:rPr>
        <w:t>（1）合同审查大盘页</w:t>
      </w:r>
    </w:p>
    <w:p>
      <w:r>
        <w:rPr>
          <w:rFonts w:ascii="微软雅黑" w:hAnsi="微软雅黑" w:eastAsia="微软雅黑"/>
          <w:b w:val="0"/>
          <w:sz w:val="21"/>
        </w:rPr>
        <w:t>展示待审合同列表，字段包含：合同名称、申请人、业务类型、合同金额、审查状态、综合风险等级、创建时间；支持按风险与状态筛选；提供手动上传合同入口。</w:t>
      </w:r>
    </w:p>
    <w:p>
      <w:r>
        <w:rPr>
          <w:rFonts w:ascii="微软雅黑" w:hAnsi="微软雅黑" w:eastAsia="微软雅黑"/>
          <w:b/>
          <w:sz w:val="21"/>
        </w:rPr>
        <w:t>（2）智能审查工作台</w:t>
      </w:r>
      <w:r>
        <w:rPr>
          <w:rFonts w:ascii="微软雅黑" w:hAnsi="微软雅黑" w:eastAsia="微软雅黑"/>
          <w:b w:val="0"/>
          <w:sz w:val="21"/>
        </w:rPr>
        <w:t>（三区布局）</w:t>
      </w:r>
    </w:p>
    <w:p>
      <w:pPr>
        <w:pStyle w:val="ListBullet"/>
        <w:spacing w:after="60"/>
        <w:ind w:left="482"/>
      </w:pPr>
      <w:r>
        <w:rPr>
          <w:rFonts w:ascii="微软雅黑" w:hAnsi="微软雅黑" w:eastAsia="微软雅黑"/>
          <w:b w:val="0"/>
          <w:sz w:val="21"/>
        </w:rPr>
        <w:t>双栏合同视窗区：左侧展示合同正文（支持文档排版与分页查看），高亮标记风险条款与提取的元数据字段，支持与右侧风险卡片联动精准跳页定位；</w:t>
      </w:r>
    </w:p>
    <w:p>
      <w:pPr>
        <w:pStyle w:val="ListBullet"/>
        <w:spacing w:after="60"/>
        <w:ind w:left="482"/>
      </w:pPr>
      <w:r>
        <w:rPr>
          <w:rFonts w:ascii="微软雅黑" w:hAnsi="微软雅黑" w:eastAsia="微软雅黑"/>
          <w:b w:val="0"/>
          <w:sz w:val="21"/>
        </w:rPr>
        <w:t>审查结果与建议区：按高、中、低风险分级展示审查卡片，呈现违规原因、法律依据，并提供 AI 生成的推荐修改条款；</w:t>
      </w:r>
    </w:p>
    <w:p>
      <w:pPr>
        <w:pStyle w:val="ListBullet"/>
        <w:spacing w:after="60"/>
        <w:ind w:left="482"/>
      </w:pPr>
      <w:r>
        <w:rPr>
          <w:rFonts w:ascii="微软雅黑" w:hAnsi="微软雅黑" w:eastAsia="微软雅黑"/>
          <w:b w:val="0"/>
          <w:sz w:val="21"/>
        </w:rPr>
        <w:t>审批协同与回写区：展示综合风险评估摘要与审批关注要点，提供法务人工批注输入框、一键回写审批单按钮与导出报告操作。</w:t>
      </w:r>
    </w:p>
    <w:p>
      <w:r>
        <w:rPr>
          <w:rFonts w:ascii="微软雅黑" w:hAnsi="微软雅黑" w:eastAsia="微软雅黑"/>
          <w:b/>
          <w:sz w:val="21"/>
        </w:rPr>
        <w:t>（3）合规规则与模板页</w:t>
      </w:r>
    </w:p>
    <w:p>
      <w:r>
        <w:rPr>
          <w:rFonts w:ascii="微软雅黑" w:hAnsi="微软雅黑" w:eastAsia="微软雅黑"/>
          <w:b w:val="0"/>
          <w:sz w:val="21"/>
        </w:rPr>
        <w:t>按合同类型（采购、销售、服务、劳动等）维护审查规则项、触发条件、风险分级与标准示范条款库。</w:t>
      </w:r>
    </w:p>
    <w:p>
      <w:pPr>
        <w:pStyle w:val="Heading3"/>
      </w:pPr>
      <w:r>
        <w:t>2.5 审查业务规则与流转机制（已确认）</w:t>
      </w:r>
    </w:p>
    <w:p>
      <w:r>
        <w:rPr>
          <w:rFonts w:ascii="微软雅黑" w:hAnsi="微软雅黑" w:eastAsia="微软雅黑"/>
          <w:b/>
          <w:sz w:val="21"/>
        </w:rPr>
        <w:t>（1）任务状态流转</w:t>
      </w:r>
    </w:p>
    <w:p>
      <w:pPr>
        <w:pStyle w:val="ListBullet"/>
        <w:spacing w:after="60"/>
        <w:ind w:left="482"/>
      </w:pPr>
      <w:r>
        <w:rPr>
          <w:rFonts w:ascii="微软雅黑" w:hAnsi="微软雅黑" w:eastAsia="微软雅黑"/>
          <w:b w:val="0"/>
          <w:sz w:val="21"/>
        </w:rPr>
        <w:t>任务状态：</w:t>
      </w:r>
      <w:r>
        <w:rPr>
          <w:rFonts w:ascii="Consolas" w:hAnsi="Consolas" w:eastAsia="Consolas"/>
          <w:b w:val="0"/>
          <w:sz w:val="21"/>
        </w:rPr>
        <w:t>pending</w:t>
      </w:r>
      <w:r>
        <w:rPr>
          <w:rFonts w:ascii="微软雅黑" w:hAnsi="微软雅黑" w:eastAsia="微软雅黑"/>
          <w:b w:val="0"/>
          <w:sz w:val="21"/>
        </w:rPr>
        <w:t xml:space="preserve">（待处理）→ </w:t>
      </w:r>
      <w:r>
        <w:rPr>
          <w:rFonts w:ascii="Consolas" w:hAnsi="Consolas" w:eastAsia="Consolas"/>
          <w:b w:val="0"/>
          <w:sz w:val="21"/>
        </w:rPr>
        <w:t>parsing</w:t>
      </w:r>
      <w:r>
        <w:rPr>
          <w:rFonts w:ascii="微软雅黑" w:hAnsi="微软雅黑" w:eastAsia="微软雅黑"/>
          <w:b w:val="0"/>
          <w:sz w:val="21"/>
        </w:rPr>
        <w:t xml:space="preserve">（解析中）→ </w:t>
      </w:r>
      <w:r>
        <w:rPr>
          <w:rFonts w:ascii="Consolas" w:hAnsi="Consolas" w:eastAsia="Consolas"/>
          <w:b w:val="0"/>
          <w:sz w:val="21"/>
        </w:rPr>
        <w:t>reviewing</w:t>
      </w:r>
      <w:r>
        <w:rPr>
          <w:rFonts w:ascii="微软雅黑" w:hAnsi="微软雅黑" w:eastAsia="微软雅黑"/>
          <w:b w:val="0"/>
          <w:sz w:val="21"/>
        </w:rPr>
        <w:t xml:space="preserve">（审查中）→ </w:t>
      </w:r>
      <w:r>
        <w:rPr>
          <w:rFonts w:ascii="Consolas" w:hAnsi="Consolas" w:eastAsia="Consolas"/>
          <w:b w:val="0"/>
          <w:sz w:val="21"/>
        </w:rPr>
        <w:t>completed</w:t>
      </w:r>
      <w:r>
        <w:rPr>
          <w:rFonts w:ascii="微软雅黑" w:hAnsi="微软雅黑" w:eastAsia="微软雅黑"/>
          <w:b w:val="0"/>
          <w:sz w:val="21"/>
        </w:rPr>
        <w:t xml:space="preserve">（审查完成），异常时进入 </w:t>
      </w:r>
      <w:r>
        <w:rPr>
          <w:rFonts w:ascii="Consolas" w:hAnsi="Consolas" w:eastAsia="Consolas"/>
          <w:b w:val="0"/>
          <w:sz w:val="21"/>
        </w:rPr>
        <w:t>blocked</w:t>
      </w:r>
      <w:r>
        <w:rPr>
          <w:rFonts w:ascii="微软雅黑" w:hAnsi="微软雅黑" w:eastAsia="微软雅黑"/>
          <w:b w:val="0"/>
          <w:sz w:val="21"/>
        </w:rPr>
        <w:t>（解析受阻）；</w:t>
      </w:r>
    </w:p>
    <w:p>
      <w:pPr>
        <w:pStyle w:val="ListBullet"/>
        <w:spacing w:after="60"/>
        <w:ind w:left="482"/>
      </w:pPr>
      <w:r>
        <w:rPr>
          <w:rFonts w:ascii="微软雅黑" w:hAnsi="微软雅黑" w:eastAsia="微软雅黑"/>
          <w:b w:val="0"/>
          <w:sz w:val="21"/>
        </w:rPr>
        <w:t>回写状态：</w:t>
      </w:r>
      <w:r>
        <w:rPr>
          <w:rFonts w:ascii="Consolas" w:hAnsi="Consolas" w:eastAsia="Consolas"/>
          <w:b w:val="0"/>
          <w:sz w:val="21"/>
        </w:rPr>
        <w:t>not_written</w:t>
      </w:r>
      <w:r>
        <w:rPr>
          <w:rFonts w:ascii="微软雅黑" w:hAnsi="微软雅黑" w:eastAsia="微软雅黑"/>
          <w:b w:val="0"/>
          <w:sz w:val="21"/>
        </w:rPr>
        <w:t xml:space="preserve">（未回写）→ </w:t>
      </w:r>
      <w:r>
        <w:rPr>
          <w:rFonts w:ascii="Consolas" w:hAnsi="Consolas" w:eastAsia="Consolas"/>
          <w:b w:val="0"/>
          <w:sz w:val="21"/>
        </w:rPr>
        <w:t>writing</w:t>
      </w:r>
      <w:r>
        <w:rPr>
          <w:rFonts w:ascii="微软雅黑" w:hAnsi="微软雅黑" w:eastAsia="微软雅黑"/>
          <w:b w:val="0"/>
          <w:sz w:val="21"/>
        </w:rPr>
        <w:t xml:space="preserve">（回写中）→ </w:t>
      </w:r>
      <w:r>
        <w:rPr>
          <w:rFonts w:ascii="Consolas" w:hAnsi="Consolas" w:eastAsia="Consolas"/>
          <w:b w:val="0"/>
          <w:sz w:val="21"/>
        </w:rPr>
        <w:t>success</w:t>
      </w:r>
      <w:r>
        <w:rPr>
          <w:rFonts w:ascii="微软雅黑" w:hAnsi="微软雅黑" w:eastAsia="微软雅黑"/>
          <w:b w:val="0"/>
          <w:sz w:val="21"/>
        </w:rPr>
        <w:t xml:space="preserve">（回写成功）/ </w:t>
      </w:r>
      <w:r>
        <w:rPr>
          <w:rFonts w:ascii="Consolas" w:hAnsi="Consolas" w:eastAsia="Consolas"/>
          <w:b w:val="0"/>
          <w:sz w:val="21"/>
        </w:rPr>
        <w:t>failed</w:t>
      </w:r>
      <w:r>
        <w:rPr>
          <w:rFonts w:ascii="微软雅黑" w:hAnsi="微软雅黑" w:eastAsia="微软雅黑"/>
          <w:b w:val="0"/>
          <w:sz w:val="21"/>
        </w:rPr>
        <w:t>（回写失败）；</w:t>
      </w:r>
    </w:p>
    <w:p>
      <w:pPr>
        <w:pStyle w:val="ListBullet"/>
        <w:spacing w:after="60"/>
        <w:ind w:left="482"/>
      </w:pPr>
      <w:r>
        <w:rPr>
          <w:rFonts w:ascii="微软雅黑" w:hAnsi="微软雅黑" w:eastAsia="微软雅黑"/>
          <w:b w:val="0"/>
          <w:sz w:val="21"/>
        </w:rPr>
        <w:t xml:space="preserve">遇到文档加密、扫描件严重模糊或正文为空时，任务流转为 </w:t>
      </w:r>
      <w:r>
        <w:rPr>
          <w:rFonts w:ascii="Consolas" w:hAnsi="Consolas" w:eastAsia="Consolas"/>
          <w:b w:val="0"/>
          <w:sz w:val="21"/>
        </w:rPr>
        <w:t>blocked</w:t>
      </w:r>
      <w:r>
        <w:rPr>
          <w:rFonts w:ascii="微软雅黑" w:hAnsi="微软雅黑" w:eastAsia="微软雅黑"/>
          <w:b w:val="0"/>
          <w:sz w:val="21"/>
        </w:rPr>
        <w:t xml:space="preserve"> 并记录原因，支持人工重新上传或一键重试。</w:t>
      </w:r>
    </w:p>
    <w:p>
      <w:r>
        <w:rPr>
          <w:rFonts w:ascii="微软雅黑" w:hAnsi="微软雅黑" w:eastAsia="微软雅黑"/>
          <w:b/>
          <w:sz w:val="21"/>
        </w:rPr>
        <w:t>（2）条款提取与元数据解析</w:t>
      </w:r>
    </w:p>
    <w:p>
      <w:pPr>
        <w:pStyle w:val="ListBullet"/>
        <w:spacing w:after="60"/>
        <w:ind w:left="482"/>
      </w:pPr>
      <w:r>
        <w:rPr>
          <w:rFonts w:ascii="微软雅黑" w:hAnsi="微软雅黑" w:eastAsia="微软雅黑"/>
          <w:b w:val="0"/>
          <w:sz w:val="21"/>
        </w:rPr>
        <w:t>自动提取：签约主体名称、统一社会信用代码、合同金额、币种、履行期限、生效条件等核心元数据；</w:t>
      </w:r>
    </w:p>
    <w:p>
      <w:pPr>
        <w:pStyle w:val="ListBullet"/>
        <w:spacing w:after="60"/>
        <w:ind w:left="482"/>
      </w:pPr>
      <w:r>
        <w:rPr>
          <w:rFonts w:ascii="微软雅黑" w:hAnsi="微软雅黑" w:eastAsia="微软雅黑"/>
          <w:b w:val="0"/>
          <w:sz w:val="21"/>
        </w:rPr>
        <w:t>逐段切分：标的物条款、付款进度、验收标准、违约责任、保密义务、数据安全、争议解决管辖等法定与业务条款；</w:t>
      </w:r>
    </w:p>
    <w:p>
      <w:pPr>
        <w:pStyle w:val="ListBullet"/>
        <w:spacing w:after="60"/>
        <w:ind w:left="482"/>
      </w:pPr>
      <w:r>
        <w:rPr>
          <w:rFonts w:ascii="微软雅黑" w:hAnsi="微软雅黑" w:eastAsia="微软雅黑"/>
          <w:b w:val="0"/>
          <w:sz w:val="21"/>
        </w:rPr>
        <w:t>溯源要求：</w:t>
      </w:r>
      <w:r>
        <w:rPr>
          <w:rFonts w:ascii="微软雅黑" w:hAnsi="微软雅黑" w:eastAsia="微软雅黑"/>
          <w:b/>
          <w:sz w:val="21"/>
        </w:rPr>
        <w:t>每个解析项必须记录原文起止字符位置、页码与段落索引</w:t>
      </w:r>
      <w:r>
        <w:rPr>
          <w:rFonts w:ascii="微软雅黑" w:hAnsi="微软雅黑" w:eastAsia="微软雅黑"/>
          <w:b w:val="0"/>
          <w:sz w:val="21"/>
        </w:rPr>
        <w:t>，确保双向可溯源定位。</w:t>
      </w:r>
    </w:p>
    <w:p>
      <w:r>
        <w:rPr>
          <w:rFonts w:ascii="微软雅黑" w:hAnsi="微软雅黑" w:eastAsia="微软雅黑"/>
          <w:b/>
          <w:sz w:val="21"/>
        </w:rPr>
        <w:t>（3）合规审查判定规则</w:t>
      </w:r>
    </w:p>
    <w:p>
      <w:r>
        <w:rPr>
          <w:rFonts w:ascii="微软雅黑" w:hAnsi="微软雅黑" w:eastAsia="微软雅黑"/>
          <w:b w:val="0"/>
          <w:sz w:val="21"/>
        </w:rPr>
        <w:t>综合风险等级分为高、中、低三级。</w:t>
      </w:r>
    </w:p>
    <w:p>
      <w:pPr>
        <w:pStyle w:val="ListBullet"/>
        <w:spacing w:after="60"/>
        <w:ind w:left="482"/>
      </w:pPr>
      <w:r>
        <w:rPr>
          <w:rFonts w:ascii="微软雅黑" w:hAnsi="微软雅黑" w:eastAsia="微软雅黑"/>
          <w:b w:val="0"/>
          <w:sz w:val="21"/>
        </w:rPr>
        <w:t>直接判定为</w:t>
      </w:r>
      <w:r>
        <w:rPr>
          <w:rFonts w:ascii="微软雅黑" w:hAnsi="微软雅黑" w:eastAsia="微软雅黑"/>
          <w:b/>
          <w:sz w:val="21"/>
        </w:rPr>
        <w:t>高风险</w:t>
      </w:r>
      <w:r>
        <w:rPr>
          <w:rFonts w:ascii="微软雅黑" w:hAnsi="微软雅黑" w:eastAsia="微软雅黑"/>
          <w:b w:val="0"/>
          <w:sz w:val="21"/>
        </w:rPr>
        <w:t>的情形：主体信息缺失或被列入经营异常；违约责任严重不对等（如我方单方承担无限责任）；管辖地约定违规；未设置付款前置验收条件。</w:t>
      </w:r>
    </w:p>
    <w:p>
      <w:pPr>
        <w:pStyle w:val="ListBullet"/>
        <w:spacing w:after="60"/>
        <w:ind w:left="482"/>
      </w:pPr>
      <w:r>
        <w:rPr>
          <w:rFonts w:ascii="微软雅黑" w:hAnsi="微软雅黑" w:eastAsia="微软雅黑"/>
          <w:b w:val="0"/>
          <w:sz w:val="21"/>
        </w:rPr>
        <w:t>判定为</w:t>
      </w:r>
      <w:r>
        <w:rPr>
          <w:rFonts w:ascii="微软雅黑" w:hAnsi="微软雅黑" w:eastAsia="微软雅黑"/>
          <w:b/>
          <w:sz w:val="21"/>
        </w:rPr>
        <w:t>中风险</w:t>
      </w:r>
      <w:r>
        <w:rPr>
          <w:rFonts w:ascii="微软雅黑" w:hAnsi="微软雅黑" w:eastAsia="微软雅黑"/>
          <w:b w:val="0"/>
          <w:sz w:val="21"/>
        </w:rPr>
        <w:t>的情形：缺少保密义务期限；未明确不可抗力通知时效；违约金比例超出法定合理范围。</w:t>
      </w:r>
    </w:p>
    <w:p>
      <w:pPr>
        <w:pStyle w:val="ListBullet"/>
        <w:spacing w:after="60"/>
        <w:ind w:left="482"/>
      </w:pPr>
      <w:r>
        <w:rPr>
          <w:rFonts w:ascii="微软雅黑" w:hAnsi="微软雅黑" w:eastAsia="微软雅黑"/>
          <w:b w:val="0"/>
          <w:sz w:val="21"/>
        </w:rPr>
        <w:t>处置要求：针对每个风险点，大模型自动输出替代修改方案（如"双方各承担 50%""违约金不超过合同总额的 20%"）。</w:t>
      </w:r>
    </w:p>
    <w:p>
      <w:pPr>
        <w:pStyle w:val="Heading3"/>
      </w:pPr>
      <w:r>
        <w:t>2.6 前后端模块划分（已确认）</w:t>
      </w:r>
    </w:p>
    <w:p>
      <w:r>
        <w:rPr>
          <w:rFonts w:ascii="微软雅黑" w:hAnsi="微软雅黑" w:eastAsia="微软雅黑"/>
          <w:b/>
          <w:sz w:val="21"/>
        </w:rPr>
        <w:t>前端五模块</w:t>
      </w:r>
    </w:p>
    <w:p>
      <w:pPr>
        <w:pStyle w:val="ListNumber"/>
        <w:spacing w:after="60"/>
        <w:ind w:left="482"/>
      </w:pPr>
      <w:r>
        <w:rPr>
          <w:rFonts w:ascii="微软雅黑" w:hAnsi="微软雅黑" w:eastAsia="微软雅黑"/>
          <w:b w:val="0"/>
          <w:sz w:val="21"/>
        </w:rPr>
        <w:t>大盘与列表模块：任务列表渲染、多条件检索、状态标签与批量操作；</w:t>
      </w:r>
    </w:p>
    <w:p>
      <w:pPr>
        <w:pStyle w:val="ListNumber"/>
        <w:spacing w:after="60"/>
        <w:ind w:left="482"/>
      </w:pPr>
      <w:r>
        <w:rPr>
          <w:rFonts w:ascii="微软雅黑" w:hAnsi="微软雅黑" w:eastAsia="微软雅黑"/>
          <w:b w:val="0"/>
          <w:sz w:val="21"/>
        </w:rPr>
        <w:t>文档视窗模块：PDF/Word 在线预览、文本层高亮渲染、跨页平滑滚动定位；</w:t>
      </w:r>
    </w:p>
    <w:p>
      <w:pPr>
        <w:pStyle w:val="ListNumber"/>
        <w:spacing w:after="60"/>
        <w:ind w:left="482"/>
      </w:pPr>
      <w:r>
        <w:rPr>
          <w:rFonts w:ascii="微软雅黑" w:hAnsi="微软雅黑" w:eastAsia="微软雅黑"/>
          <w:b w:val="0"/>
          <w:sz w:val="21"/>
        </w:rPr>
        <w:t>风险卡片模块：风险等级标签展示、条款差异对比、修改建议一键复制与采纳交互；</w:t>
      </w:r>
    </w:p>
    <w:p>
      <w:pPr>
        <w:pStyle w:val="ListNumber"/>
        <w:spacing w:after="60"/>
        <w:ind w:left="482"/>
      </w:pPr>
      <w:r>
        <w:rPr>
          <w:rFonts w:ascii="微软雅黑" w:hAnsi="微软雅黑" w:eastAsia="微软雅黑"/>
          <w:b w:val="0"/>
          <w:sz w:val="21"/>
        </w:rPr>
        <w:t>协同回写模块：法务批注表单、回写结果状态轮询、审查报告导出预览；</w:t>
      </w:r>
    </w:p>
    <w:p>
      <w:pPr>
        <w:pStyle w:val="ListNumber"/>
        <w:spacing w:after="60"/>
        <w:ind w:left="482"/>
      </w:pPr>
      <w:r>
        <w:rPr>
          <w:rFonts w:ascii="微软雅黑" w:hAnsi="微软雅黑" w:eastAsia="微软雅黑"/>
          <w:b w:val="0"/>
          <w:sz w:val="21"/>
        </w:rPr>
        <w:t>规则配置模块：审查规则树状列表、条件编辑表单与示范条款模板库维护。</w:t>
      </w:r>
    </w:p>
    <w:p>
      <w:r>
        <w:rPr>
          <w:rFonts w:ascii="微软雅黑" w:hAnsi="微软雅黑" w:eastAsia="微软雅黑"/>
          <w:b/>
          <w:sz w:val="21"/>
        </w:rPr>
        <w:t>后端五模块</w:t>
      </w:r>
    </w:p>
    <w:p>
      <w:pPr>
        <w:pStyle w:val="ListNumber"/>
        <w:spacing w:after="60"/>
        <w:ind w:left="482"/>
      </w:pPr>
      <w:r>
        <w:rPr>
          <w:rFonts w:ascii="微软雅黑" w:hAnsi="微软雅黑" w:eastAsia="微软雅黑"/>
          <w:b w:val="0"/>
          <w:sz w:val="21"/>
        </w:rPr>
        <w:t>接入与流转模块：审批系统事件监听、附件去重下载、任务状态机驱动与阻塞重试控制；</w:t>
      </w:r>
    </w:p>
    <w:p>
      <w:pPr>
        <w:pStyle w:val="ListNumber"/>
        <w:spacing w:after="60"/>
        <w:ind w:left="482"/>
      </w:pPr>
      <w:r>
        <w:rPr>
          <w:rFonts w:ascii="微软雅黑" w:hAnsi="微软雅黑" w:eastAsia="微软雅黑"/>
          <w:b w:val="0"/>
          <w:sz w:val="21"/>
        </w:rPr>
        <w:t>文档解析引擎：DOCX 结构解析、PDF 文本抽取、扫描件 OCR 识别，输出分段段落树与元数据；</w:t>
      </w:r>
    </w:p>
    <w:p>
      <w:pPr>
        <w:pStyle w:val="ListNumber"/>
        <w:spacing w:after="60"/>
        <w:ind w:left="482"/>
      </w:pPr>
      <w:r>
        <w:rPr>
          <w:rFonts w:ascii="微软雅黑" w:hAnsi="微软雅黑" w:eastAsia="微软雅黑"/>
          <w:b w:val="0"/>
          <w:sz w:val="21"/>
        </w:rPr>
        <w:t>智能审查引擎：规则模式匹配 + 大语言模型语义研判，执行条款合规性分析并输出风险证据链；</w:t>
      </w:r>
    </w:p>
    <w:p>
      <w:pPr>
        <w:pStyle w:val="ListNumber"/>
        <w:spacing w:after="60"/>
        <w:ind w:left="482"/>
      </w:pPr>
      <w:r>
        <w:rPr>
          <w:rFonts w:ascii="微软雅黑" w:hAnsi="微软雅黑" w:eastAsia="微软雅黑"/>
          <w:b w:val="0"/>
          <w:sz w:val="21"/>
        </w:rPr>
        <w:t>条款推荐引擎：基于标准条款知识库与大模型生成针对性修改建议与改写版本；</w:t>
      </w:r>
    </w:p>
    <w:p>
      <w:pPr>
        <w:pStyle w:val="ListNumber"/>
        <w:spacing w:after="60"/>
        <w:ind w:left="482"/>
      </w:pPr>
      <w:r>
        <w:rPr>
          <w:rFonts w:ascii="微软雅黑" w:hAnsi="微软雅黑" w:eastAsia="微软雅黑"/>
          <w:b w:val="0"/>
          <w:sz w:val="21"/>
        </w:rPr>
        <w:t>审批回写模块：构建格式化审查意见文本，调用审批系统评论接口完成写回并记录回写日志。</w:t>
      </w:r>
    </w:p>
    <w:p>
      <w:pPr>
        <w:pStyle w:val="Heading3"/>
      </w:pPr>
      <w:r>
        <w:t>2.7 核心业务流程（已确认）</w:t>
      </w:r>
    </w:p>
    <w:p>
      <w:r>
        <w:rPr>
          <w:rFonts w:ascii="微软雅黑" w:hAnsi="微软雅黑" w:eastAsia="微软雅黑"/>
          <w:b/>
          <w:sz w:val="21"/>
        </w:rPr>
        <w:t>流程一：审批触发与自动审查</w:t>
      </w:r>
    </w:p>
    <w:p>
      <w:pPr>
        <w:pStyle w:val="ListNumber"/>
        <w:spacing w:after="60"/>
        <w:ind w:left="482"/>
      </w:pPr>
      <w:r>
        <w:rPr>
          <w:rFonts w:ascii="微软雅黑" w:hAnsi="微软雅黑" w:eastAsia="微软雅黑"/>
          <w:b w:val="0"/>
          <w:sz w:val="21"/>
        </w:rPr>
        <w:t>审批系统发起合同审批，推送事件或由审查系统拉取待办任务；</w:t>
      </w:r>
    </w:p>
    <w:p>
      <w:pPr>
        <w:pStyle w:val="ListNumber"/>
        <w:spacing w:after="60"/>
        <w:ind w:left="482"/>
      </w:pPr>
      <w:r>
        <w:rPr>
          <w:rFonts w:ascii="微软雅黑" w:hAnsi="微软雅黑" w:eastAsia="微软雅黑"/>
          <w:b w:val="0"/>
          <w:sz w:val="21"/>
        </w:rPr>
        <w:t>系统下载合同附件并校验完整性，启动文档解析与 OCR 识别；</w:t>
      </w:r>
    </w:p>
    <w:p>
      <w:pPr>
        <w:pStyle w:val="ListNumber"/>
        <w:spacing w:after="60"/>
        <w:ind w:left="482"/>
      </w:pPr>
      <w:r>
        <w:rPr>
          <w:rFonts w:ascii="微软雅黑" w:hAnsi="微软雅黑" w:eastAsia="微软雅黑"/>
          <w:b w:val="0"/>
          <w:sz w:val="21"/>
        </w:rPr>
        <w:t>智能审查引擎提取核心条款，执行规则匹配与大模型合规判定，生成风险卡片与修改建议；</w:t>
      </w:r>
    </w:p>
    <w:p>
      <w:pPr>
        <w:pStyle w:val="ListNumber"/>
        <w:spacing w:after="60"/>
        <w:ind w:left="482"/>
      </w:pPr>
      <w:r>
        <w:rPr>
          <w:rFonts w:ascii="微软雅黑" w:hAnsi="微软雅黑" w:eastAsia="微软雅黑"/>
          <w:b w:val="0"/>
          <w:sz w:val="21"/>
        </w:rPr>
        <w:t>系统计算总风险等级与审查摘要，更新任务状态为审查完成。</w:t>
      </w:r>
    </w:p>
    <w:p>
      <w:r>
        <w:rPr>
          <w:rFonts w:ascii="微软雅黑" w:hAnsi="微软雅黑" w:eastAsia="微软雅黑"/>
          <w:b/>
          <w:sz w:val="21"/>
        </w:rPr>
        <w:t>流程二：法务人工复核与协同改写</w:t>
      </w:r>
    </w:p>
    <w:p>
      <w:pPr>
        <w:pStyle w:val="ListNumber"/>
        <w:spacing w:after="60"/>
        <w:ind w:left="482"/>
      </w:pPr>
      <w:r>
        <w:rPr>
          <w:rFonts w:ascii="微软雅黑" w:hAnsi="微软雅黑" w:eastAsia="微软雅黑"/>
          <w:b w:val="0"/>
          <w:sz w:val="21"/>
        </w:rPr>
        <w:t>法务人员在工作台打开待复核合同，点击风险卡片高亮联动查看原文位置；</w:t>
      </w:r>
    </w:p>
    <w:p>
      <w:pPr>
        <w:pStyle w:val="ListNumber"/>
        <w:spacing w:after="60"/>
        <w:ind w:left="482"/>
      </w:pPr>
      <w:r>
        <w:rPr>
          <w:rFonts w:ascii="微软雅黑" w:hAnsi="微软雅黑" w:eastAsia="微软雅黑"/>
          <w:b w:val="0"/>
          <w:sz w:val="21"/>
        </w:rPr>
        <w:t>核对风险点，确认或调整修改建议，录入补充法务意见；</w:t>
      </w:r>
    </w:p>
    <w:p>
      <w:pPr>
        <w:pStyle w:val="ListNumber"/>
        <w:spacing w:after="60"/>
        <w:ind w:left="482"/>
      </w:pPr>
      <w:r>
        <w:rPr>
          <w:rFonts w:ascii="微软雅黑" w:hAnsi="微软雅黑" w:eastAsia="微软雅黑"/>
          <w:b w:val="0"/>
          <w:sz w:val="21"/>
        </w:rPr>
        <w:t>点击"写回审批意见"，系统将审查摘要与整改建议写回审批单评论区；</w:t>
      </w:r>
    </w:p>
    <w:p>
      <w:pPr>
        <w:pStyle w:val="ListNumber"/>
        <w:spacing w:after="60"/>
        <w:ind w:left="482"/>
      </w:pPr>
      <w:r>
        <w:rPr>
          <w:rFonts w:ascii="微软雅黑" w:hAnsi="微软雅黑" w:eastAsia="微软雅黑"/>
          <w:b w:val="0"/>
          <w:sz w:val="21"/>
        </w:rPr>
        <w:t>系统联动更新回写状态，并允许业务经办人下载整改对比报告。</w:t>
      </w:r>
    </w:p>
    <w:p>
      <w:r>
        <w:rPr>
          <w:rFonts w:ascii="微软雅黑" w:hAnsi="微软雅黑" w:eastAsia="微软雅黑"/>
          <w:b/>
          <w:sz w:val="21"/>
        </w:rPr>
        <w:t>流程三：异常任务阻塞与重试</w:t>
      </w:r>
    </w:p>
    <w:p>
      <w:pPr>
        <w:pStyle w:val="ListNumber"/>
        <w:spacing w:after="60"/>
        <w:ind w:left="482"/>
      </w:pPr>
      <w:r>
        <w:rPr>
          <w:rFonts w:ascii="微软雅黑" w:hAnsi="微软雅黑" w:eastAsia="微软雅黑"/>
          <w:b w:val="0"/>
          <w:sz w:val="21"/>
        </w:rPr>
        <w:t xml:space="preserve">文档解析异常或接口超时触发阻塞保护，任务进入 </w:t>
      </w:r>
      <w:r>
        <w:rPr>
          <w:rFonts w:ascii="Consolas" w:hAnsi="Consolas" w:eastAsia="Consolas"/>
          <w:b w:val="0"/>
          <w:sz w:val="21"/>
        </w:rPr>
        <w:t>blocked</w:t>
      </w:r>
      <w:r>
        <w:rPr>
          <w:rFonts w:ascii="微软雅黑" w:hAnsi="微软雅黑" w:eastAsia="微软雅黑"/>
          <w:b w:val="0"/>
          <w:sz w:val="21"/>
        </w:rPr>
        <w:t xml:space="preserve"> 状态并推送告警；</w:t>
      </w:r>
    </w:p>
    <w:p>
      <w:pPr>
        <w:pStyle w:val="ListNumber"/>
        <w:spacing w:after="60"/>
        <w:ind w:left="482"/>
      </w:pPr>
      <w:r>
        <w:rPr>
          <w:rFonts w:ascii="微软雅黑" w:hAnsi="微软雅黑" w:eastAsia="微软雅黑"/>
          <w:b w:val="0"/>
          <w:sz w:val="21"/>
        </w:rPr>
        <w:t>管理员在列表页查看阻塞原因，修正文件或调整参数后触发"重新审查"，任务重新进入流转流水线。</w:t>
      </w:r>
    </w:p>
    <w:p>
      <w:pPr>
        <w:pStyle w:val="Heading3"/>
      </w:pPr>
      <w:r>
        <w:t>2.8 审查报告与输出格式（已确认）</w:t>
      </w:r>
    </w:p>
    <w:p>
      <w:pPr>
        <w:pStyle w:val="ListBullet"/>
        <w:spacing w:after="60"/>
        <w:ind w:left="482"/>
      </w:pPr>
      <w:r>
        <w:rPr>
          <w:rFonts w:ascii="微软雅黑" w:hAnsi="微软雅黑" w:eastAsia="微软雅黑"/>
          <w:b/>
          <w:sz w:val="21"/>
        </w:rPr>
        <w:t>合同基本信息</w:t>
      </w:r>
      <w:r>
        <w:rPr>
          <w:rFonts w:ascii="微软雅黑" w:hAnsi="微软雅黑" w:eastAsia="微软雅黑"/>
          <w:b w:val="0"/>
          <w:sz w:val="21"/>
        </w:rPr>
        <w:t>：合同标题、合同编号、送审部门、申请人、相对方主体名称、合同金额与履约周期；</w:t>
      </w:r>
    </w:p>
    <w:p>
      <w:pPr>
        <w:pStyle w:val="ListBullet"/>
        <w:spacing w:after="60"/>
        <w:ind w:left="482"/>
      </w:pPr>
      <w:r>
        <w:rPr>
          <w:rFonts w:ascii="微软雅黑" w:hAnsi="微软雅黑" w:eastAsia="微软雅黑"/>
          <w:b/>
          <w:sz w:val="21"/>
        </w:rPr>
        <w:t>综合审查结论</w:t>
      </w:r>
      <w:r>
        <w:rPr>
          <w:rFonts w:ascii="微软雅黑" w:hAnsi="微软雅黑" w:eastAsia="微软雅黑"/>
          <w:b w:val="0"/>
          <w:sz w:val="21"/>
        </w:rPr>
        <w:t>：总风险等级（高/中/低）、通过/整改/建议拒绝结论与核心风险摘要；</w:t>
      </w:r>
    </w:p>
    <w:p>
      <w:pPr>
        <w:pStyle w:val="ListBullet"/>
        <w:spacing w:after="60"/>
        <w:ind w:left="482"/>
      </w:pPr>
      <w:r>
        <w:rPr>
          <w:rFonts w:ascii="微软雅黑" w:hAnsi="微软雅黑" w:eastAsia="微软雅黑"/>
          <w:b/>
          <w:sz w:val="21"/>
        </w:rPr>
        <w:t>风险清单明细</w:t>
      </w:r>
      <w:r>
        <w:rPr>
          <w:rFonts w:ascii="微软雅黑" w:hAnsi="微软雅黑" w:eastAsia="微软雅黑"/>
          <w:b w:val="0"/>
          <w:sz w:val="21"/>
        </w:rPr>
        <w:t>：风险项名称与等级；涉及条款类型与原文片段定位（页码与段落）；风险成因分析与法律合规依据；推荐修改示范条款；</w:t>
      </w:r>
    </w:p>
    <w:p>
      <w:pPr>
        <w:pStyle w:val="ListBullet"/>
        <w:spacing w:after="60"/>
        <w:ind w:left="482"/>
      </w:pPr>
      <w:r>
        <w:rPr>
          <w:rFonts w:ascii="微软雅黑" w:hAnsi="微软雅黑" w:eastAsia="微软雅黑"/>
          <w:b/>
          <w:sz w:val="21"/>
        </w:rPr>
        <w:t>审批回写评论文本</w:t>
      </w:r>
      <w:r>
        <w:rPr>
          <w:rFonts w:ascii="微软雅黑" w:hAnsi="微软雅黑" w:eastAsia="微软雅黑"/>
          <w:b w:val="0"/>
          <w:sz w:val="21"/>
        </w:rPr>
        <w:t>：格式化 Markdown 文本，包含风险总评、需重点关注事项与法务批注。</w:t>
      </w:r>
    </w:p>
    <w:p>
      <w:pPr>
        <w:pStyle w:val="Heading3"/>
      </w:pPr>
      <w:r>
        <w:t>2.9 示例业务场景（已确认）</w:t>
      </w:r>
    </w:p>
    <w:p>
      <w:pPr>
        <w:pStyle w:val="ListNumber"/>
        <w:spacing w:after="60"/>
        <w:ind w:left="482"/>
      </w:pPr>
      <w:r>
        <w:rPr>
          <w:rFonts w:ascii="微软雅黑" w:hAnsi="微软雅黑" w:eastAsia="微软雅黑"/>
          <w:b/>
          <w:sz w:val="21"/>
        </w:rPr>
        <w:t>软件采购合同知识产权与付款风险审查</w:t>
      </w:r>
      <w:r>
        <w:rPr>
          <w:rFonts w:ascii="微软雅黑" w:hAnsi="微软雅黑" w:eastAsia="微软雅黑"/>
          <w:b w:val="0"/>
          <w:sz w:val="21"/>
        </w:rPr>
        <w:t>：审查供应商提供的标准采购合同，识别出"知识产权归属供应商所有"及"到货即付全款无验收条款"两项高风险，系统生成驳回意见并附带保留源代码知识产权与按里程碑付款的修改建议；</w:t>
      </w:r>
    </w:p>
    <w:p>
      <w:pPr>
        <w:pStyle w:val="ListNumber"/>
        <w:spacing w:after="60"/>
        <w:ind w:left="482"/>
      </w:pPr>
      <w:r>
        <w:rPr>
          <w:rFonts w:ascii="微软雅黑" w:hAnsi="微软雅黑" w:eastAsia="微软雅黑"/>
          <w:b/>
          <w:sz w:val="21"/>
        </w:rPr>
        <w:t>大额销售合同违约责任不对等审查</w:t>
      </w:r>
      <w:r>
        <w:rPr>
          <w:rFonts w:ascii="微软雅黑" w:hAnsi="微软雅黑" w:eastAsia="微软雅黑"/>
          <w:b w:val="0"/>
          <w:sz w:val="21"/>
        </w:rPr>
        <w:t>：审查销售合同违约责任条款，识别客户方仅承担每日万分之一滞纳金、而我方承担无上限赔偿责任的非对等条款，系统提示高风险并生成对等赔偿上限示范条款。</w:t>
      </w:r>
    </w:p>
    <w:p>
      <w:r>
        <w:rPr>
          <w:rFonts w:ascii="微软雅黑" w:hAnsi="微软雅黑" w:eastAsia="微软雅黑"/>
          <w:b/>
          <w:sz w:val="21"/>
        </w:rPr>
        <w:t>会议决定</w:t>
      </w:r>
      <w:r>
        <w:rPr>
          <w:rFonts w:ascii="微软雅黑" w:hAnsi="微软雅黑" w:eastAsia="微软雅黑"/>
          <w:b w:val="0"/>
          <w:sz w:val="21"/>
        </w:rPr>
        <w:t>：上述场景中</w:t>
      </w:r>
      <w:r>
        <w:rPr>
          <w:rFonts w:ascii="微软雅黑" w:hAnsi="微软雅黑" w:eastAsia="微软雅黑"/>
          <w:b/>
          <w:sz w:val="21"/>
        </w:rPr>
        <w:t>至少任选一个</w:t>
      </w:r>
      <w:r>
        <w:rPr>
          <w:rFonts w:ascii="微软雅黑" w:hAnsi="微软雅黑" w:eastAsia="微软雅黑"/>
          <w:b w:val="0"/>
          <w:sz w:val="21"/>
        </w:rPr>
        <w:t>完成端到端全流程演示。</w:t>
      </w:r>
    </w:p>
    <w:p>
      <w:pPr>
        <w:pStyle w:val="Heading3"/>
      </w:pPr>
      <w:r>
        <w:t>2.10 验收标准（已确认）</w:t>
      </w:r>
    </w:p>
    <w:p>
      <w:r>
        <w:rPr>
          <w:rFonts w:ascii="微软雅黑" w:hAnsi="微软雅黑" w:eastAsia="微软雅黑"/>
          <w:b w:val="0"/>
          <w:sz w:val="21"/>
        </w:rPr>
        <w:t>系统需同时满足以下 8 条：</w:t>
      </w:r>
    </w:p>
    <w:p>
      <w:pPr>
        <w:pStyle w:val="ListNumber"/>
        <w:spacing w:after="60"/>
        <w:ind w:left="482"/>
      </w:pPr>
      <w:r>
        <w:rPr>
          <w:rFonts w:ascii="微软雅黑" w:hAnsi="微软雅黑" w:eastAsia="微软雅黑"/>
          <w:b w:val="0"/>
          <w:sz w:val="21"/>
        </w:rPr>
        <w:t>能接入并解析 DOCX、PDF 及图片扫描件格式的合同附件；</w:t>
      </w:r>
    </w:p>
    <w:p>
      <w:pPr>
        <w:pStyle w:val="ListNumber"/>
        <w:spacing w:after="60"/>
        <w:ind w:left="482"/>
      </w:pPr>
      <w:r>
        <w:rPr>
          <w:rFonts w:ascii="微软雅黑" w:hAnsi="微软雅黑" w:eastAsia="微软雅黑"/>
          <w:b w:val="0"/>
          <w:sz w:val="21"/>
        </w:rPr>
        <w:t>能准确提取合同核心元数据与主要条款内容，并记录原文页码与位置；</w:t>
      </w:r>
    </w:p>
    <w:p>
      <w:pPr>
        <w:pStyle w:val="ListNumber"/>
        <w:spacing w:after="60"/>
        <w:ind w:left="482"/>
      </w:pPr>
      <w:r>
        <w:rPr>
          <w:rFonts w:ascii="微软雅黑" w:hAnsi="微软雅黑" w:eastAsia="微软雅黑"/>
          <w:b w:val="0"/>
          <w:sz w:val="21"/>
        </w:rPr>
        <w:t>能对必备条款缺失、权责不对等与高危表述完成合规审查，输出风险等级与依据；</w:t>
      </w:r>
    </w:p>
    <w:p>
      <w:pPr>
        <w:pStyle w:val="ListNumber"/>
        <w:spacing w:after="60"/>
        <w:ind w:left="482"/>
      </w:pPr>
      <w:r>
        <w:rPr>
          <w:rFonts w:ascii="微软雅黑" w:hAnsi="微软雅黑" w:eastAsia="微软雅黑"/>
          <w:b w:val="0"/>
          <w:sz w:val="21"/>
        </w:rPr>
        <w:t>能在审查工作台实现原文与风险卡片的双向高亮定位与跳转；</w:t>
      </w:r>
    </w:p>
    <w:p>
      <w:pPr>
        <w:pStyle w:val="ListNumber"/>
        <w:spacing w:after="60"/>
        <w:ind w:left="482"/>
      </w:pPr>
      <w:r>
        <w:rPr>
          <w:rFonts w:ascii="微软雅黑" w:hAnsi="微软雅黑" w:eastAsia="微软雅黑"/>
          <w:b w:val="0"/>
          <w:sz w:val="21"/>
        </w:rPr>
        <w:t>能针对风险条款生成可落地的修改示范条款并支持法务编辑；</w:t>
      </w:r>
    </w:p>
    <w:p>
      <w:pPr>
        <w:pStyle w:val="ListNumber"/>
        <w:spacing w:after="60"/>
        <w:ind w:left="482"/>
      </w:pPr>
      <w:r>
        <w:rPr>
          <w:rFonts w:ascii="微软雅黑" w:hAnsi="微软雅黑" w:eastAsia="微软雅黑"/>
          <w:b w:val="0"/>
          <w:sz w:val="21"/>
        </w:rPr>
        <w:t>能生成格式化审查意见并成功写回审批系统评论区；</w:t>
      </w:r>
    </w:p>
    <w:p>
      <w:pPr>
        <w:pStyle w:val="ListNumber"/>
        <w:spacing w:after="60"/>
        <w:ind w:left="482"/>
      </w:pPr>
      <w:r>
        <w:rPr>
          <w:rFonts w:ascii="微软雅黑" w:hAnsi="微软雅黑" w:eastAsia="微软雅黑"/>
          <w:b w:val="0"/>
          <w:sz w:val="21"/>
        </w:rPr>
        <w:t>解析失败或接口异常时能正确进入阻塞状态并支持重试；</w:t>
      </w:r>
    </w:p>
    <w:p>
      <w:pPr>
        <w:pStyle w:val="ListNumber"/>
        <w:spacing w:after="60"/>
        <w:ind w:left="482"/>
      </w:pPr>
      <w:r>
        <w:rPr>
          <w:rFonts w:ascii="微软雅黑" w:hAnsi="微软雅黑" w:eastAsia="微软雅黑"/>
          <w:b w:val="0"/>
          <w:sz w:val="21"/>
        </w:rPr>
        <w:t>能完成至少一个典型合同的"拉取 → 解析 → 审查 → 复核 → 回写 → 报告导出"演示。</w:t>
      </w:r>
    </w:p>
    <w:p>
      <w:pPr>
        <w:pBdr>
          <w:bottom w:val="single" w:sz="6" w:space="1" w:color="BFBFBF"/>
        </w:pBdr>
      </w:pPr>
    </w:p>
    <w:p>
      <w:pPr>
        <w:pStyle w:val="Heading2"/>
      </w:pPr>
      <w:r>
        <w:t>三、本次会议形成的决议</w:t>
      </w:r>
    </w:p>
    <w:tbl>
      <w:tblPr>
        <w:tblStyle w:val="TableGrid"/>
        <w:tblW w:type="auto" w:w="0"/>
        <w:jc w:val="center"/>
        <w:tblLook w:firstColumn="1" w:firstRow="1" w:lastColumn="0" w:lastRow="0" w:noHBand="0" w:noVBand="1" w:val="04A0"/>
      </w:tblPr>
      <w:tblGrid>
        <w:gridCol w:w="4479"/>
        <w:gridCol w:w="4479"/>
      </w:tblGrid>
      <w:tr>
        <w:tc>
          <w:tcPr>
            <w:tcW w:type="dxa" w:w="4479"/>
            <w:shd w:val="clear" w:color="auto" w:fill="2E5496"/>
          </w:tcPr>
          <w:p>
            <w:pPr>
              <w:jc w:val="center"/>
            </w:pPr>
            <w:r/>
            <w:r>
              <w:rPr>
                <w:rFonts w:ascii="微软雅黑" w:hAnsi="微软雅黑" w:eastAsia="微软雅黑"/>
                <w:b/>
                <w:color w:val="FFFFFF"/>
                <w:sz w:val="20"/>
              </w:rPr>
              <w:t>编号</w:t>
            </w:r>
          </w:p>
        </w:tc>
        <w:tc>
          <w:tcPr>
            <w:tcW w:type="dxa" w:w="4479"/>
            <w:shd w:val="clear" w:color="auto" w:fill="2E5496"/>
          </w:tcPr>
          <w:p>
            <w:pPr>
              <w:jc w:val="center"/>
            </w:pPr>
            <w:r/>
            <w:r>
              <w:rPr>
                <w:rFonts w:ascii="微软雅黑" w:hAnsi="微软雅黑" w:eastAsia="微软雅黑"/>
                <w:b/>
                <w:color w:val="FFFFFF"/>
                <w:sz w:val="20"/>
              </w:rPr>
              <w:t>决议内容</w:t>
            </w:r>
          </w:p>
        </w:tc>
      </w:tr>
      <w:tr>
        <w:tc>
          <w:tcPr>
            <w:tcW w:type="dxa" w:w="4479"/>
          </w:tcPr>
          <w:p>
            <w:pPr>
              <w:spacing w:after="40" w:line="276" w:lineRule="auto"/>
            </w:pPr>
            <w:r/>
            <w:r>
              <w:rPr>
                <w:rFonts w:ascii="微软雅黑" w:hAnsi="微软雅黑" w:eastAsia="微软雅黑"/>
                <w:b w:val="0"/>
                <w:sz w:val="20"/>
              </w:rPr>
              <w:t>D-01</w:t>
            </w:r>
          </w:p>
        </w:tc>
        <w:tc>
          <w:tcPr>
            <w:tcW w:type="dxa" w:w="4479"/>
          </w:tcPr>
          <w:p>
            <w:pPr>
              <w:spacing w:after="40" w:line="276" w:lineRule="auto"/>
            </w:pPr>
            <w:r/>
            <w:r>
              <w:rPr>
                <w:rFonts w:ascii="微软雅黑" w:hAnsi="微软雅黑" w:eastAsia="微软雅黑"/>
                <w:b w:val="0"/>
                <w:sz w:val="20"/>
              </w:rPr>
              <w:t>项目正式立项，名称定为"合同审批审查系统"，定位为企业合同审批场景的智能审查工具。</w:t>
            </w:r>
          </w:p>
        </w:tc>
      </w:tr>
      <w:tr>
        <w:tc>
          <w:tcPr>
            <w:tcW w:type="dxa" w:w="4479"/>
          </w:tcPr>
          <w:p>
            <w:pPr>
              <w:spacing w:after="40" w:line="276" w:lineRule="auto"/>
            </w:pPr>
            <w:r/>
            <w:r>
              <w:rPr>
                <w:rFonts w:ascii="微软雅黑" w:hAnsi="微软雅黑" w:eastAsia="微软雅黑"/>
                <w:b w:val="0"/>
                <w:sz w:val="20"/>
              </w:rPr>
              <w:t>D-02</w:t>
            </w:r>
          </w:p>
        </w:tc>
        <w:tc>
          <w:tcPr>
            <w:tcW w:type="dxa" w:w="4479"/>
          </w:tcPr>
          <w:p>
            <w:pPr>
              <w:spacing w:after="40" w:line="276" w:lineRule="auto"/>
            </w:pPr>
            <w:r/>
            <w:r>
              <w:rPr>
                <w:rFonts w:ascii="微软雅黑" w:hAnsi="微软雅黑" w:eastAsia="微软雅黑"/>
                <w:b w:val="0"/>
                <w:sz w:val="20"/>
              </w:rPr>
              <w:t>交付形态确定为：前端（大盘 + 交互式工作台）+ 后端审查服务 + 示例合同文件集 + 审批回写模拟模块 + 完整演示链路。</w:t>
            </w:r>
          </w:p>
        </w:tc>
      </w:tr>
      <w:tr>
        <w:tc>
          <w:tcPr>
            <w:tcW w:type="dxa" w:w="4479"/>
          </w:tcPr>
          <w:p>
            <w:pPr>
              <w:spacing w:after="40" w:line="276" w:lineRule="auto"/>
            </w:pPr>
            <w:r/>
            <w:r>
              <w:rPr>
                <w:rFonts w:ascii="微软雅黑" w:hAnsi="微软雅黑" w:eastAsia="微软雅黑"/>
                <w:b w:val="0"/>
                <w:sz w:val="20"/>
              </w:rPr>
              <w:t>D-03</w:t>
            </w:r>
          </w:p>
        </w:tc>
        <w:tc>
          <w:tcPr>
            <w:tcW w:type="dxa" w:w="4479"/>
          </w:tcPr>
          <w:p>
            <w:pPr>
              <w:spacing w:after="40" w:line="276" w:lineRule="auto"/>
            </w:pPr>
            <w:r/>
            <w:r>
              <w:rPr>
                <w:rFonts w:ascii="微软雅黑" w:hAnsi="微软雅黑" w:eastAsia="微软雅黑"/>
                <w:b w:val="0"/>
                <w:sz w:val="20"/>
              </w:rPr>
              <w:t>解析能力必须覆盖 DOCX、PDF、扫描件 OCR 三类输入，缺一不可。</w:t>
            </w:r>
          </w:p>
        </w:tc>
      </w:tr>
      <w:tr>
        <w:tc>
          <w:tcPr>
            <w:tcW w:type="dxa" w:w="4479"/>
          </w:tcPr>
          <w:p>
            <w:pPr>
              <w:spacing w:after="40" w:line="276" w:lineRule="auto"/>
            </w:pPr>
            <w:r/>
            <w:r>
              <w:rPr>
                <w:rFonts w:ascii="微软雅黑" w:hAnsi="微软雅黑" w:eastAsia="微软雅黑"/>
                <w:b w:val="0"/>
                <w:sz w:val="20"/>
              </w:rPr>
              <w:t>D-04</w:t>
            </w:r>
          </w:p>
        </w:tc>
        <w:tc>
          <w:tcPr>
            <w:tcW w:type="dxa" w:w="4479"/>
          </w:tcPr>
          <w:p>
            <w:pPr>
              <w:spacing w:after="40" w:line="276" w:lineRule="auto"/>
            </w:pPr>
            <w:r/>
            <w:r>
              <w:rPr>
                <w:rFonts w:ascii="微软雅黑" w:hAnsi="微软雅黑" w:eastAsia="微软雅黑"/>
                <w:b w:val="0"/>
                <w:sz w:val="20"/>
              </w:rPr>
              <w:t>所有解析项强制记录原文起止字符位置、页码与段落索引，溯源能力作为硬性要求，不接受"仅返回文本"的实现。</w:t>
            </w:r>
          </w:p>
        </w:tc>
      </w:tr>
      <w:tr>
        <w:tc>
          <w:tcPr>
            <w:tcW w:type="dxa" w:w="4479"/>
          </w:tcPr>
          <w:p>
            <w:pPr>
              <w:spacing w:after="40" w:line="276" w:lineRule="auto"/>
            </w:pPr>
            <w:r/>
            <w:r>
              <w:rPr>
                <w:rFonts w:ascii="微软雅黑" w:hAnsi="微软雅黑" w:eastAsia="微软雅黑"/>
                <w:b w:val="0"/>
                <w:sz w:val="20"/>
              </w:rPr>
              <w:t>D-05</w:t>
            </w:r>
          </w:p>
        </w:tc>
        <w:tc>
          <w:tcPr>
            <w:tcW w:type="dxa" w:w="4479"/>
          </w:tcPr>
          <w:p>
            <w:pPr>
              <w:spacing w:after="40" w:line="276" w:lineRule="auto"/>
            </w:pPr>
            <w:r/>
            <w:r>
              <w:rPr>
                <w:rFonts w:ascii="微软雅黑" w:hAnsi="微软雅黑" w:eastAsia="微软雅黑"/>
                <w:b w:val="0"/>
                <w:sz w:val="20"/>
              </w:rPr>
              <w:t>风险等级采用高/中/低三级制，高风险与中风险的触发情形按 2.5(3) 执行，不允许自行放宽。</w:t>
            </w:r>
          </w:p>
        </w:tc>
      </w:tr>
      <w:tr>
        <w:tc>
          <w:tcPr>
            <w:tcW w:type="dxa" w:w="4479"/>
          </w:tcPr>
          <w:p>
            <w:pPr>
              <w:spacing w:after="40" w:line="276" w:lineRule="auto"/>
            </w:pPr>
            <w:r/>
            <w:r>
              <w:rPr>
                <w:rFonts w:ascii="微软雅黑" w:hAnsi="微软雅黑" w:eastAsia="微软雅黑"/>
                <w:b w:val="0"/>
                <w:sz w:val="20"/>
              </w:rPr>
              <w:t>D-06</w:t>
            </w:r>
          </w:p>
        </w:tc>
        <w:tc>
          <w:tcPr>
            <w:tcW w:type="dxa" w:w="4479"/>
          </w:tcPr>
          <w:p>
            <w:pPr>
              <w:spacing w:after="40" w:line="276" w:lineRule="auto"/>
            </w:pPr>
            <w:r/>
            <w:r>
              <w:rPr>
                <w:rFonts w:ascii="微软雅黑" w:hAnsi="微软雅黑" w:eastAsia="微软雅黑"/>
                <w:b w:val="0"/>
                <w:sz w:val="20"/>
              </w:rPr>
              <w:t>审批集成以"模拟回写模块"实现，但接口形态、状态机（</w:t>
            </w:r>
            <w:r>
              <w:rPr>
                <w:rFonts w:ascii="Consolas" w:hAnsi="Consolas" w:eastAsia="Consolas"/>
                <w:b w:val="0"/>
                <w:sz w:val="20"/>
              </w:rPr>
              <w:t>not_written</w:t>
            </w:r>
            <w:r>
              <w:rPr>
                <w:rFonts w:ascii="微软雅黑" w:hAnsi="微软雅黑" w:eastAsia="微软雅黑"/>
                <w:b w:val="0"/>
                <w:sz w:val="20"/>
              </w:rPr>
              <w:t>/</w:t>
            </w:r>
            <w:r>
              <w:rPr>
                <w:rFonts w:ascii="Consolas" w:hAnsi="Consolas" w:eastAsia="Consolas"/>
                <w:b w:val="0"/>
                <w:sz w:val="20"/>
              </w:rPr>
              <w:t>writing</w:t>
            </w:r>
            <w:r>
              <w:rPr>
                <w:rFonts w:ascii="微软雅黑" w:hAnsi="微软雅黑" w:eastAsia="微软雅黑"/>
                <w:b w:val="0"/>
                <w:sz w:val="20"/>
              </w:rPr>
              <w:t>/</w:t>
            </w:r>
            <w:r>
              <w:rPr>
                <w:rFonts w:ascii="Consolas" w:hAnsi="Consolas" w:eastAsia="Consolas"/>
                <w:b w:val="0"/>
                <w:sz w:val="20"/>
              </w:rPr>
              <w:t>success</w:t>
            </w:r>
            <w:r>
              <w:rPr>
                <w:rFonts w:ascii="微软雅黑" w:hAnsi="微软雅黑" w:eastAsia="微软雅黑"/>
                <w:b w:val="0"/>
                <w:sz w:val="20"/>
              </w:rPr>
              <w:t>/</w:t>
            </w:r>
            <w:r>
              <w:rPr>
                <w:rFonts w:ascii="Consolas" w:hAnsi="Consolas" w:eastAsia="Consolas"/>
                <w:b w:val="0"/>
                <w:sz w:val="20"/>
              </w:rPr>
              <w:t>failed</w:t>
            </w:r>
            <w:r>
              <w:rPr>
                <w:rFonts w:ascii="微软雅黑" w:hAnsi="微软雅黑" w:eastAsia="微软雅黑"/>
                <w:b w:val="0"/>
                <w:sz w:val="20"/>
              </w:rPr>
              <w:t>）需按真实系统标准设计，保留后续对接真实审批系统的余地。</w:t>
            </w:r>
          </w:p>
        </w:tc>
      </w:tr>
      <w:tr>
        <w:tc>
          <w:tcPr>
            <w:tcW w:type="dxa" w:w="4479"/>
          </w:tcPr>
          <w:p>
            <w:pPr>
              <w:spacing w:after="40" w:line="276" w:lineRule="auto"/>
            </w:pPr>
            <w:r/>
            <w:r>
              <w:rPr>
                <w:rFonts w:ascii="微软雅黑" w:hAnsi="微软雅黑" w:eastAsia="微软雅黑"/>
                <w:b w:val="0"/>
                <w:sz w:val="20"/>
              </w:rPr>
              <w:t>D-07</w:t>
            </w:r>
          </w:p>
        </w:tc>
        <w:tc>
          <w:tcPr>
            <w:tcW w:type="dxa" w:w="4479"/>
          </w:tcPr>
          <w:p>
            <w:pPr>
              <w:spacing w:after="40" w:line="276" w:lineRule="auto"/>
            </w:pPr>
            <w:r/>
            <w:r>
              <w:rPr>
                <w:rFonts w:ascii="微软雅黑" w:hAnsi="微软雅黑" w:eastAsia="微软雅黑"/>
                <w:b w:val="0"/>
                <w:sz w:val="20"/>
              </w:rPr>
              <w:t>端到端演示至少完成一个典型场景，优先选择"软件采购合同知识产权与付款风险审查"。</w:t>
            </w:r>
          </w:p>
        </w:tc>
      </w:tr>
      <w:tr>
        <w:tc>
          <w:tcPr>
            <w:tcW w:type="dxa" w:w="4479"/>
          </w:tcPr>
          <w:p>
            <w:pPr>
              <w:spacing w:after="40" w:line="276" w:lineRule="auto"/>
            </w:pPr>
            <w:r/>
            <w:r>
              <w:rPr>
                <w:rFonts w:ascii="微软雅黑" w:hAnsi="微软雅黑" w:eastAsia="微软雅黑"/>
                <w:b w:val="0"/>
                <w:sz w:val="20"/>
              </w:rPr>
              <w:t>D-08</w:t>
            </w:r>
          </w:p>
        </w:tc>
        <w:tc>
          <w:tcPr>
            <w:tcW w:type="dxa" w:w="4479"/>
          </w:tcPr>
          <w:p>
            <w:pPr>
              <w:spacing w:after="40" w:line="276" w:lineRule="auto"/>
            </w:pPr>
            <w:r/>
            <w:r>
              <w:rPr>
                <w:rFonts w:ascii="微软雅黑" w:hAnsi="微软雅黑" w:eastAsia="微软雅黑"/>
                <w:b w:val="0"/>
                <w:sz w:val="20"/>
              </w:rPr>
              <w:t>验收以 2.10 节的 8 条标准为唯一判定依据。</w:t>
            </w:r>
          </w:p>
        </w:tc>
      </w:tr>
      <w:tr>
        <w:tc>
          <w:tcPr>
            <w:tcW w:type="dxa" w:w="4479"/>
          </w:tcPr>
          <w:p>
            <w:pPr>
              <w:spacing w:after="40" w:line="276" w:lineRule="auto"/>
            </w:pPr>
            <w:r/>
            <w:r>
              <w:rPr>
                <w:rFonts w:ascii="微软雅黑" w:hAnsi="微软雅黑" w:eastAsia="微软雅黑"/>
                <w:b w:val="0"/>
                <w:sz w:val="20"/>
              </w:rPr>
              <w:t>D-09</w:t>
            </w:r>
          </w:p>
        </w:tc>
        <w:tc>
          <w:tcPr>
            <w:tcW w:type="dxa" w:w="4479"/>
          </w:tcPr>
          <w:p>
            <w:pPr>
              <w:spacing w:after="40" w:line="276" w:lineRule="auto"/>
            </w:pPr>
            <w:r/>
            <w:r>
              <w:rPr>
                <w:rFonts w:ascii="微软雅黑" w:hAnsi="微软雅黑" w:eastAsia="微软雅黑"/>
                <w:b/>
                <w:sz w:val="20"/>
              </w:rPr>
              <w:t>技术栈与部署形态</w:t>
            </w:r>
            <w:r>
              <w:rPr>
                <w:rFonts w:ascii="微软雅黑" w:hAnsi="微软雅黑" w:eastAsia="微软雅黑"/>
                <w:b w:val="0"/>
                <w:sz w:val="20"/>
              </w:rPr>
              <w:t>：后端采用 FastAPI，前端采用</w:t>
            </w:r>
            <w:r>
              <w:rPr>
                <w:rFonts w:ascii="微软雅黑" w:hAnsi="微软雅黑" w:eastAsia="微软雅黑"/>
                <w:b/>
                <w:sz w:val="20"/>
              </w:rPr>
              <w:t>多页</w:t>
            </w:r>
            <w:r>
              <w:rPr>
                <w:rFonts w:ascii="微软雅黑" w:hAnsi="微软雅黑" w:eastAsia="微软雅黑"/>
                <w:b w:val="0"/>
                <w:sz w:val="20"/>
              </w:rPr>
              <w:t>架构（Jinja2 服务端渲染 + 原生 ES Module，不做单页应用），单机部署、一条命令启动。</w:t>
            </w:r>
          </w:p>
        </w:tc>
      </w:tr>
      <w:tr>
        <w:tc>
          <w:tcPr>
            <w:tcW w:type="dxa" w:w="4479"/>
          </w:tcPr>
          <w:p>
            <w:pPr>
              <w:spacing w:after="40" w:line="276" w:lineRule="auto"/>
            </w:pPr>
            <w:r/>
            <w:r>
              <w:rPr>
                <w:rFonts w:ascii="微软雅黑" w:hAnsi="微软雅黑" w:eastAsia="微软雅黑"/>
                <w:b w:val="0"/>
                <w:sz w:val="20"/>
              </w:rPr>
              <w:t>D-10</w:t>
            </w:r>
          </w:p>
        </w:tc>
        <w:tc>
          <w:tcPr>
            <w:tcW w:type="dxa" w:w="4479"/>
          </w:tcPr>
          <w:p>
            <w:pPr>
              <w:spacing w:after="40" w:line="276" w:lineRule="auto"/>
            </w:pPr>
            <w:r/>
            <w:r>
              <w:rPr>
                <w:rFonts w:ascii="微软雅黑" w:hAnsi="微软雅黑" w:eastAsia="微软雅黑"/>
                <w:b/>
                <w:sz w:val="20"/>
              </w:rPr>
              <w:t>示例合同来源</w:t>
            </w:r>
            <w:r>
              <w:rPr>
                <w:rFonts w:ascii="微软雅黑" w:hAnsi="微软雅黑" w:eastAsia="微软雅黑"/>
                <w:b w:val="0"/>
                <w:sz w:val="20"/>
              </w:rPr>
              <w:t>：采用公开合同模板改写，覆盖采购、销售、服务、劳动四类，同时包含标准合规用例与植入风险用例。</w:t>
            </w:r>
          </w:p>
        </w:tc>
      </w:tr>
      <w:tr>
        <w:tc>
          <w:tcPr>
            <w:tcW w:type="dxa" w:w="4479"/>
          </w:tcPr>
          <w:p>
            <w:pPr>
              <w:spacing w:after="40" w:line="276" w:lineRule="auto"/>
            </w:pPr>
            <w:r/>
            <w:r>
              <w:rPr>
                <w:rFonts w:ascii="微软雅黑" w:hAnsi="微软雅黑" w:eastAsia="微软雅黑"/>
                <w:b w:val="0"/>
                <w:sz w:val="20"/>
              </w:rPr>
              <w:t>D-11</w:t>
            </w:r>
          </w:p>
        </w:tc>
        <w:tc>
          <w:tcPr>
            <w:tcW w:type="dxa" w:w="4479"/>
          </w:tcPr>
          <w:p>
            <w:pPr>
              <w:spacing w:after="40" w:line="276" w:lineRule="auto"/>
            </w:pPr>
            <w:r/>
            <w:r>
              <w:rPr>
                <w:rFonts w:ascii="微软雅黑" w:hAnsi="微软雅黑" w:eastAsia="微软雅黑"/>
                <w:b/>
                <w:sz w:val="20"/>
              </w:rPr>
              <w:t>演示场景</w:t>
            </w:r>
            <w:r>
              <w:rPr>
                <w:rFonts w:ascii="微软雅黑" w:hAnsi="微软雅黑" w:eastAsia="微软雅黑"/>
                <w:b w:val="0"/>
                <w:sz w:val="20"/>
              </w:rPr>
              <w:t>：面向全班同学与老师演示，以"模拟真实企业工作场景"的方式呈现完整链路；主场景定为</w:t>
            </w:r>
            <w:r>
              <w:rPr>
                <w:rFonts w:ascii="微软雅黑" w:hAnsi="微软雅黑" w:eastAsia="微软雅黑"/>
                <w:b/>
                <w:sz w:val="20"/>
              </w:rPr>
              <w:t>软件采购合同知识产权与付款风险审查</w:t>
            </w:r>
            <w:r>
              <w:rPr>
                <w:rFonts w:ascii="微软雅黑" w:hAnsi="微软雅黑" w:eastAsia="微软雅黑"/>
                <w:b w:val="0"/>
                <w:sz w:val="20"/>
              </w:rPr>
              <w:t>，辅以大额销售合同违约责任不对等作为第二场景。</w:t>
            </w:r>
          </w:p>
        </w:tc>
      </w:tr>
      <w:tr>
        <w:tc>
          <w:tcPr>
            <w:tcW w:type="dxa" w:w="4479"/>
          </w:tcPr>
          <w:p>
            <w:pPr>
              <w:spacing w:after="40" w:line="276" w:lineRule="auto"/>
            </w:pPr>
            <w:r/>
            <w:r>
              <w:rPr>
                <w:rFonts w:ascii="微软雅黑" w:hAnsi="微软雅黑" w:eastAsia="微软雅黑"/>
                <w:b w:val="0"/>
                <w:sz w:val="20"/>
              </w:rPr>
              <w:t>D-12</w:t>
            </w:r>
          </w:p>
        </w:tc>
        <w:tc>
          <w:tcPr>
            <w:tcW w:type="dxa" w:w="4479"/>
          </w:tcPr>
          <w:p>
            <w:pPr>
              <w:spacing w:after="40" w:line="276" w:lineRule="auto"/>
            </w:pPr>
            <w:r/>
            <w:r>
              <w:rPr>
                <w:rFonts w:ascii="微软雅黑" w:hAnsi="微软雅黑" w:eastAsia="微软雅黑"/>
                <w:b/>
                <w:sz w:val="20"/>
              </w:rPr>
              <w:t>其余事项</w:t>
            </w:r>
            <w:r>
              <w:rPr>
                <w:rFonts w:ascii="微软雅黑" w:hAnsi="微软雅黑" w:eastAsia="微软雅黑"/>
                <w:b w:val="0"/>
                <w:sz w:val="20"/>
              </w:rPr>
              <w:t>（技术选型细节、代码组织、里程碑划分与实现方式）授权启明决策并执行，不再逐项请示。</w:t>
            </w:r>
          </w:p>
        </w:tc>
      </w:tr>
    </w:tbl>
    <w:p/>
    <w:p>
      <w:pPr>
        <w:ind w:left="340"/>
      </w:pPr>
      <w:r>
        <w:rPr>
          <w:rFonts w:ascii="微软雅黑" w:hAnsi="微软雅黑" w:eastAsia="微软雅黑"/>
          <w:b w:val="0"/>
          <w:color w:val="595959"/>
          <w:sz w:val="19"/>
        </w:rPr>
        <w:t>补充说明：D-09 至 D-12 为会议结束后经李奕波确认形成，确认时间 2026-09-18 20:46。</w:t>
      </w:r>
    </w:p>
    <w:p>
      <w:pPr>
        <w:pBdr>
          <w:bottom w:val="single" w:sz="6" w:space="1" w:color="BFBFBF"/>
        </w:pBdr>
      </w:pPr>
    </w:p>
    <w:p>
      <w:pPr>
        <w:pStyle w:val="Heading2"/>
      </w:pPr>
      <w:r>
        <w:t>四、待办事项与分工</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shd w:val="clear" w:color="auto" w:fill="2E5496"/>
          </w:tcPr>
          <w:p>
            <w:pPr>
              <w:jc w:val="center"/>
            </w:pPr>
            <w:r/>
            <w:r>
              <w:rPr>
                <w:rFonts w:ascii="微软雅黑" w:hAnsi="微软雅黑" w:eastAsia="微软雅黑"/>
                <w:b/>
                <w:color w:val="FFFFFF"/>
                <w:sz w:val="20"/>
              </w:rPr>
              <w:t>编号</w:t>
            </w:r>
          </w:p>
        </w:tc>
        <w:tc>
          <w:tcPr>
            <w:tcW w:type="dxa" w:w="2239"/>
            <w:shd w:val="clear" w:color="auto" w:fill="2E5496"/>
          </w:tcPr>
          <w:p>
            <w:pPr>
              <w:jc w:val="center"/>
            </w:pPr>
            <w:r/>
            <w:r>
              <w:rPr>
                <w:rFonts w:ascii="微软雅黑" w:hAnsi="微软雅黑" w:eastAsia="微软雅黑"/>
                <w:b/>
                <w:color w:val="FFFFFF"/>
                <w:sz w:val="20"/>
              </w:rPr>
              <w:t>待办事项</w:t>
            </w:r>
          </w:p>
        </w:tc>
        <w:tc>
          <w:tcPr>
            <w:tcW w:type="dxa" w:w="2239"/>
            <w:shd w:val="clear" w:color="auto" w:fill="2E5496"/>
          </w:tcPr>
          <w:p>
            <w:pPr>
              <w:jc w:val="center"/>
            </w:pPr>
            <w:r/>
            <w:r>
              <w:rPr>
                <w:rFonts w:ascii="微软雅黑" w:hAnsi="微软雅黑" w:eastAsia="微软雅黑"/>
                <w:b/>
                <w:color w:val="FFFFFF"/>
                <w:sz w:val="20"/>
              </w:rPr>
              <w:t>责任方</w:t>
            </w:r>
          </w:p>
        </w:tc>
        <w:tc>
          <w:tcPr>
            <w:tcW w:type="dxa" w:w="2239"/>
            <w:shd w:val="clear" w:color="auto" w:fill="2E5496"/>
          </w:tcPr>
          <w:p>
            <w:pPr>
              <w:jc w:val="center"/>
            </w:pPr>
            <w:r/>
            <w:r>
              <w:rPr>
                <w:rFonts w:ascii="微软雅黑" w:hAnsi="微软雅黑" w:eastAsia="微软雅黑"/>
                <w:b/>
                <w:color w:val="FFFFFF"/>
                <w:sz w:val="20"/>
              </w:rPr>
              <w:t>说明 / 产出物</w:t>
            </w:r>
          </w:p>
        </w:tc>
      </w:tr>
      <w:tr>
        <w:tc>
          <w:tcPr>
            <w:tcW w:type="dxa" w:w="2239"/>
          </w:tcPr>
          <w:p>
            <w:pPr>
              <w:spacing w:after="40" w:line="276" w:lineRule="auto"/>
            </w:pPr>
            <w:r/>
            <w:r>
              <w:rPr>
                <w:rFonts w:ascii="微软雅黑" w:hAnsi="微软雅黑" w:eastAsia="微软雅黑"/>
                <w:b w:val="0"/>
                <w:sz w:val="20"/>
              </w:rPr>
              <w:t>T-01</w:t>
            </w:r>
          </w:p>
        </w:tc>
        <w:tc>
          <w:tcPr>
            <w:tcW w:type="dxa" w:w="2239"/>
          </w:tcPr>
          <w:p>
            <w:pPr>
              <w:spacing w:after="40" w:line="276" w:lineRule="auto"/>
            </w:pPr>
            <w:r/>
            <w:r>
              <w:rPr>
                <w:rFonts w:ascii="微软雅黑" w:hAnsi="微软雅黑" w:eastAsia="微软雅黑"/>
                <w:b w:val="0"/>
                <w:sz w:val="20"/>
              </w:rPr>
              <w:t>输出项目总体技术方案与架构设计</w:t>
            </w:r>
          </w:p>
        </w:tc>
        <w:tc>
          <w:tcPr>
            <w:tcW w:type="dxa" w:w="2239"/>
          </w:tcPr>
          <w:p>
            <w:pPr>
              <w:spacing w:after="40" w:line="276" w:lineRule="auto"/>
            </w:pPr>
            <w:r/>
            <w:r>
              <w:rPr>
                <w:rFonts w:ascii="微软雅黑" w:hAnsi="微软雅黑" w:eastAsia="微软雅黑"/>
                <w:b w:val="0"/>
                <w:sz w:val="20"/>
              </w:rPr>
              <w:t>启明（待奕波确认）</w:t>
            </w:r>
          </w:p>
        </w:tc>
        <w:tc>
          <w:tcPr>
            <w:tcW w:type="dxa" w:w="2239"/>
          </w:tcPr>
          <w:p>
            <w:pPr>
              <w:spacing w:after="40" w:line="276" w:lineRule="auto"/>
            </w:pPr>
            <w:r/>
            <w:r>
              <w:rPr>
                <w:rFonts w:ascii="微软雅黑" w:hAnsi="微软雅黑" w:eastAsia="微软雅黑"/>
                <w:b w:val="0"/>
                <w:sz w:val="20"/>
              </w:rPr>
              <w:t>前后端模块落地技术选型、目录结构、接口清单</w:t>
            </w:r>
          </w:p>
        </w:tc>
      </w:tr>
      <w:tr>
        <w:tc>
          <w:tcPr>
            <w:tcW w:type="dxa" w:w="2239"/>
          </w:tcPr>
          <w:p>
            <w:pPr>
              <w:spacing w:after="40" w:line="276" w:lineRule="auto"/>
            </w:pPr>
            <w:r/>
            <w:r>
              <w:rPr>
                <w:rFonts w:ascii="微软雅黑" w:hAnsi="微软雅黑" w:eastAsia="微软雅黑"/>
                <w:b w:val="0"/>
                <w:sz w:val="20"/>
              </w:rPr>
              <w:t>T-02</w:t>
            </w:r>
          </w:p>
        </w:tc>
        <w:tc>
          <w:tcPr>
            <w:tcW w:type="dxa" w:w="2239"/>
          </w:tcPr>
          <w:p>
            <w:pPr>
              <w:spacing w:after="40" w:line="276" w:lineRule="auto"/>
            </w:pPr>
            <w:r/>
            <w:r>
              <w:rPr>
                <w:rFonts w:ascii="微软雅黑" w:hAnsi="微软雅黑" w:eastAsia="微软雅黑"/>
                <w:b w:val="0"/>
                <w:sz w:val="20"/>
              </w:rPr>
              <w:t>准备示例合同文件集</w:t>
            </w:r>
          </w:p>
        </w:tc>
        <w:tc>
          <w:tcPr>
            <w:tcW w:type="dxa" w:w="2239"/>
          </w:tcPr>
          <w:p>
            <w:pPr>
              <w:spacing w:after="40" w:line="276" w:lineRule="auto"/>
            </w:pPr>
            <w:r/>
            <w:r>
              <w:rPr>
                <w:rFonts w:ascii="微软雅黑" w:hAnsi="微软雅黑" w:eastAsia="微软雅黑"/>
                <w:b w:val="0"/>
                <w:sz w:val="20"/>
              </w:rPr>
              <w:t>奕波 / 启明</w:t>
            </w:r>
          </w:p>
        </w:tc>
        <w:tc>
          <w:tcPr>
            <w:tcW w:type="dxa" w:w="2239"/>
          </w:tcPr>
          <w:p>
            <w:pPr>
              <w:spacing w:after="40" w:line="276" w:lineRule="auto"/>
            </w:pPr>
            <w:r/>
            <w:r>
              <w:rPr>
                <w:rFonts w:ascii="微软雅黑" w:hAnsi="微软雅黑" w:eastAsia="微软雅黑"/>
                <w:b w:val="0"/>
                <w:sz w:val="20"/>
              </w:rPr>
              <w:t>覆盖采购、销售、劳动等，含标准用例与含风险用例</w:t>
            </w:r>
          </w:p>
        </w:tc>
      </w:tr>
      <w:tr>
        <w:tc>
          <w:tcPr>
            <w:tcW w:type="dxa" w:w="2239"/>
          </w:tcPr>
          <w:p>
            <w:pPr>
              <w:spacing w:after="40" w:line="276" w:lineRule="auto"/>
            </w:pPr>
            <w:r/>
            <w:r>
              <w:rPr>
                <w:rFonts w:ascii="微软雅黑" w:hAnsi="微软雅黑" w:eastAsia="微软雅黑"/>
                <w:b w:val="0"/>
                <w:sz w:val="20"/>
              </w:rPr>
              <w:t>T-03</w:t>
            </w:r>
          </w:p>
        </w:tc>
        <w:tc>
          <w:tcPr>
            <w:tcW w:type="dxa" w:w="2239"/>
          </w:tcPr>
          <w:p>
            <w:pPr>
              <w:spacing w:after="40" w:line="276" w:lineRule="auto"/>
            </w:pPr>
            <w:r/>
            <w:r>
              <w:rPr>
                <w:rFonts w:ascii="微软雅黑" w:hAnsi="微软雅黑" w:eastAsia="微软雅黑"/>
                <w:b w:val="0"/>
                <w:sz w:val="20"/>
              </w:rPr>
              <w:t>实现文档解析引擎（DOCX / PDF / OCR）</w:t>
            </w:r>
          </w:p>
        </w:tc>
        <w:tc>
          <w:tcPr>
            <w:tcW w:type="dxa" w:w="2239"/>
          </w:tcPr>
          <w:p>
            <w:pPr>
              <w:spacing w:after="40" w:line="276" w:lineRule="auto"/>
            </w:pPr>
            <w:r/>
            <w:r>
              <w:rPr>
                <w:rFonts w:ascii="微软雅黑" w:hAnsi="微软雅黑" w:eastAsia="微软雅黑"/>
                <w:b w:val="0"/>
                <w:sz w:val="20"/>
              </w:rPr>
              <w:t>启明</w:t>
            </w:r>
          </w:p>
        </w:tc>
        <w:tc>
          <w:tcPr>
            <w:tcW w:type="dxa" w:w="2239"/>
          </w:tcPr>
          <w:p>
            <w:pPr>
              <w:spacing w:after="40" w:line="276" w:lineRule="auto"/>
            </w:pPr>
            <w:r/>
            <w:r>
              <w:rPr>
                <w:rFonts w:ascii="微软雅黑" w:hAnsi="微软雅黑" w:eastAsia="微软雅黑"/>
                <w:b w:val="0"/>
                <w:sz w:val="20"/>
              </w:rPr>
              <w:t>输出分段段落树 + 元数据 + 原文位置索引</w:t>
            </w:r>
          </w:p>
        </w:tc>
      </w:tr>
      <w:tr>
        <w:tc>
          <w:tcPr>
            <w:tcW w:type="dxa" w:w="2239"/>
          </w:tcPr>
          <w:p>
            <w:pPr>
              <w:spacing w:after="40" w:line="276" w:lineRule="auto"/>
            </w:pPr>
            <w:r/>
            <w:r>
              <w:rPr>
                <w:rFonts w:ascii="微软雅黑" w:hAnsi="微软雅黑" w:eastAsia="微软雅黑"/>
                <w:b w:val="0"/>
                <w:sz w:val="20"/>
              </w:rPr>
              <w:t>T-04</w:t>
            </w:r>
          </w:p>
        </w:tc>
        <w:tc>
          <w:tcPr>
            <w:tcW w:type="dxa" w:w="2239"/>
          </w:tcPr>
          <w:p>
            <w:pPr>
              <w:spacing w:after="40" w:line="276" w:lineRule="auto"/>
            </w:pPr>
            <w:r/>
            <w:r>
              <w:rPr>
                <w:rFonts w:ascii="微软雅黑" w:hAnsi="微软雅黑" w:eastAsia="微软雅黑"/>
                <w:b w:val="0"/>
                <w:sz w:val="20"/>
              </w:rPr>
              <w:t>实现合规规则库与风险判定规则</w:t>
            </w:r>
          </w:p>
        </w:tc>
        <w:tc>
          <w:tcPr>
            <w:tcW w:type="dxa" w:w="2239"/>
          </w:tcPr>
          <w:p>
            <w:pPr>
              <w:spacing w:after="40" w:line="276" w:lineRule="auto"/>
            </w:pPr>
            <w:r/>
            <w:r>
              <w:rPr>
                <w:rFonts w:ascii="微软雅黑" w:hAnsi="微软雅黑" w:eastAsia="微软雅黑"/>
                <w:b w:val="0"/>
                <w:sz w:val="20"/>
              </w:rPr>
              <w:t>启明</w:t>
            </w:r>
          </w:p>
        </w:tc>
        <w:tc>
          <w:tcPr>
            <w:tcW w:type="dxa" w:w="2239"/>
          </w:tcPr>
          <w:p>
            <w:pPr>
              <w:spacing w:after="40" w:line="276" w:lineRule="auto"/>
            </w:pPr>
            <w:r/>
            <w:r>
              <w:rPr>
                <w:rFonts w:ascii="微软雅黑" w:hAnsi="微软雅黑" w:eastAsia="微软雅黑"/>
                <w:b w:val="0"/>
                <w:sz w:val="20"/>
              </w:rPr>
              <w:t>按合同类型维护规则项、触发条件、风险分级</w:t>
            </w:r>
          </w:p>
        </w:tc>
      </w:tr>
      <w:tr>
        <w:tc>
          <w:tcPr>
            <w:tcW w:type="dxa" w:w="2239"/>
          </w:tcPr>
          <w:p>
            <w:pPr>
              <w:spacing w:after="40" w:line="276" w:lineRule="auto"/>
            </w:pPr>
            <w:r/>
            <w:r>
              <w:rPr>
                <w:rFonts w:ascii="微软雅黑" w:hAnsi="微软雅黑" w:eastAsia="微软雅黑"/>
                <w:b w:val="0"/>
                <w:sz w:val="20"/>
              </w:rPr>
              <w:t>T-05</w:t>
            </w:r>
          </w:p>
        </w:tc>
        <w:tc>
          <w:tcPr>
            <w:tcW w:type="dxa" w:w="2239"/>
          </w:tcPr>
          <w:p>
            <w:pPr>
              <w:spacing w:after="40" w:line="276" w:lineRule="auto"/>
            </w:pPr>
            <w:r/>
            <w:r>
              <w:rPr>
                <w:rFonts w:ascii="微软雅黑" w:hAnsi="微软雅黑" w:eastAsia="微软雅黑"/>
                <w:b w:val="0"/>
                <w:sz w:val="20"/>
              </w:rPr>
              <w:t>实现智能审查引擎与条款推荐引擎</w:t>
            </w:r>
          </w:p>
        </w:tc>
        <w:tc>
          <w:tcPr>
            <w:tcW w:type="dxa" w:w="2239"/>
          </w:tcPr>
          <w:p>
            <w:pPr>
              <w:spacing w:after="40" w:line="276" w:lineRule="auto"/>
            </w:pPr>
            <w:r/>
            <w:r>
              <w:rPr>
                <w:rFonts w:ascii="微软雅黑" w:hAnsi="微软雅黑" w:eastAsia="微软雅黑"/>
                <w:b w:val="0"/>
                <w:sz w:val="20"/>
              </w:rPr>
              <w:t>启明</w:t>
            </w:r>
          </w:p>
        </w:tc>
        <w:tc>
          <w:tcPr>
            <w:tcW w:type="dxa" w:w="2239"/>
          </w:tcPr>
          <w:p>
            <w:pPr>
              <w:spacing w:after="40" w:line="276" w:lineRule="auto"/>
            </w:pPr>
            <w:r/>
            <w:r>
              <w:rPr>
                <w:rFonts w:ascii="微软雅黑" w:hAnsi="微软雅黑" w:eastAsia="微软雅黑"/>
                <w:b w:val="0"/>
                <w:sz w:val="20"/>
              </w:rPr>
              <w:t>规则匹配 + 大模型语义研判，输出风险证据链与示范条款</w:t>
            </w:r>
          </w:p>
        </w:tc>
      </w:tr>
      <w:tr>
        <w:tc>
          <w:tcPr>
            <w:tcW w:type="dxa" w:w="2239"/>
          </w:tcPr>
          <w:p>
            <w:pPr>
              <w:spacing w:after="40" w:line="276" w:lineRule="auto"/>
            </w:pPr>
            <w:r/>
            <w:r>
              <w:rPr>
                <w:rFonts w:ascii="微软雅黑" w:hAnsi="微软雅黑" w:eastAsia="微软雅黑"/>
                <w:b w:val="0"/>
                <w:sz w:val="20"/>
              </w:rPr>
              <w:t>T-06</w:t>
            </w:r>
          </w:p>
        </w:tc>
        <w:tc>
          <w:tcPr>
            <w:tcW w:type="dxa" w:w="2239"/>
          </w:tcPr>
          <w:p>
            <w:pPr>
              <w:spacing w:after="40" w:line="276" w:lineRule="auto"/>
            </w:pPr>
            <w:r/>
            <w:r>
              <w:rPr>
                <w:rFonts w:ascii="微软雅黑" w:hAnsi="微软雅黑" w:eastAsia="微软雅黑"/>
                <w:b w:val="0"/>
                <w:sz w:val="20"/>
              </w:rPr>
              <w:t>实现前端审查大盘与智能审查工作台</w:t>
            </w:r>
          </w:p>
        </w:tc>
        <w:tc>
          <w:tcPr>
            <w:tcW w:type="dxa" w:w="2239"/>
          </w:tcPr>
          <w:p>
            <w:pPr>
              <w:spacing w:after="40" w:line="276" w:lineRule="auto"/>
            </w:pPr>
            <w:r/>
            <w:r>
              <w:rPr>
                <w:rFonts w:ascii="微软雅黑" w:hAnsi="微软雅黑" w:eastAsia="微软雅黑"/>
                <w:b w:val="0"/>
                <w:sz w:val="20"/>
              </w:rPr>
              <w:t>启明</w:t>
            </w:r>
          </w:p>
        </w:tc>
        <w:tc>
          <w:tcPr>
            <w:tcW w:type="dxa" w:w="2239"/>
          </w:tcPr>
          <w:p>
            <w:pPr>
              <w:spacing w:after="40" w:line="276" w:lineRule="auto"/>
            </w:pPr>
            <w:r/>
            <w:r>
              <w:rPr>
                <w:rFonts w:ascii="微软雅黑" w:hAnsi="微软雅黑" w:eastAsia="微软雅黑"/>
                <w:b w:val="0"/>
                <w:sz w:val="20"/>
              </w:rPr>
              <w:t>含双栏视窗、风险卡片联动跳转、协同回写区</w:t>
            </w:r>
          </w:p>
        </w:tc>
      </w:tr>
      <w:tr>
        <w:tc>
          <w:tcPr>
            <w:tcW w:type="dxa" w:w="2239"/>
          </w:tcPr>
          <w:p>
            <w:pPr>
              <w:spacing w:after="40" w:line="276" w:lineRule="auto"/>
            </w:pPr>
            <w:r/>
            <w:r>
              <w:rPr>
                <w:rFonts w:ascii="微软雅黑" w:hAnsi="微软雅黑" w:eastAsia="微软雅黑"/>
                <w:b w:val="0"/>
                <w:sz w:val="20"/>
              </w:rPr>
              <w:t>T-07</w:t>
            </w:r>
          </w:p>
        </w:tc>
        <w:tc>
          <w:tcPr>
            <w:tcW w:type="dxa" w:w="2239"/>
          </w:tcPr>
          <w:p>
            <w:pPr>
              <w:spacing w:after="40" w:line="276" w:lineRule="auto"/>
            </w:pPr>
            <w:r/>
            <w:r>
              <w:rPr>
                <w:rFonts w:ascii="微软雅黑" w:hAnsi="微软雅黑" w:eastAsia="微软雅黑"/>
                <w:b w:val="0"/>
                <w:sz w:val="20"/>
              </w:rPr>
              <w:t>实现审批回写模拟模块与回写日志</w:t>
            </w:r>
          </w:p>
        </w:tc>
        <w:tc>
          <w:tcPr>
            <w:tcW w:type="dxa" w:w="2239"/>
          </w:tcPr>
          <w:p>
            <w:pPr>
              <w:spacing w:after="40" w:line="276" w:lineRule="auto"/>
            </w:pPr>
            <w:r/>
            <w:r>
              <w:rPr>
                <w:rFonts w:ascii="微软雅黑" w:hAnsi="微软雅黑" w:eastAsia="微软雅黑"/>
                <w:b w:val="0"/>
                <w:sz w:val="20"/>
              </w:rPr>
              <w:t>启明</w:t>
            </w:r>
          </w:p>
        </w:tc>
        <w:tc>
          <w:tcPr>
            <w:tcW w:type="dxa" w:w="2239"/>
          </w:tcPr>
          <w:p>
            <w:pPr>
              <w:spacing w:after="40" w:line="276" w:lineRule="auto"/>
            </w:pPr>
            <w:r/>
            <w:r>
              <w:rPr>
                <w:rFonts w:ascii="微软雅黑" w:hAnsi="微软雅黑" w:eastAsia="微软雅黑"/>
                <w:b w:val="0"/>
                <w:sz w:val="20"/>
              </w:rPr>
              <w:t>状态机驱动，支持失败重试与日志留存</w:t>
            </w:r>
          </w:p>
        </w:tc>
      </w:tr>
      <w:tr>
        <w:tc>
          <w:tcPr>
            <w:tcW w:type="dxa" w:w="2239"/>
          </w:tcPr>
          <w:p>
            <w:pPr>
              <w:spacing w:after="40" w:line="276" w:lineRule="auto"/>
            </w:pPr>
            <w:r/>
            <w:r>
              <w:rPr>
                <w:rFonts w:ascii="微软雅黑" w:hAnsi="微软雅黑" w:eastAsia="微软雅黑"/>
                <w:b w:val="0"/>
                <w:sz w:val="20"/>
              </w:rPr>
              <w:t>T-08</w:t>
            </w:r>
          </w:p>
        </w:tc>
        <w:tc>
          <w:tcPr>
            <w:tcW w:type="dxa" w:w="2239"/>
          </w:tcPr>
          <w:p>
            <w:pPr>
              <w:spacing w:after="40" w:line="276" w:lineRule="auto"/>
            </w:pPr>
            <w:r/>
            <w:r>
              <w:rPr>
                <w:rFonts w:ascii="微软雅黑" w:hAnsi="微软雅黑" w:eastAsia="微软雅黑"/>
                <w:b w:val="0"/>
                <w:sz w:val="20"/>
              </w:rPr>
              <w:t>打通端到端演示链路并录制/输出演示说明</w:t>
            </w:r>
          </w:p>
        </w:tc>
        <w:tc>
          <w:tcPr>
            <w:tcW w:type="dxa" w:w="2239"/>
          </w:tcPr>
          <w:p>
            <w:pPr>
              <w:spacing w:after="40" w:line="276" w:lineRule="auto"/>
            </w:pPr>
            <w:r/>
            <w:r>
              <w:rPr>
                <w:rFonts w:ascii="微软雅黑" w:hAnsi="微软雅黑" w:eastAsia="微软雅黑"/>
                <w:b w:val="0"/>
                <w:sz w:val="20"/>
              </w:rPr>
              <w:t>启明</w:t>
            </w:r>
          </w:p>
        </w:tc>
        <w:tc>
          <w:tcPr>
            <w:tcW w:type="dxa" w:w="2239"/>
          </w:tcPr>
          <w:p>
            <w:pPr>
              <w:spacing w:after="40" w:line="276" w:lineRule="auto"/>
            </w:pPr>
            <w:r/>
            <w:r>
              <w:rPr>
                <w:rFonts w:ascii="微软雅黑" w:hAnsi="微软雅黑" w:eastAsia="微软雅黑"/>
                <w:b w:val="0"/>
                <w:sz w:val="20"/>
              </w:rPr>
              <w:t>至少一个典型合同的全流程演示</w:t>
            </w:r>
          </w:p>
        </w:tc>
      </w:tr>
      <w:tr>
        <w:tc>
          <w:tcPr>
            <w:tcW w:type="dxa" w:w="2239"/>
          </w:tcPr>
          <w:p>
            <w:pPr>
              <w:spacing w:after="40" w:line="276" w:lineRule="auto"/>
            </w:pPr>
            <w:r/>
            <w:r>
              <w:rPr>
                <w:rFonts w:ascii="微软雅黑" w:hAnsi="微软雅黑" w:eastAsia="微软雅黑"/>
                <w:b w:val="0"/>
                <w:sz w:val="20"/>
              </w:rPr>
              <w:t>T-09</w:t>
            </w:r>
          </w:p>
        </w:tc>
        <w:tc>
          <w:tcPr>
            <w:tcW w:type="dxa" w:w="2239"/>
          </w:tcPr>
          <w:p>
            <w:pPr>
              <w:spacing w:after="40" w:line="276" w:lineRule="auto"/>
            </w:pPr>
            <w:r/>
            <w:r>
              <w:rPr>
                <w:rFonts w:ascii="微软雅黑" w:hAnsi="微软雅黑" w:eastAsia="微软雅黑"/>
                <w:b w:val="0"/>
                <w:sz w:val="20"/>
              </w:rPr>
              <w:t>确认部署与运行环境（端口、依赖、启动方式）</w:t>
            </w:r>
          </w:p>
        </w:tc>
        <w:tc>
          <w:tcPr>
            <w:tcW w:type="dxa" w:w="2239"/>
          </w:tcPr>
          <w:p>
            <w:pPr>
              <w:spacing w:after="40" w:line="276" w:lineRule="auto"/>
            </w:pPr>
            <w:r/>
            <w:r>
              <w:rPr>
                <w:rFonts w:ascii="微软雅黑" w:hAnsi="微软雅黑" w:eastAsia="微软雅黑"/>
                <w:b w:val="0"/>
                <w:sz w:val="20"/>
              </w:rPr>
              <w:t>启明</w:t>
            </w:r>
          </w:p>
        </w:tc>
        <w:tc>
          <w:tcPr>
            <w:tcW w:type="dxa" w:w="2239"/>
          </w:tcPr>
          <w:p>
            <w:pPr>
              <w:spacing w:after="40" w:line="276" w:lineRule="auto"/>
            </w:pPr>
            <w:r/>
            <w:r>
              <w:rPr>
                <w:rFonts w:ascii="微软雅黑" w:hAnsi="微软雅黑" w:eastAsia="微软雅黑"/>
                <w:b w:val="0"/>
                <w:sz w:val="20"/>
              </w:rPr>
              <w:t>已确认：本机 Python 3.12 + uv 0.12.13 管理依赖，uvicorn 启动，服务端口 8300</w:t>
            </w:r>
          </w:p>
        </w:tc>
      </w:tr>
    </w:tbl>
    <w:p/>
    <w:p>
      <w:pPr>
        <w:ind w:left="340"/>
      </w:pPr>
      <w:r>
        <w:rPr>
          <w:rFonts w:ascii="微软雅黑" w:hAnsi="微软雅黑" w:eastAsia="微软雅黑"/>
          <w:b w:val="0"/>
          <w:color w:val="595959"/>
          <w:sz w:val="19"/>
        </w:rPr>
        <w:t>上表中标注"待确认"的事项，将在下一次会议中定稿。责任方栏为初步分工，以最终确认为准。</w:t>
      </w:r>
    </w:p>
    <w:p>
      <w:pPr>
        <w:pBdr>
          <w:bottom w:val="single" w:sz="6" w:space="1" w:color="BFBFBF"/>
        </w:pBdr>
      </w:pPr>
    </w:p>
    <w:p>
      <w:pPr>
        <w:pStyle w:val="Heading2"/>
      </w:pPr>
      <w:r>
        <w:t>五、风险提示与确认事项</w:t>
      </w:r>
    </w:p>
    <w:p>
      <w:r>
        <w:rPr>
          <w:rFonts w:ascii="微软雅黑" w:hAnsi="微软雅黑" w:eastAsia="微软雅黑"/>
          <w:b/>
          <w:sz w:val="21"/>
        </w:rPr>
        <w:t>风险提示</w:t>
      </w:r>
    </w:p>
    <w:p>
      <w:pPr>
        <w:pStyle w:val="ListNumber"/>
        <w:spacing w:after="60"/>
        <w:ind w:left="482"/>
      </w:pPr>
      <w:r>
        <w:rPr>
          <w:rFonts w:ascii="微软雅黑" w:hAnsi="微软雅黑" w:eastAsia="微软雅黑"/>
          <w:b/>
          <w:sz w:val="21"/>
        </w:rPr>
        <w:t>扫描件 OCR 质量风险</w:t>
      </w:r>
      <w:r>
        <w:rPr>
          <w:rFonts w:ascii="微软雅黑" w:hAnsi="微软雅黑" w:eastAsia="微软雅黑"/>
          <w:b w:val="0"/>
          <w:sz w:val="21"/>
        </w:rPr>
        <w:t xml:space="preserve">：扫描件模糊或排版复杂时，OCR 结果直接影响条款切分与定位精度。当前策略是"严重模糊即进入 </w:t>
      </w:r>
      <w:r>
        <w:rPr>
          <w:rFonts w:ascii="Consolas" w:hAnsi="Consolas" w:eastAsia="Consolas"/>
          <w:b w:val="0"/>
          <w:sz w:val="21"/>
        </w:rPr>
        <w:t>blocked</w:t>
      </w:r>
      <w:r>
        <w:rPr>
          <w:rFonts w:ascii="微软雅黑" w:hAnsi="微软雅黑" w:eastAsia="微软雅黑"/>
          <w:b w:val="0"/>
          <w:sz w:val="21"/>
        </w:rPr>
        <w:t>"，但模糊程度的判定阈值需在开发中实测后固化。</w:t>
      </w:r>
    </w:p>
    <w:p>
      <w:pPr>
        <w:pStyle w:val="ListNumber"/>
        <w:spacing w:after="60"/>
        <w:ind w:left="482"/>
      </w:pPr>
      <w:r>
        <w:rPr>
          <w:rFonts w:ascii="微软雅黑" w:hAnsi="微软雅黑" w:eastAsia="微软雅黑"/>
          <w:b/>
          <w:sz w:val="21"/>
        </w:rPr>
        <w:t>定位精度风险</w:t>
      </w:r>
      <w:r>
        <w:rPr>
          <w:rFonts w:ascii="微软雅黑" w:hAnsi="微软雅黑" w:eastAsia="微软雅黑"/>
          <w:b w:val="0"/>
          <w:sz w:val="21"/>
        </w:rPr>
        <w:t>：DOCX/PDF/OCR 三条解析链路的字符位置体系不一致，需统一换算规则，否则"高亮跳转"会出现偏移。</w:t>
      </w:r>
    </w:p>
    <w:p>
      <w:pPr>
        <w:pStyle w:val="ListNumber"/>
        <w:spacing w:after="60"/>
        <w:ind w:left="482"/>
      </w:pPr>
      <w:r>
        <w:rPr>
          <w:rFonts w:ascii="微软雅黑" w:hAnsi="微软雅黑" w:eastAsia="微软雅黑"/>
          <w:b/>
          <w:sz w:val="21"/>
        </w:rPr>
        <w:t>规则与大模型结论冲突风险</w:t>
      </w:r>
      <w:r>
        <w:rPr>
          <w:rFonts w:ascii="微软雅黑" w:hAnsi="微软雅黑" w:eastAsia="微软雅黑"/>
          <w:b w:val="0"/>
          <w:sz w:val="21"/>
        </w:rPr>
        <w:t>：规则引擎判定高风险、大模型判定低风险时，需明确优先级（建议规则优先，冲突记入待人工复核）。</w:t>
      </w:r>
    </w:p>
    <w:p>
      <w:pPr>
        <w:pStyle w:val="ListNumber"/>
        <w:spacing w:after="60"/>
        <w:ind w:left="482"/>
      </w:pPr>
      <w:r>
        <w:rPr>
          <w:rFonts w:ascii="微软雅黑" w:hAnsi="微软雅黑" w:eastAsia="微软雅黑"/>
          <w:b/>
          <w:sz w:val="21"/>
        </w:rPr>
        <w:t>范围蔓延风险</w:t>
      </w:r>
      <w:r>
        <w:rPr>
          <w:rFonts w:ascii="微软雅黑" w:hAnsi="微软雅黑" w:eastAsia="微软雅黑"/>
          <w:b w:val="0"/>
          <w:sz w:val="21"/>
        </w:rPr>
        <w:t>：本次交付以"可演示、可验收"为边界，真实审批系统的联调不在本次范围内。</w:t>
      </w:r>
    </w:p>
    <w:p>
      <w:r>
        <w:rPr>
          <w:rFonts w:ascii="微软雅黑" w:hAnsi="微软雅黑" w:eastAsia="微软雅黑"/>
          <w:b/>
          <w:sz w:val="21"/>
        </w:rPr>
        <w:t>已确认事项（原待确认，2026-09-18 20:46 由李奕波确认）</w:t>
      </w:r>
    </w:p>
    <w:tbl>
      <w:tblPr>
        <w:tblStyle w:val="TableGrid"/>
        <w:tblW w:type="auto" w:w="0"/>
        <w:jc w:val="center"/>
        <w:tblLook w:firstColumn="1" w:firstRow="1" w:lastColumn="0" w:lastRow="0" w:noHBand="0" w:noVBand="1" w:val="04A0"/>
      </w:tblPr>
      <w:tblGrid>
        <w:gridCol w:w="2986"/>
        <w:gridCol w:w="2986"/>
        <w:gridCol w:w="2986"/>
      </w:tblGrid>
      <w:tr>
        <w:tc>
          <w:tcPr>
            <w:tcW w:type="dxa" w:w="2986"/>
            <w:shd w:val="clear" w:color="auto" w:fill="2E5496"/>
          </w:tcPr>
          <w:p>
            <w:pPr>
              <w:jc w:val="center"/>
            </w:pPr>
            <w:r/>
            <w:r>
              <w:rPr>
                <w:rFonts w:ascii="微软雅黑" w:hAnsi="微软雅黑" w:eastAsia="微软雅黑"/>
                <w:b/>
                <w:color w:val="FFFFFF"/>
                <w:sz w:val="20"/>
              </w:rPr>
              <w:t>编号</w:t>
            </w:r>
          </w:p>
        </w:tc>
        <w:tc>
          <w:tcPr>
            <w:tcW w:type="dxa" w:w="2986"/>
            <w:shd w:val="clear" w:color="auto" w:fill="2E5496"/>
          </w:tcPr>
          <w:p>
            <w:pPr>
              <w:jc w:val="center"/>
            </w:pPr>
            <w:r/>
            <w:r>
              <w:rPr>
                <w:rFonts w:ascii="微软雅黑" w:hAnsi="微软雅黑" w:eastAsia="微软雅黑"/>
                <w:b/>
                <w:color w:val="FFFFFF"/>
                <w:sz w:val="20"/>
              </w:rPr>
              <w:t>原待确认事项</w:t>
            </w:r>
          </w:p>
        </w:tc>
        <w:tc>
          <w:tcPr>
            <w:tcW w:type="dxa" w:w="2986"/>
            <w:shd w:val="clear" w:color="auto" w:fill="2E5496"/>
          </w:tcPr>
          <w:p>
            <w:pPr>
              <w:jc w:val="center"/>
            </w:pPr>
            <w:r/>
            <w:r>
              <w:rPr>
                <w:rFonts w:ascii="微软雅黑" w:hAnsi="微软雅黑" w:eastAsia="微软雅黑"/>
                <w:b/>
                <w:color w:val="FFFFFF"/>
                <w:sz w:val="20"/>
              </w:rPr>
              <w:t>确认结果</w:t>
            </w:r>
          </w:p>
        </w:tc>
      </w:tr>
      <w:tr>
        <w:tc>
          <w:tcPr>
            <w:tcW w:type="dxa" w:w="2986"/>
          </w:tcPr>
          <w:p>
            <w:pPr>
              <w:spacing w:after="40" w:line="276" w:lineRule="auto"/>
            </w:pPr>
            <w:r/>
            <w:r>
              <w:rPr>
                <w:rFonts w:ascii="微软雅黑" w:hAnsi="微软雅黑" w:eastAsia="微软雅黑"/>
                <w:b w:val="0"/>
                <w:sz w:val="20"/>
              </w:rPr>
              <w:t>1</w:t>
            </w:r>
          </w:p>
        </w:tc>
        <w:tc>
          <w:tcPr>
            <w:tcW w:type="dxa" w:w="2986"/>
          </w:tcPr>
          <w:p>
            <w:pPr>
              <w:spacing w:after="40" w:line="276" w:lineRule="auto"/>
            </w:pPr>
            <w:r/>
            <w:r>
              <w:rPr>
                <w:rFonts w:ascii="微软雅黑" w:hAnsi="微软雅黑" w:eastAsia="微软雅黑"/>
                <w:b w:val="0"/>
                <w:sz w:val="20"/>
              </w:rPr>
              <w:t>技术栈与部署形态</w:t>
            </w:r>
          </w:p>
        </w:tc>
        <w:tc>
          <w:tcPr>
            <w:tcW w:type="dxa" w:w="2986"/>
          </w:tcPr>
          <w:p>
            <w:pPr>
              <w:spacing w:after="40" w:line="276" w:lineRule="auto"/>
            </w:pPr>
            <w:r/>
            <w:r>
              <w:rPr>
                <w:rFonts w:ascii="微软雅黑" w:hAnsi="微软雅黑" w:eastAsia="微软雅黑"/>
                <w:b w:val="0"/>
                <w:sz w:val="20"/>
              </w:rPr>
              <w:t xml:space="preserve">沿用 FastAPI + </w:t>
            </w:r>
            <w:r>
              <w:rPr>
                <w:rFonts w:ascii="微软雅黑" w:hAnsi="微软雅黑" w:eastAsia="微软雅黑"/>
                <w:b/>
                <w:sz w:val="20"/>
              </w:rPr>
              <w:t>多页</w:t>
            </w:r>
            <w:r>
              <w:rPr>
                <w:rFonts w:ascii="微软雅黑" w:hAnsi="微软雅黑" w:eastAsia="微软雅黑"/>
                <w:b w:val="0"/>
                <w:sz w:val="20"/>
              </w:rPr>
              <w:t>前端</w:t>
            </w:r>
          </w:p>
        </w:tc>
      </w:tr>
      <w:tr>
        <w:tc>
          <w:tcPr>
            <w:tcW w:type="dxa" w:w="2986"/>
          </w:tcPr>
          <w:p>
            <w:pPr>
              <w:spacing w:after="40" w:line="276" w:lineRule="auto"/>
            </w:pPr>
            <w:r/>
            <w:r>
              <w:rPr>
                <w:rFonts w:ascii="微软雅黑" w:hAnsi="微软雅黑" w:eastAsia="微软雅黑"/>
                <w:b w:val="0"/>
                <w:sz w:val="20"/>
              </w:rPr>
              <w:t>2</w:t>
            </w:r>
          </w:p>
        </w:tc>
        <w:tc>
          <w:tcPr>
            <w:tcW w:type="dxa" w:w="2986"/>
          </w:tcPr>
          <w:p>
            <w:pPr>
              <w:spacing w:after="40" w:line="276" w:lineRule="auto"/>
            </w:pPr>
            <w:r/>
            <w:r>
              <w:rPr>
                <w:rFonts w:ascii="微软雅黑" w:hAnsi="微软雅黑" w:eastAsia="微软雅黑"/>
                <w:b w:val="0"/>
                <w:sz w:val="20"/>
              </w:rPr>
              <w:t>示例合同来源</w:t>
            </w:r>
          </w:p>
        </w:tc>
        <w:tc>
          <w:tcPr>
            <w:tcW w:type="dxa" w:w="2986"/>
          </w:tcPr>
          <w:p>
            <w:pPr>
              <w:spacing w:after="40" w:line="276" w:lineRule="auto"/>
            </w:pPr>
            <w:r/>
            <w:r>
              <w:rPr>
                <w:rFonts w:ascii="微软雅黑" w:hAnsi="微软雅黑" w:eastAsia="微软雅黑"/>
                <w:b/>
                <w:sz w:val="20"/>
              </w:rPr>
              <w:t>公开模板改写</w:t>
            </w:r>
          </w:p>
        </w:tc>
      </w:tr>
      <w:tr>
        <w:tc>
          <w:tcPr>
            <w:tcW w:type="dxa" w:w="2986"/>
          </w:tcPr>
          <w:p>
            <w:pPr>
              <w:spacing w:after="40" w:line="276" w:lineRule="auto"/>
            </w:pPr>
            <w:r/>
            <w:r>
              <w:rPr>
                <w:rFonts w:ascii="微软雅黑" w:hAnsi="微软雅黑" w:eastAsia="微软雅黑"/>
                <w:b w:val="0"/>
                <w:sz w:val="20"/>
              </w:rPr>
              <w:t>3</w:t>
            </w:r>
          </w:p>
        </w:tc>
        <w:tc>
          <w:tcPr>
            <w:tcW w:type="dxa" w:w="2986"/>
          </w:tcPr>
          <w:p>
            <w:pPr>
              <w:spacing w:after="40" w:line="276" w:lineRule="auto"/>
            </w:pPr>
            <w:r/>
            <w:r>
              <w:rPr>
                <w:rFonts w:ascii="微软雅黑" w:hAnsi="微软雅黑" w:eastAsia="微软雅黑"/>
                <w:b w:val="0"/>
                <w:sz w:val="20"/>
              </w:rPr>
              <w:t>演示场景选定</w:t>
            </w:r>
          </w:p>
        </w:tc>
        <w:tc>
          <w:tcPr>
            <w:tcW w:type="dxa" w:w="2986"/>
          </w:tcPr>
          <w:p>
            <w:pPr>
              <w:spacing w:after="40" w:line="276" w:lineRule="auto"/>
            </w:pPr>
            <w:r/>
            <w:r>
              <w:rPr>
                <w:rFonts w:ascii="微软雅黑" w:hAnsi="微软雅黑" w:eastAsia="微软雅黑"/>
                <w:b w:val="0"/>
                <w:sz w:val="20"/>
              </w:rPr>
              <w:t>面向</w:t>
            </w:r>
            <w:r>
              <w:rPr>
                <w:rFonts w:ascii="微软雅黑" w:hAnsi="微软雅黑" w:eastAsia="微软雅黑"/>
                <w:b/>
                <w:sz w:val="20"/>
              </w:rPr>
              <w:t>全班同学老师</w:t>
            </w:r>
            <w:r>
              <w:rPr>
                <w:rFonts w:ascii="微软雅黑" w:hAnsi="微软雅黑" w:eastAsia="微软雅黑"/>
                <w:b w:val="0"/>
                <w:sz w:val="20"/>
              </w:rPr>
              <w:t>演示，</w:t>
            </w:r>
            <w:r>
              <w:rPr>
                <w:rFonts w:ascii="微软雅黑" w:hAnsi="微软雅黑" w:eastAsia="微软雅黑"/>
                <w:b/>
                <w:sz w:val="20"/>
              </w:rPr>
              <w:t>模拟真实工作场景</w:t>
            </w:r>
            <w:r>
              <w:rPr>
                <w:rFonts w:ascii="微软雅黑" w:hAnsi="微软雅黑" w:eastAsia="微软雅黑"/>
                <w:b w:val="0"/>
                <w:sz w:val="20"/>
              </w:rPr>
              <w:t>；主场景为软件采购合同知识产权与付款风险审查</w:t>
            </w:r>
          </w:p>
        </w:tc>
      </w:tr>
      <w:tr>
        <w:tc>
          <w:tcPr>
            <w:tcW w:type="dxa" w:w="2986"/>
          </w:tcPr>
          <w:p>
            <w:pPr>
              <w:spacing w:after="40" w:line="276" w:lineRule="auto"/>
            </w:pPr>
            <w:r/>
            <w:r>
              <w:rPr>
                <w:rFonts w:ascii="微软雅黑" w:hAnsi="微软雅黑" w:eastAsia="微软雅黑"/>
                <w:b w:val="0"/>
                <w:sz w:val="20"/>
              </w:rPr>
              <w:t>4</w:t>
            </w:r>
          </w:p>
        </w:tc>
        <w:tc>
          <w:tcPr>
            <w:tcW w:type="dxa" w:w="2986"/>
          </w:tcPr>
          <w:p>
            <w:pPr>
              <w:spacing w:after="40" w:line="276" w:lineRule="auto"/>
            </w:pPr>
            <w:r/>
            <w:r>
              <w:rPr>
                <w:rFonts w:ascii="微软雅黑" w:hAnsi="微软雅黑" w:eastAsia="微软雅黑"/>
                <w:b w:val="0"/>
                <w:sz w:val="20"/>
              </w:rPr>
              <w:t>时间节奏与里程碑</w:t>
            </w:r>
          </w:p>
        </w:tc>
        <w:tc>
          <w:tcPr>
            <w:tcW w:type="dxa" w:w="2986"/>
          </w:tcPr>
          <w:p>
            <w:pPr>
              <w:spacing w:after="40" w:line="276" w:lineRule="auto"/>
            </w:pPr>
            <w:r/>
            <w:r>
              <w:rPr>
                <w:rFonts w:ascii="微软雅黑" w:hAnsi="微软雅黑" w:eastAsia="微软雅黑"/>
                <w:b w:val="0"/>
                <w:sz w:val="20"/>
              </w:rPr>
              <w:t xml:space="preserve">授权启明按技术方案的 6 个里程碑推进（M1~M6），见 </w:t>
            </w:r>
            <w:r>
              <w:rPr>
                <w:rFonts w:ascii="Consolas" w:hAnsi="Consolas" w:eastAsia="Consolas"/>
                <w:b w:val="0"/>
                <w:sz w:val="20"/>
              </w:rPr>
              <w:t>02-技术方案</w:t>
            </w:r>
          </w:p>
        </w:tc>
      </w:tr>
    </w:tbl>
    <w:p/>
    <w:p>
      <w:pPr>
        <w:pBdr>
          <w:bottom w:val="single" w:sz="6" w:space="1" w:color="BFBFBF"/>
        </w:pBdr>
      </w:pPr>
    </w:p>
    <w:p>
      <w:pPr>
        <w:pStyle w:val="Heading2"/>
      </w:pPr>
      <w:r>
        <w:t>六、下一步计划</w:t>
      </w:r>
    </w:p>
    <w:p>
      <w:pPr>
        <w:pStyle w:val="ListNumber"/>
        <w:spacing w:after="60"/>
        <w:ind w:left="482"/>
      </w:pPr>
      <w:r>
        <w:rPr>
          <w:rFonts w:ascii="微软雅黑" w:hAnsi="微软雅黑" w:eastAsia="微软雅黑"/>
          <w:b w:val="0"/>
          <w:sz w:val="21"/>
        </w:rPr>
        <w:t xml:space="preserve">~~奕波确认本纪要内容及第四章分工、第五章待确认事项~~ —— </w:t>
      </w:r>
      <w:r>
        <w:rPr>
          <w:rFonts w:ascii="微软雅黑" w:hAnsi="微软雅黑" w:eastAsia="微软雅黑"/>
          <w:b/>
          <w:sz w:val="21"/>
        </w:rPr>
        <w:t>已完成</w:t>
      </w:r>
      <w:r>
        <w:rPr>
          <w:rFonts w:ascii="微软雅黑" w:hAnsi="微软雅黑" w:eastAsia="微软雅黑"/>
          <w:b w:val="0"/>
          <w:sz w:val="21"/>
        </w:rPr>
        <w:t>，四项待定事项于 2026-09-18 20:46 确认；</w:t>
      </w:r>
    </w:p>
    <w:p>
      <w:pPr>
        <w:pStyle w:val="ListNumber"/>
        <w:spacing w:after="60"/>
        <w:ind w:left="482"/>
      </w:pPr>
      <w:r>
        <w:rPr>
          <w:rFonts w:ascii="微软雅黑" w:hAnsi="微软雅黑" w:eastAsia="微软雅黑"/>
          <w:b w:val="0"/>
          <w:sz w:val="21"/>
        </w:rPr>
        <w:t xml:space="preserve">启明据确认结果输出技术方案与目录结构，进入开发 —— </w:t>
      </w:r>
      <w:r>
        <w:rPr>
          <w:rFonts w:ascii="微软雅黑" w:hAnsi="微软雅黑" w:eastAsia="微软雅黑"/>
          <w:b/>
          <w:sz w:val="21"/>
        </w:rPr>
        <w:t>进行中</w:t>
      </w:r>
      <w:r>
        <w:rPr>
          <w:rFonts w:ascii="微软雅黑" w:hAnsi="微软雅黑" w:eastAsia="微软雅黑"/>
          <w:b w:val="0"/>
          <w:sz w:val="21"/>
        </w:rPr>
        <w:t xml:space="preserve">，技术方案 V1.0 已产出（见 </w:t>
      </w:r>
      <w:r>
        <w:rPr>
          <w:rFonts w:ascii="Consolas" w:hAnsi="Consolas" w:eastAsia="Consolas"/>
          <w:b w:val="0"/>
          <w:sz w:val="21"/>
        </w:rPr>
        <w:t>02-技术方案/</w:t>
      </w:r>
      <w:r>
        <w:rPr>
          <w:rFonts w:ascii="微软雅黑" w:hAnsi="微软雅黑" w:eastAsia="微软雅黑"/>
          <w:b w:val="0"/>
          <w:sz w:val="21"/>
        </w:rPr>
        <w:t>），工程骨架已建立（</w:t>
      </w:r>
      <w:r>
        <w:rPr>
          <w:rFonts w:ascii="Consolas" w:hAnsi="Consolas" w:eastAsia="Consolas"/>
          <w:b w:val="0"/>
          <w:sz w:val="21"/>
        </w:rPr>
        <w:t>contract-review/</w:t>
      </w:r>
      <w:r>
        <w:rPr>
          <w:rFonts w:ascii="微软雅黑" w:hAnsi="微软雅黑" w:eastAsia="微软雅黑"/>
          <w:b w:val="0"/>
          <w:sz w:val="21"/>
        </w:rPr>
        <w:t>）；</w:t>
      </w:r>
    </w:p>
    <w:p>
      <w:pPr>
        <w:pStyle w:val="ListNumber"/>
        <w:spacing w:after="60"/>
        <w:ind w:left="482"/>
      </w:pPr>
      <w:r>
        <w:rPr>
          <w:rFonts w:ascii="微软雅黑" w:hAnsi="微软雅黑" w:eastAsia="微软雅黑"/>
          <w:b w:val="0"/>
          <w:sz w:val="21"/>
        </w:rPr>
        <w:t>召开第二次会议，评审并冻结技术方案，随后按 M1~M6 里程碑推进。</w:t>
      </w:r>
    </w:p>
    <w:p>
      <w:pPr>
        <w:pBdr>
          <w:bottom w:val="single" w:sz="6" w:space="1" w:color="BFBFBF"/>
        </w:pBdr>
      </w:pPr>
    </w:p>
    <w:p>
      <w:r>
        <w:rPr>
          <w:rFonts w:ascii="微软雅黑" w:hAnsi="微软雅黑" w:eastAsia="微软雅黑"/>
          <w:b/>
          <w:sz w:val="21"/>
        </w:rPr>
        <w:t>纪要形成时间</w:t>
      </w:r>
      <w:r>
        <w:rPr>
          <w:rFonts w:ascii="微软雅黑" w:hAnsi="微软雅黑" w:eastAsia="微软雅黑"/>
          <w:b w:val="0"/>
          <w:sz w:val="21"/>
        </w:rPr>
        <w:t>：2026 年 9 月 18 日</w:t>
      </w:r>
    </w:p>
    <w:p>
      <w:r>
        <w:rPr>
          <w:rFonts w:ascii="微软雅黑" w:hAnsi="微软雅黑" w:eastAsia="微软雅黑"/>
          <w:b/>
          <w:sz w:val="21"/>
        </w:rPr>
        <w:t>最近修订</w:t>
      </w:r>
      <w:r>
        <w:rPr>
          <w:rFonts w:ascii="微软雅黑" w:hAnsi="微软雅黑" w:eastAsia="微软雅黑"/>
          <w:b w:val="0"/>
          <w:sz w:val="21"/>
        </w:rPr>
        <w:t>：2026 年 9 月 18 日 20:46（回填 D-09~D-12 及四项确认结果）</w:t>
      </w:r>
    </w:p>
    <w:p>
      <w:r>
        <w:rPr>
          <w:rFonts w:ascii="微软雅黑" w:hAnsi="微软雅黑" w:eastAsia="微软雅黑"/>
          <w:b/>
          <w:sz w:val="21"/>
        </w:rPr>
        <w:t>记录人</w:t>
      </w:r>
      <w:r>
        <w:rPr>
          <w:rFonts w:ascii="微软雅黑" w:hAnsi="微软雅黑" w:eastAsia="微软雅黑"/>
          <w:b w:val="0"/>
          <w:sz w:val="21"/>
        </w:rPr>
        <w:t>：启明</w:t>
      </w:r>
    </w:p>
    <w:p>
      <w:r>
        <w:rPr>
          <w:rFonts w:ascii="微软雅黑" w:hAnsi="微软雅黑" w:eastAsia="微软雅黑"/>
          <w:b/>
          <w:sz w:val="21"/>
        </w:rPr>
        <w:t>确认状态</w:t>
      </w:r>
      <w:r>
        <w:rPr>
          <w:rFonts w:ascii="微软雅黑" w:hAnsi="微软雅黑" w:eastAsia="微软雅黑"/>
          <w:b w:val="0"/>
          <w:sz w:val="21"/>
        </w:rPr>
        <w:t>：已确认</w:t>
      </w:r>
    </w:p>
    <w:sectPr w:rsidR="00FC693F" w:rsidRPr="0006063C" w:rsidSect="00034616">
      <w:footerReference w:type="default" r:id="rId9"/>
      <w:pgSz w:w="11906" w:h="16838"/>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595959"/>
        <w:sz w:val="16"/>
      </w:rPr>
      <w:t>合同审批审查系统 · 第一次会议纪要 · 2026-09-18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36" w:after="80"/>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88" w:lineRule="auto"/>
      <w:outlineLvl w:val="0"/>
    </w:pPr>
    <w:rPr>
      <w:rFonts w:asciiTheme="majorHAnsi" w:eastAsiaTheme="majorEastAsia" w:hAnsiTheme="majorHAnsi" w:cstheme="majorBidi" w:ascii="微软雅黑" w:hAnsi="微软雅黑" w:eastAsia="微软雅黑"/>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微软雅黑" w:hAnsi="微软雅黑" w:eastAsia="微软雅黑"/>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Theme="majorHAnsi" w:eastAsiaTheme="majorEastAsia" w:hAnsiTheme="majorHAnsi" w:cstheme="majorBidi" w:ascii="微软雅黑" w:hAnsi="微软雅黑" w:eastAsia="微软雅黑"/>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120" w:line="288" w:lineRule="auto"/>
      <w:outlineLvl w:val="3"/>
    </w:pPr>
    <w:rPr>
      <w:rFonts w:asciiTheme="majorHAnsi" w:eastAsiaTheme="majorEastAsia" w:hAnsiTheme="majorHAnsi" w:cstheme="majorBidi" w:ascii="微软雅黑" w:hAnsi="微软雅黑" w:eastAsia="微软雅黑"/>
      <w:b/>
      <w:bCs/>
      <w:i/>
      <w:iCs/>
      <w:color w:val="2E549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