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业务问题建模文档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2.0 · 业务问题建模文档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：衡鉴解决的是"合同审批前，法务/业务方看不完、看不准、说不清合同风险"的问题——用确定性规则引擎 + 大模型解释，把风险定位到原文字符级、给出可采纳的修改建议，并只把意见写回审批单评论区，不碰审批结论。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一、核心业务问题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合同风险审查的本质矛盾</w:t>
      </w:r>
      <w:r>
        <w:rPr>
          <w:rFonts w:ascii="Microsoft YaHei" w:hAnsi="Microsoft YaHei" w:eastAsia="Microsoft YaHei"/>
          <w:b w:val="0"/>
          <w:sz w:val="21"/>
        </w:rPr>
        <w:t>：审批流程要求"每单必审"，但合同数量大、篇幅长、风险点散、专业门槛高，人工逐字审既不可持续也容易漏判。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用一个句子概括：</w:t>
      </w:r>
      <w:r>
        <w:rPr>
          <w:rFonts w:ascii="Microsoft YaHei" w:hAnsi="Microsoft YaHei" w:eastAsia="Microsoft YaHei"/>
          <w:b/>
          <w:sz w:val="21"/>
        </w:rPr>
        <w:t>让每一份合同在审批前先过一遍"数字法务"的脑子——风险可定位、依据可追溯、意见可回写。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三个真实痛点（附量级）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痛点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业务语言描述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量级 / 可观测现象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为什么痛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看不完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一份合同动辄十几页、数千字，逐条核对条款耗时且容易疲劳跳读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演示样例含 4 页 / 1245 字 / 10 个条款节点（样例 01）；13 份样例平均篇幅可观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审批时效考核下，法务被迫"翻而不审"，形式化通过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看不准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同一句话在不同业务视角下风险相反（如"IP 归甲方"在采购有益、在销售有害），靠关键词匹配必然误报漏报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 32 条、11 条高风险，需按 4 类业务（采购/销售/服务/劳动）做视角实例化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误报会淹没真风险、漏报会放过真雷；不可信的系统没人敢用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说不清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即便发现了问题，也缺少"定位 + 依据 + 建议"三位一体的表达，结论难以被审批人与相对方采信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每条风险需带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[char_start, char_end)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字符区间 + 页码 + 段落 + 法条依据 + 修改建议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没有证据链的意见只是主观判断，无法在审批流中流转与复核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量级说明：以上数字来自项目事实基线第八章的真实运行数据；演示样例的合同规模用于说明"单份体量"，并非全企业年审体量测算。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二、目标用户（三类角色）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使用频次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核心诉求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成功标准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送审业务方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（申请人 / 部门）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发起合同审批、补充合同背景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中频（按业务节奏）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上传即可拿到一份"风险地图"，知道自己这份合同哪里危险、要不要先改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上传后无需催问，系统已给出定位清晰的风险清单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审查法务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（核心用户）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确认系统结论、改判等级、改写建议、决定是否回写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高频（审批关卡）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双栏联动快速核对"风险点 ↔ 原文"，可一键采纳/改写建议，驳回错误结论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高风险召回不漏（≥100% 基线）、误报不干扰、回写评论一次成功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合规 / 规则维护者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维护规则库与示范条款、跑回归评测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低频（规则变更时）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看到每条规则的命中逻辑与版本，改完能立刻跑黄金样例验证不退化的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规则改动能被回归评测门禁兜住（高风险召回 &lt;100% 即失败）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明确不做</w:t>
      </w:r>
      <w:r>
        <w:rPr>
          <w:rFonts w:ascii="Microsoft YaHei" w:hAnsi="Microsoft YaHei" w:eastAsia="Microsoft YaHei"/>
          <w:b w:val="0"/>
          <w:sz w:val="21"/>
        </w:rPr>
        <w:t>：审批人（拍板通过/拒绝的人）不是本系统的目标用户——系统只写评论区，不提供任何改变审批结论的动作。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三、MVP 业务场景（选 2 个）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场景一：软件采购合同的知识产权与付款风险审查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采购类（含软件开发/外包）合同上传，业务类型识别为"采购/服务"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参与者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送审业务方（上传）→ 审查法务（确认/改判）→ 系统（回写评论）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主流程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DOCX/PDF → 解析切条 → 规则引擎按"采购视角"实例化 → 命中 IP 归属、付款无验收前置、预付款过高等规则 → 法务双栏核对 → 采纳/改写建议 → 回写审批单评论区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带字符级定位的风险清单（IP 归属相对方、付款缺验收、预付款≥50% 等）、修改建议、可写回的评论正文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基线佐证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演示样例 01《软件采购合同_埋雷版》埋 6 条高风险，命中 HJ-H-001/HJ-H-002/HJ-H-003/HJ-H-004/HJ-H-007/HJ-H-008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为什么选它</w:t>
      </w:r>
      <w:r>
        <w:rPr>
          <w:rFonts w:ascii="Microsoft YaHei" w:hAnsi="Microsoft YaHei" w:eastAsia="Microsoft YaHei"/>
          <w:b w:val="0"/>
          <w:sz w:val="21"/>
        </w:rPr>
        <w:t xml:space="preserve">：知识产权与付款是采购合同最高发的"看不准"场景——"IP 归甲方"在采购中对我方有利，规则必须用 </w:t>
      </w:r>
      <w:r>
        <w:rPr>
          <w:rFonts w:ascii="Consolas" w:hAnsi="Consolas" w:eastAsia="Consolas"/>
          <w:b w:val="0"/>
          <w:color w:val="1F4E79"/>
          <w:sz w:val="20"/>
        </w:rPr>
        <w:t>{我方}/{对方}</w:t>
      </w:r>
      <w:r>
        <w:rPr>
          <w:rFonts w:ascii="Microsoft YaHei" w:hAnsi="Microsoft YaHei" w:eastAsia="Microsoft YaHei"/>
          <w:b w:val="0"/>
          <w:sz w:val="21"/>
        </w:rPr>
        <w:t xml:space="preserve"> 占位做视角实例化，最能体现系统壁垒。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场景二：大额销售合同的违约责任不对等审查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销售类合同上传，业务类型识别为"销售"，金额较大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参与者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送审业务方（上传）→ 审查法务（确认/改判）→ 系统（回写评论）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主流程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上传 DOCX → 解析切条 → 规则引擎按"销售视角"实例化（我方=乙方）→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imbalance_regex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判定同一方在 N 字符内被加重/减轻 → 命中违约责任严重不对等 → 法务核对 → 回写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不对等条款的字符级定位、权责对比说明、改写建议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基线佐证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演示样例 05《大额销售合同_埋雷版》埋 3 条高风险，销售视角下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imbalance_regex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防误报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为什么选它</w:t>
      </w:r>
      <w:r>
        <w:rPr>
          <w:rFonts w:ascii="Microsoft YaHei" w:hAnsi="Microsoft YaHei" w:eastAsia="Microsoft YaHei"/>
          <w:b w:val="0"/>
          <w:sz w:val="21"/>
        </w:rPr>
        <w:t>：销售合同是"视角反转"的典型——采购视角下的安全条款，在销售视角下变成对我方不利的雷。能直接验证"脱离视角必误报"的设计假设是否被工程化解。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四、问题边界定义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做什么（In Scope）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解析 DOCX / PDF / 扫描件（PNG·JPG 等），统一到 </w:t>
      </w:r>
      <w:r>
        <w:rPr>
          <w:rFonts w:ascii="Consolas" w:hAnsi="Consolas" w:eastAsia="Consolas"/>
          <w:b w:val="0"/>
          <w:color w:val="1F4E79"/>
          <w:sz w:val="20"/>
        </w:rPr>
        <w:t>full_text</w:t>
      </w:r>
      <w:r>
        <w:rPr>
          <w:rFonts w:ascii="Microsoft YaHei" w:hAnsi="Microsoft YaHei" w:eastAsia="Microsoft YaHei"/>
          <w:b w:val="0"/>
          <w:sz w:val="21"/>
        </w:rPr>
        <w:t xml:space="preserve"> 字符坐标系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确定性规则引擎判定风险等级与依据（32 条规则、8 种判定类型）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大模型负责解释成因、润色建议、检测跨条款矛盾（失败即降级，不阻断）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原文高亮定位、风险卡片、采纳/改写建议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把审查意见作为</w:t>
      </w:r>
      <w:r>
        <w:rPr>
          <w:rFonts w:ascii="Microsoft YaHei" w:hAnsi="Microsoft YaHei" w:eastAsia="Microsoft YaHei"/>
          <w:b/>
          <w:sz w:val="21"/>
        </w:rPr>
        <w:t>评论</w:t>
      </w:r>
      <w:r>
        <w:rPr>
          <w:rFonts w:ascii="Microsoft YaHei" w:hAnsi="Microsoft YaHei" w:eastAsia="Microsoft YaHei"/>
          <w:b w:val="0"/>
          <w:sz w:val="21"/>
        </w:rPr>
        <w:t>写回审批单（DRY_RUN 预览 + 幂等）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不做什么（Out of Scope，工程红线）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边界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不做审批决策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不提供通过 / 拒绝 / 转交 / 撤回等任何改变审批结论的动作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基线第九章：后端不存在任何审批结论写操作接口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不做合同起草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不生成完整合同，只给出"修改建议"片段供法务采纳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系统产出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文本，非整稿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不做法律意见书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输出是"风险清单 + 建议"，不构成正式法律意见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设计为辅助审查工具，非法律意见出具方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不替代法务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系统结论是"待确认"状态，必须由审查法务 approve / edit / reject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HITL 中断点 + 门禁设计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不跨格式差异化高亮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三种来源共用一套字符区间高亮逻辑，不引入 pdf.js 文本层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基线第三章：统一坐标系是壁垒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五、业务实体与关系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八个核心实体（对应 SQLite 表）：合同 </w:t>
      </w:r>
      <w:r>
        <w:rPr>
          <w:rFonts w:ascii="Consolas" w:hAnsi="Consolas" w:eastAsia="Consolas"/>
          <w:b w:val="0"/>
          <w:color w:val="1F4E79"/>
          <w:sz w:val="19"/>
        </w:rPr>
        <w:t>contracts</w:t>
      </w:r>
      <w:r>
        <w:rPr>
          <w:rFonts w:ascii="Microsoft YaHei" w:hAnsi="Microsoft YaHei" w:eastAsia="Microsoft YaHei"/>
          <w:b w:val="0"/>
          <w:sz w:val="20"/>
        </w:rPr>
        <w:t xml:space="preserve">、文档 </w:t>
      </w:r>
      <w:r>
        <w:rPr>
          <w:rFonts w:ascii="Consolas" w:hAnsi="Consolas" w:eastAsia="Consolas"/>
          <w:b w:val="0"/>
          <w:color w:val="1F4E79"/>
          <w:sz w:val="19"/>
        </w:rPr>
        <w:t>documents</w:t>
      </w:r>
      <w:r>
        <w:rPr>
          <w:rFonts w:ascii="Microsoft YaHei" w:hAnsi="Microsoft YaHei" w:eastAsia="Microsoft YaHei"/>
          <w:b w:val="0"/>
          <w:sz w:val="20"/>
        </w:rPr>
        <w:t xml:space="preserve">、条款 </w:t>
      </w:r>
      <w:r>
        <w:rPr>
          <w:rFonts w:ascii="Consolas" w:hAnsi="Consolas" w:eastAsia="Consolas"/>
          <w:b w:val="0"/>
          <w:color w:val="1F4E79"/>
          <w:sz w:val="19"/>
        </w:rPr>
        <w:t>clauses</w:t>
      </w:r>
      <w:r>
        <w:rPr>
          <w:rFonts w:ascii="Microsoft YaHei" w:hAnsi="Microsoft YaHei" w:eastAsia="Microsoft YaHei"/>
          <w:b w:val="0"/>
          <w:sz w:val="20"/>
        </w:rPr>
        <w:t xml:space="preserve">、风险项 </w:t>
      </w:r>
      <w:r>
        <w:rPr>
          <w:rFonts w:ascii="Consolas" w:hAnsi="Consolas" w:eastAsia="Consolas"/>
          <w:b w:val="0"/>
          <w:color w:val="1F4E79"/>
          <w:sz w:val="19"/>
        </w:rPr>
        <w:t>findings</w:t>
      </w:r>
      <w:r>
        <w:rPr>
          <w:rFonts w:ascii="Microsoft YaHei" w:hAnsi="Microsoft YaHei" w:eastAsia="Microsoft YaHei"/>
          <w:b w:val="0"/>
          <w:sz w:val="20"/>
        </w:rPr>
        <w:t xml:space="preserve">、审查意见 </w:t>
      </w:r>
      <w:r>
        <w:rPr>
          <w:rFonts w:ascii="Consolas" w:hAnsi="Consolas" w:eastAsia="Consolas"/>
          <w:b w:val="0"/>
          <w:color w:val="1F4E79"/>
          <w:sz w:val="19"/>
        </w:rPr>
        <w:t>reviews</w:t>
      </w:r>
      <w:r>
        <w:rPr>
          <w:rFonts w:ascii="Microsoft YaHei" w:hAnsi="Microsoft YaHei" w:eastAsia="Microsoft YaHei"/>
          <w:b w:val="0"/>
          <w:sz w:val="20"/>
        </w:rPr>
        <w:t xml:space="preserve">、回写 </w:t>
      </w:r>
      <w:r>
        <w:rPr>
          <w:rFonts w:ascii="Consolas" w:hAnsi="Consolas" w:eastAsia="Consolas"/>
          <w:b w:val="0"/>
          <w:color w:val="1F4E79"/>
          <w:sz w:val="19"/>
        </w:rPr>
        <w:t>writebacks</w:t>
      </w:r>
      <w:r>
        <w:rPr>
          <w:rFonts w:ascii="Microsoft YaHei" w:hAnsi="Microsoft YaHei" w:eastAsia="Microsoft YaHei"/>
          <w:b w:val="0"/>
          <w:sz w:val="20"/>
        </w:rPr>
        <w:t xml:space="preserve">、审计 </w:t>
      </w:r>
      <w:r>
        <w:rPr>
          <w:rFonts w:ascii="Consolas" w:hAnsi="Consolas" w:eastAsia="Consolas"/>
          <w:b w:val="0"/>
          <w:color w:val="1F4E79"/>
          <w:sz w:val="19"/>
        </w:rPr>
        <w:t>audit_logs</w:t>
      </w:r>
      <w:r>
        <w:rPr>
          <w:rFonts w:ascii="Microsoft YaHei" w:hAnsi="Microsoft YaHei" w:eastAsia="Microsoft YaHei"/>
          <w:b w:val="0"/>
          <w:sz w:val="20"/>
        </w:rPr>
        <w:t xml:space="preserve">、人工审核 </w:t>
      </w:r>
      <w:r>
        <w:rPr>
          <w:rFonts w:ascii="Consolas" w:hAnsi="Consolas" w:eastAsia="Consolas"/>
          <w:b w:val="0"/>
          <w:color w:val="1F4E79"/>
          <w:sz w:val="19"/>
        </w:rPr>
        <w:t>hitl_actions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graph LR</w:t>
        <w:br/>
        <w:t xml:space="preserve">    合同["合同 contracts&lt;br/&gt;主表+状态+结论"] --&gt;|1:N| 文档["文档 documents&lt;br/&gt;解析状态/引擎/SHA256"]</w:t>
        <w:br/>
        <w:t xml:space="preserve">    合同 --&gt;|1:N| 条款["条款 clauses&lt;br/&gt;char_start/char_end"]</w:t>
        <w:br/>
        <w:t xml:space="preserve">    文档 --&gt;|1:N| 条款</w:t>
        <w:br/>
        <w:t xml:space="preserve">    合同 --&gt;|1:1 最新| 审查意见["审查意见 reviews&lt;br/&gt;结论/关注点"]</w:t>
        <w:br/>
        <w:t xml:space="preserve">    条款 --&gt;|1:N| 风险项["风险项 findings&lt;br/&gt;规则ID/等级/坐标"]</w:t>
        <w:br/>
        <w:t xml:space="preserve">    合同 --&gt;|1:N| 风险项</w:t>
        <w:br/>
        <w:t xml:space="preserve">    审查意见 --&gt;|汇总自| 风险项</w:t>
        <w:br/>
        <w:t xml:space="preserve">    合同 --&gt;|1:1 最新| 回写["回写 writebacks&lt;br/&gt;状态/幂等键"]</w:t>
        <w:br/>
        <w:t xml:space="preserve">    回写 -.-&gt;|幂等三键&lt;br/&gt;合同编号+SHA256+规则版本| 风险项</w:t>
        <w:br/>
        <w:t xml:space="preserve">    合同 --&gt;|1:N| 审计["审计 audit_logs&lt;br/&gt;step/tool/摘要"]</w:t>
        <w:br/>
        <w:t xml:space="preserve">    合同 --&gt;|1:N| HITL["人工审核 hitl_actions&lt;br/&gt;approve/edit/reject/resume"]</w:t>
        <w:br/>
        <w:t xml:space="preserve">    审查意见 --&gt;|决策对象| HITL</w:t>
        <w:br/>
        <w:t xml:space="preserve">    风险项 --&gt;|决策对象| HITL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关系要点（为什么这样连）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条款与文档都挂在合同下，但条款的坐标锚定在 </w:t>
      </w:r>
      <w:r>
        <w:rPr>
          <w:rFonts w:ascii="Consolas" w:hAnsi="Consolas" w:eastAsia="Consolas"/>
          <w:b w:val="0"/>
          <w:color w:val="1F4E79"/>
          <w:sz w:val="20"/>
        </w:rPr>
        <w:t>full_text</w:t>
      </w:r>
      <w:r>
        <w:rPr>
          <w:rFonts w:ascii="Microsoft YaHei" w:hAnsi="Microsoft YaHei" w:eastAsia="Microsoft YaHei"/>
          <w:b w:val="0"/>
          <w:sz w:val="21"/>
        </w:rPr>
        <w:t>，文档只记录"怎么解析出来的"——二者解耦，重试时清条款不清文档指纹。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风险项同时引用合同与条款，但 </w:t>
      </w:r>
      <w:r>
        <w:rPr>
          <w:rFonts w:ascii="Consolas" w:hAnsi="Consolas" w:eastAsia="Consolas"/>
          <w:b w:val="0"/>
          <w:color w:val="1F4E79"/>
          <w:sz w:val="20"/>
        </w:rPr>
        <w:t>clause_id</w:t>
      </w:r>
      <w:r>
        <w:rPr>
          <w:rFonts w:ascii="Microsoft YaHei" w:hAnsi="Microsoft YaHei" w:eastAsia="Microsoft YaHei"/>
          <w:b w:val="0"/>
          <w:sz w:val="21"/>
        </w:rPr>
        <w:t xml:space="preserve"> 可空：扫描件/OCR 路径下可能只落到字符区间，不强制绑定条款节点。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回写与风险项通过"幂等三键"间接关联（合同编号 + 附件 SHA256 + 规则版本号），保证"同样一份合同用同一版规则"的结果可复用、可跳过。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HITL 落"动作流水"而非"状态字段"：谁在何时同意/修改/驳回了什么天然可追溯，</w:t>
      </w:r>
      <w:r>
        <w:rPr>
          <w:rFonts w:ascii="Microsoft YaHei" w:hAnsi="Microsoft YaHei" w:eastAsia="Microsoft YaHei"/>
          <w:b/>
          <w:sz w:val="21"/>
        </w:rPr>
        <w:t>审计信息即业务数据</w:t>
      </w:r>
      <w:r>
        <w:rPr>
          <w:rFonts w:ascii="Microsoft YaHei" w:hAnsi="Microsoft YaHei" w:eastAsia="Microsoft YaHei"/>
          <w:b w:val="0"/>
          <w:sz w:val="21"/>
        </w:rPr>
        <w:t>，无需额外状态迁移日志。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../00_setup/项目事实基线.md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—— 唯一事实来源（数字、接口、状态机、阻塞码）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02_需求与范围/</w:t>
      </w:r>
      <w:r>
        <w:rPr>
          <w:rFonts w:ascii="Microsoft YaHei" w:hAnsi="Microsoft YaHei" w:eastAsia="Microsoft YaHei"/>
          <w:b w:val="0"/>
          <w:sz w:val="21"/>
        </w:rPr>
        <w:t>（需求与范围文档）—— 功能范围与优先级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../04_interaction_design/审核流程与状态设计.md</w:t>
      </w:r>
      <w:r>
        <w:rPr>
          <w:rFonts w:ascii="Microsoft YaHei" w:hAnsi="Microsoft YaHei" w:eastAsia="Microsoft YaHei"/>
          <w:b w:val="0"/>
          <w:sz w:val="21"/>
        </w:rPr>
        <w:t xml:space="preserve"> —— 全链路时序与状态机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../04_interaction_design/01_上传与解析链路.md</w:t>
      </w:r>
      <w:r>
        <w:rPr>
          <w:rFonts w:ascii="Microsoft YaHei" w:hAnsi="Microsoft YaHei" w:eastAsia="Microsoft YaHei"/>
          <w:b w:val="0"/>
          <w:sz w:val="21"/>
        </w:rPr>
        <w:t xml:space="preserve"> —— 上传与解析交互细节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../05_prototype/前端交互设计规范.md</w:t>
      </w:r>
      <w:r>
        <w:rPr>
          <w:rFonts w:ascii="Microsoft YaHei" w:hAnsi="Microsoft YaHei" w:eastAsia="Microsoft YaHei"/>
          <w:b w:val="0"/>
          <w:sz w:val="21"/>
        </w:rPr>
        <w:t xml:space="preserve"> —— 双栏联动与高亮实现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