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 w:line="324" w:lineRule="auto"/>
        <w:jc w:val="center"/>
      </w:pPr>
      <w:r>
        <w:rPr>
          <w:rFonts w:ascii="Microsoft YaHei" w:hAnsi="Microsoft YaHei" w:eastAsia="Microsoft YaHei"/>
          <w:b/>
          <w:sz w:val="38"/>
        </w:rPr>
        <w:t>前端交互设计规范</w:t>
      </w:r>
    </w:p>
    <w:p>
      <w:pPr>
        <w:spacing w:before="240" w:after="100" w:line="324" w:lineRule="auto"/>
      </w:pPr>
      <w:r>
        <w:rPr>
          <w:rFonts w:ascii="Microsoft YaHei" w:hAnsi="Microsoft YaHei" w:eastAsia="Microsoft YaHei"/>
          <w:b/>
          <w:sz w:val="34"/>
        </w:rPr>
        <w:t>衡鉴 2.0 · 前端交互设计规范（正式交付物）</w:t>
      </w:r>
    </w:p>
    <w:p>
      <w:pPr>
        <w:spacing w:before="0" w:after="80" w:line="324" w:lineRule="auto"/>
        <w:ind w:left="360"/>
      </w:pPr>
      <w:r>
        <w:rPr>
          <w:rFonts w:ascii="Microsoft YaHei" w:hAnsi="Microsoft YaHei" w:eastAsia="Microsoft YaHei"/>
          <w:b/>
          <w:sz w:val="20"/>
        </w:rPr>
        <w:t>一句话结论</w:t>
      </w:r>
      <w:r>
        <w:rPr>
          <w:rFonts w:ascii="Microsoft YaHei" w:hAnsi="Microsoft YaHei" w:eastAsia="Microsoft YaHei"/>
          <w:b w:val="0"/>
          <w:sz w:val="20"/>
        </w:rPr>
        <w:t>：前端是零构建、零 CDN 的原生 HTML/CSS/JS 深色工作台，4 个页面共用一套设计系统；核心交互是"左原文 / 右风险"双栏以</w:t>
      </w:r>
      <w:r>
        <w:rPr>
          <w:rFonts w:ascii="Microsoft YaHei" w:hAnsi="Microsoft YaHei" w:eastAsia="Microsoft YaHei"/>
          <w:b/>
          <w:sz w:val="20"/>
        </w:rPr>
        <w:t>字符区间求交</w:t>
      </w:r>
      <w:r>
        <w:rPr>
          <w:rFonts w:ascii="Microsoft YaHei" w:hAnsi="Microsoft YaHei" w:eastAsia="Microsoft YaHei"/>
          <w:b w:val="0"/>
          <w:sz w:val="20"/>
        </w:rPr>
        <w:t xml:space="preserve">联动高亮，所有动效只用于表达状态变化。以下描述均与 </w:t>
      </w:r>
      <w:r>
        <w:rPr>
          <w:rFonts w:ascii="Consolas" w:hAnsi="Consolas" w:eastAsia="Consolas"/>
          <w:b w:val="0"/>
          <w:color w:val="1F4E79"/>
          <w:sz w:val="19"/>
        </w:rPr>
        <w:t>frontend/</w:t>
      </w:r>
      <w:r>
        <w:rPr>
          <w:rFonts w:ascii="Microsoft YaHei" w:hAnsi="Microsoft YaHei" w:eastAsia="Microsoft YaHei"/>
          <w:b w:val="0"/>
          <w:sz w:val="20"/>
        </w:rPr>
        <w:t xml:space="preserve"> 下 4 个 HTML + 5 个 JS 的实现逐一核对。</w:t>
      </w:r>
    </w:p>
    <w:p>
      <w:pPr>
        <w:spacing w:before="80" w:after="120" w:line="324" w:lineRule="auto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</w:t>
      </w:r>
    </w:p>
    <w:p>
      <w:pPr>
        <w:spacing w:before="240" w:after="100" w:line="324" w:lineRule="auto"/>
      </w:pPr>
      <w:r>
        <w:rPr>
          <w:rFonts w:ascii="Microsoft YaHei" w:hAnsi="Microsoft YaHei" w:eastAsia="Microsoft YaHei"/>
          <w:b/>
          <w:sz w:val="28"/>
        </w:rPr>
        <w:t>一、页面清单与路由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页面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路由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角色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核心区块</w:t>
            </w:r>
          </w:p>
        </w:tc>
      </w:tr>
      <w:tr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审查大盘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/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index.html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）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入口：上传、列表、实时流水线、状态分布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指标卡 / 待审列表 / 接入合同 / 实时流水线 / 状态分布 / 系统说明</w:t>
            </w:r>
          </w:p>
        </w:tc>
      </w:tr>
      <w:tr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智能审查工作台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/pages/workbench.html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双栏审查核心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左：合同正文视窗；右：风险项 / 结论与回写 / 元数据与画像</w:t>
            </w:r>
          </w:p>
        </w:tc>
      </w:tr>
      <w:tr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合规规则与模板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/pages/rules.html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规则可观测与编辑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规则统计 / 规则树 / 规则详情(可改级改建议) / 示范条款库</w:t>
            </w:r>
          </w:p>
        </w:tc>
      </w:tr>
      <w:tr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评测与观测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/pages/eval.html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回归评测与系统观测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指标卡 / 逐份明细 / 系统观测 / 评测历史</w:t>
            </w:r>
          </w:p>
        </w:tc>
      </w:tr>
    </w:tbl>
    <w:p>
      <w:pPr>
        <w:spacing w:before="0" w:after="80" w:line="324" w:lineRule="auto"/>
      </w:pPr>
    </w:p>
    <w:p>
      <w:pPr>
        <w:spacing w:before="0" w:after="100" w:line="324" w:lineRule="auto"/>
      </w:pPr>
      <w:r>
        <w:rPr>
          <w:rFonts w:ascii="Microsoft YaHei" w:hAnsi="Microsoft YaHei" w:eastAsia="Microsoft YaHei"/>
          <w:b/>
          <w:sz w:val="21"/>
        </w:rPr>
        <w:t>统一导航</w:t>
      </w:r>
      <w:r>
        <w:rPr>
          <w:rFonts w:ascii="Microsoft YaHei" w:hAnsi="Microsoft YaHei" w:eastAsia="Microsoft YaHei"/>
          <w:b w:val="0"/>
          <w:sz w:val="21"/>
        </w:rPr>
        <w:t xml:space="preserve">（顶部 sticky </w:t>
      </w:r>
      <w:r>
        <w:rPr>
          <w:rFonts w:ascii="Consolas" w:hAnsi="Consolas" w:eastAsia="Consolas"/>
          <w:b w:val="0"/>
          <w:color w:val="1F4E79"/>
          <w:sz w:val="20"/>
        </w:rPr>
        <w:t>topbar</w:t>
      </w:r>
      <w:r>
        <w:rPr>
          <w:rFonts w:ascii="Microsoft YaHei" w:hAnsi="Microsoft YaHei" w:eastAsia="Microsoft YaHei"/>
          <w:b w:val="0"/>
          <w:sz w:val="21"/>
        </w:rPr>
        <w:t>，</w:t>
      </w:r>
      <w:r>
        <w:rPr>
          <w:rFonts w:ascii="Consolas" w:hAnsi="Consolas" w:eastAsia="Consolas"/>
          <w:b w:val="0"/>
          <w:color w:val="1F4E79"/>
          <w:sz w:val="20"/>
        </w:rPr>
        <w:t>common.js</w:t>
      </w:r>
      <w:r>
        <w:rPr>
          <w:rFonts w:ascii="Microsoft YaHei" w:hAnsi="Microsoft YaHei" w:eastAsia="Microsoft YaHei"/>
          <w:b w:val="0"/>
          <w:sz w:val="21"/>
        </w:rPr>
        <w:t xml:space="preserve"> 的 </w:t>
      </w:r>
      <w:r>
        <w:rPr>
          <w:rFonts w:ascii="Consolas" w:hAnsi="Consolas" w:eastAsia="Consolas"/>
          <w:b w:val="0"/>
          <w:color w:val="1F4E79"/>
          <w:sz w:val="20"/>
        </w:rPr>
        <w:t>NAV</w:t>
      </w:r>
      <w:r>
        <w:rPr>
          <w:rFonts w:ascii="Microsoft YaHei" w:hAnsi="Microsoft YaHei" w:eastAsia="Microsoft YaHei"/>
          <w:b w:val="0"/>
          <w:sz w:val="21"/>
        </w:rPr>
        <w:t xml:space="preserve">）：四个页面互相通过 </w:t>
      </w:r>
      <w:r>
        <w:rPr>
          <w:rFonts w:ascii="Consolas" w:hAnsi="Consolas" w:eastAsia="Consolas"/>
          <w:b w:val="0"/>
          <w:color w:val="1F4E79"/>
          <w:sz w:val="20"/>
        </w:rPr>
        <w:t>&lt;a href&gt;</w:t>
      </w:r>
      <w:r>
        <w:rPr>
          <w:rFonts w:ascii="Microsoft YaHei" w:hAnsi="Microsoft YaHei" w:eastAsia="Microsoft YaHei"/>
          <w:b w:val="0"/>
          <w:sz w:val="21"/>
        </w:rPr>
        <w:t xml:space="preserve"> 跳转；工作台通过 </w:t>
      </w:r>
      <w:r>
        <w:rPr>
          <w:rFonts w:ascii="Consolas" w:hAnsi="Consolas" w:eastAsia="Consolas"/>
          <w:b w:val="0"/>
          <w:color w:val="1F4E79"/>
          <w:sz w:val="20"/>
        </w:rPr>
        <w:t>?id={contract_id}</w:t>
      </w:r>
      <w:r>
        <w:rPr>
          <w:rFonts w:ascii="Microsoft YaHei" w:hAnsi="Microsoft YaHei" w:eastAsia="Microsoft YaHei"/>
          <w:b w:val="0"/>
          <w:sz w:val="21"/>
        </w:rPr>
        <w:t xml:space="preserve"> 深链定位到具体合同。顶部右侧 </w:t>
      </w:r>
      <w:r>
        <w:rPr>
          <w:rFonts w:ascii="Consolas" w:hAnsi="Consolas" w:eastAsia="Consolas"/>
          <w:b w:val="0"/>
          <w:color w:val="1F4E79"/>
          <w:sz w:val="20"/>
        </w:rPr>
        <w:t>healthBox</w:t>
      </w:r>
      <w:r>
        <w:rPr>
          <w:rFonts w:ascii="Microsoft YaHei" w:hAnsi="Microsoft YaHei" w:eastAsia="Microsoft YaHei"/>
          <w:b w:val="0"/>
          <w:sz w:val="21"/>
        </w:rPr>
        <w:t xml:space="preserve"> 实时显示规则版本、语义层在线/降级、OCR 就绪/不可用。</w:t>
      </w:r>
    </w:p>
    <w:p>
      <w:pPr>
        <w:spacing w:before="80" w:after="160" w:line="240" w:lineRule="auto"/>
      </w:pPr>
      <w:r>
        <w:rPr>
          <w:rFonts w:ascii="Consolas" w:hAnsi="Consolas"/>
          <w:sz w:val="17"/>
          <w:rFonts w:eastAsia="Consolas"/>
        </w:rPr>
        <w:t>flowchart LR</w:t>
        <w:br/>
        <w:t xml:space="preserve">    DASH[/ 审查大盘] --&gt;|上传/拉取任务| DASH</w:t>
        <w:br/>
        <w:t xml:space="preserve">    DASH --&gt;|选任务后点导航| WB[/pages/workbench.html]</w:t>
        <w:br/>
        <w:t xml:space="preserve">    WB --&gt;|?id= 深链| WB</w:t>
        <w:br/>
        <w:t xml:space="preserve">    DASH --&gt; R[/pages/rules.html]</w:t>
        <w:br/>
        <w:t xml:space="preserve">    DASH --&gt; E[/pages/eval.html]</w:t>
        <w:br/>
        <w:t xml:space="preserve">    WB -.查看规则命中.-&gt; R</w:t>
        <w:br/>
        <w:t xml:space="preserve">    E -.改规则后验证.-&gt; R</w:t>
      </w:r>
    </w:p>
    <w:p>
      <w:pPr>
        <w:spacing w:before="80" w:after="120" w:line="324" w:lineRule="auto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</w:t>
      </w:r>
    </w:p>
    <w:p>
      <w:pPr>
        <w:spacing w:before="240" w:after="100" w:line="324" w:lineRule="auto"/>
      </w:pPr>
      <w:r>
        <w:rPr>
          <w:rFonts w:ascii="Microsoft YaHei" w:hAnsi="Microsoft YaHei" w:eastAsia="Microsoft YaHei"/>
          <w:b/>
          <w:sz w:val="28"/>
        </w:rPr>
        <w:t>二、各页面层级结构</w:t>
      </w:r>
    </w:p>
    <w:p>
      <w:pPr>
        <w:spacing w:before="180" w:after="100" w:line="324" w:lineRule="auto"/>
      </w:pPr>
      <w:r>
        <w:rPr>
          <w:rFonts w:ascii="Microsoft YaHei" w:hAnsi="Microsoft YaHei" w:eastAsia="Microsoft YaHei"/>
          <w:b/>
          <w:sz w:val="24"/>
        </w:rPr>
        <w:t xml:space="preserve">2.1 审查大盘 </w:t>
      </w:r>
      <w:r>
        <w:rPr>
          <w:rFonts w:ascii="Consolas" w:hAnsi="Consolas" w:eastAsia="Consolas"/>
          <w:b/>
          <w:color w:val="1F4E79"/>
          <w:sz w:val="23"/>
        </w:rPr>
        <w:t>/</w:t>
      </w:r>
    </w:p>
    <w:p>
      <w:pPr>
        <w:spacing w:before="80" w:after="160" w:line="240" w:lineRule="auto"/>
      </w:pPr>
      <w:r>
        <w:rPr>
          <w:rFonts w:ascii="Consolas" w:hAnsi="Consolas"/>
          <w:sz w:val="17"/>
          <w:rFonts w:eastAsia="Consolas"/>
        </w:rPr>
        <w:t>#app</w:t>
        <w:br/>
        <w:t>├─ topbar(品牌 + nav + health)</w:t>
        <w:br/>
        <w:t>└─ main.wrap</w:t>
        <w:br/>
        <w:t xml:space="preserve">   ├─ stats(grid c4)            指标卡：任务总数/风险命中/解析成功率/回写状态</w:t>
        <w:br/>
        <w:t xml:space="preserve">   ├─ grid c2</w:t>
        <w:br/>
        <w:t xml:space="preserve">   │  ├─ card 待审合同列表</w:t>
        <w:br/>
        <w:t xml:space="preserve">   │  │  ├─ 搜索框 + 状态筛选 + 风险筛选 + 刷新</w:t>
        <w:br/>
        <w:t xml:space="preserve">   │  │  └─ table.tb(tbody 可点行 → selectTask)</w:t>
        <w:br/>
        <w:t xml:space="preserve">   │  └─ 右栏</w:t>
        <w:br/>
        <w:t xml:space="preserve">   │     ├─ card 接入合同(drop 拖拽区 + 表单 + 从审批系统拉取)</w:t>
        <w:br/>
        <w:t xml:space="preserve">   │     ├─ card 实时流水线(pbar + tl 时间轴)</w:t>
        <w:br/>
        <w:t xml:space="preserve">   │     └─ card 审查状态分布(pbar 列表)</w:t>
        <w:br/>
        <w:t xml:space="preserve">   └─ card 系统说明(三栏：只写意见/规则判定/证据可溯源)</w:t>
      </w:r>
    </w:p>
    <w:p>
      <w:pPr>
        <w:spacing w:before="180" w:after="100" w:line="324" w:lineRule="auto"/>
      </w:pPr>
      <w:r>
        <w:rPr>
          <w:rFonts w:ascii="Microsoft YaHei" w:hAnsi="Microsoft YaHei" w:eastAsia="Microsoft YaHei"/>
          <w:b/>
          <w:sz w:val="24"/>
        </w:rPr>
        <w:t xml:space="preserve">2.2 智能审查工作台 </w:t>
      </w:r>
      <w:r>
        <w:rPr>
          <w:rFonts w:ascii="Consolas" w:hAnsi="Consolas" w:eastAsia="Consolas"/>
          <w:b/>
          <w:color w:val="1F4E79"/>
          <w:sz w:val="23"/>
        </w:rPr>
        <w:t>/pages/workbench.html</w:t>
      </w:r>
    </w:p>
    <w:p>
      <w:pPr>
        <w:spacing w:before="80" w:after="160" w:line="240" w:lineRule="auto"/>
      </w:pPr>
      <w:r>
        <w:rPr>
          <w:rFonts w:ascii="Consolas" w:hAnsi="Consolas"/>
          <w:sz w:val="17"/>
          <w:rFonts w:eastAsia="Consolas"/>
        </w:rPr>
        <w:t>.wb(grid 左1fr 右440px)</w:t>
        <w:br/>
        <w:t>├─ section.pane 左(合同正文)</w:t>
        <w:br/>
        <w:t>│  ├─ pane-head: taskSel(任务下拉) + taskTags + nlq检索框 + 检索/导出报告按钮</w:t>
        <w:br/>
        <w:t>│  ├─ blockedBox(阻塞 banner, 默认隐藏)</w:t>
        <w:br/>
        <w:t>│  ├─ nlqBox(检索结果, 默认隐藏)</w:t>
        <w:br/>
        <w:t>│  └─ pane-body#docBody(段落 p[data-start/data-end], 高亮 + 划选反查)</w:t>
        <w:br/>
        <w:t>└─ section.pane 右(审查结果)</w:t>
        <w:br/>
        <w:t xml:space="preserve">   ├─ pane-head: tabs(风险项 / 结论与回写 / 元数据与画像)</w:t>
        <w:br/>
        <w:t xml:space="preserve">   └─ pane-body.right#rightBody</w:t>
        <w:br/>
        <w:t xml:space="preserve">      ├─ 风险项: fcard(等级/规则ID/条款/页码/证据/采纳/复制)</w:t>
        <w:br/>
        <w:t xml:space="preserve">      ├─ 结论与回写: 综合结论 + 法务批注 + HITL + 回写区(预览/写回/重试)</w:t>
        <w:br/>
        <w:t xml:space="preserve">      └─ 元数据与画像: 合同元数据(可跳转) + 画像雷达 + 解析信息</w:t>
      </w:r>
    </w:p>
    <w:p>
      <w:pPr>
        <w:spacing w:before="180" w:after="100" w:line="324" w:lineRule="auto"/>
      </w:pPr>
      <w:r>
        <w:rPr>
          <w:rFonts w:ascii="Microsoft YaHei" w:hAnsi="Microsoft YaHei" w:eastAsia="Microsoft YaHei"/>
          <w:b/>
          <w:sz w:val="24"/>
        </w:rPr>
        <w:t xml:space="preserve">2.3 合规规则与模板 </w:t>
      </w:r>
      <w:r>
        <w:rPr>
          <w:rFonts w:ascii="Consolas" w:hAnsi="Consolas" w:eastAsia="Consolas"/>
          <w:b/>
          <w:color w:val="1F4E79"/>
          <w:sz w:val="23"/>
        </w:rPr>
        <w:t>/pages/rules.html</w:t>
      </w:r>
    </w:p>
    <w:p>
      <w:pPr>
        <w:spacing w:before="80" w:after="160" w:line="240" w:lineRule="auto"/>
      </w:pPr>
      <w:r>
        <w:rPr>
          <w:rFonts w:ascii="Consolas" w:hAnsi="Consolas"/>
          <w:sz w:val="17"/>
          <w:rFonts w:eastAsia="Consolas"/>
        </w:rPr>
        <w:t>main.wrap</w:t>
        <w:br/>
        <w:t>├─ ruleStats(grid c4): 规则总数/高风险/中风险/示范条款</w:t>
        <w:br/>
        <w:t>└─ grid c2(左420px 右1fr)</w:t>
        <w:br/>
        <w:t xml:space="preserve">   ├─ card 审查规则树(tree: 按条款类型分组, 可筛选等级/搜索)</w:t>
        <w:br/>
        <w:t xml:space="preserve">   └─ 右</w:t>
        <w:br/>
        <w:t xml:space="preserve">      ├─ card 规则详情(可改等级/条款类型/成因/依据 → PUT 升级版本)</w:t>
        <w:br/>
        <w:t xml:space="preserve">      └─ card 标准示范条款库(grid c2)</w:t>
      </w:r>
    </w:p>
    <w:p>
      <w:pPr>
        <w:spacing w:before="180" w:after="100" w:line="324" w:lineRule="auto"/>
      </w:pPr>
      <w:r>
        <w:rPr>
          <w:rFonts w:ascii="Microsoft YaHei" w:hAnsi="Microsoft YaHei" w:eastAsia="Microsoft YaHei"/>
          <w:b/>
          <w:sz w:val="24"/>
        </w:rPr>
        <w:t xml:space="preserve">2.4 评测与观测 </w:t>
      </w:r>
      <w:r>
        <w:rPr>
          <w:rFonts w:ascii="Consolas" w:hAnsi="Consolas" w:eastAsia="Consolas"/>
          <w:b/>
          <w:color w:val="1F4E79"/>
          <w:sz w:val="23"/>
        </w:rPr>
        <w:t>/pages/eval.html</w:t>
      </w:r>
    </w:p>
    <w:p>
      <w:pPr>
        <w:spacing w:before="80" w:after="160" w:line="240" w:lineRule="auto"/>
      </w:pPr>
      <w:r>
        <w:rPr>
          <w:rFonts w:ascii="Consolas" w:hAnsi="Consolas"/>
          <w:sz w:val="17"/>
          <w:rFonts w:eastAsia="Consolas"/>
        </w:rPr>
        <w:t>main.wrap</w:t>
        <w:br/>
        <w:t>├─ 标题 + 运行评测/刷新按钮</w:t>
        <w:br/>
        <w:t>├─ metrics(grid c6): 高召回/误报/精度/解析成功率/耗时/综合判定</w:t>
        <w:br/>
        <w:t>├─ card 逐份样例明细(table: 引擎/解析/条款/字数/耗时/漏报/误报)</w:t>
        <w:br/>
        <w:t>└─ grid c2: 系统运行观测 + 评测历史</w:t>
      </w:r>
    </w:p>
    <w:p>
      <w:pPr>
        <w:spacing w:before="80" w:after="120" w:line="324" w:lineRule="auto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</w:t>
      </w:r>
    </w:p>
    <w:p>
      <w:pPr>
        <w:spacing w:before="240" w:after="100" w:line="324" w:lineRule="auto"/>
      </w:pPr>
      <w:r>
        <w:rPr>
          <w:rFonts w:ascii="Microsoft YaHei" w:hAnsi="Microsoft YaHei" w:eastAsia="Microsoft YaHei"/>
          <w:b/>
          <w:sz w:val="28"/>
        </w:rPr>
        <w:t>三、核心交互详解</w:t>
      </w:r>
    </w:p>
    <w:p>
      <w:pPr>
        <w:spacing w:before="180" w:after="100" w:line="324" w:lineRule="auto"/>
      </w:pPr>
      <w:r>
        <w:rPr>
          <w:rFonts w:ascii="Microsoft YaHei" w:hAnsi="Microsoft YaHei" w:eastAsia="Microsoft YaHei"/>
          <w:b/>
          <w:sz w:val="24"/>
        </w:rPr>
        <w:t>3.1 双栏联动的字符区间求交逻辑（关键）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 w:val="0"/>
          <w:sz w:val="21"/>
        </w:rPr>
        <w:t xml:space="preserve">统一坐标系 </w:t>
      </w:r>
      <w:r>
        <w:rPr>
          <w:rFonts w:ascii="Consolas" w:hAnsi="Consolas" w:eastAsia="Consolas"/>
          <w:b w:val="0"/>
          <w:color w:val="1F4E79"/>
          <w:sz w:val="20"/>
        </w:rPr>
        <w:t>full_text</w:t>
      </w:r>
      <w:r>
        <w:rPr>
          <w:rFonts w:ascii="Microsoft YaHei" w:hAnsi="Microsoft YaHei" w:eastAsia="Microsoft YaHei"/>
          <w:b w:val="0"/>
          <w:sz w:val="21"/>
        </w:rPr>
        <w:t xml:space="preserve"> 是一切高亮的基础。左栏每个段落带 </w:t>
      </w:r>
      <w:r>
        <w:rPr>
          <w:rFonts w:ascii="Consolas" w:hAnsi="Consolas" w:eastAsia="Consolas"/>
          <w:b w:val="0"/>
          <w:color w:val="1F4E79"/>
          <w:sz w:val="20"/>
        </w:rPr>
        <w:t>data-start/data-end</w:t>
      </w:r>
      <w:r>
        <w:rPr>
          <w:rFonts w:ascii="Microsoft YaHei" w:hAnsi="Microsoft YaHei" w:eastAsia="Microsoft YaHei"/>
          <w:b w:val="0"/>
          <w:sz w:val="21"/>
        </w:rPr>
        <w:t xml:space="preserve">，右栏每个风险项带 </w:t>
      </w:r>
      <w:r>
        <w:rPr>
          <w:rFonts w:ascii="Consolas" w:hAnsi="Consolas" w:eastAsia="Consolas"/>
          <w:b w:val="0"/>
          <w:color w:val="1F4E79"/>
          <w:sz w:val="20"/>
        </w:rPr>
        <w:t>char_start/char_end</w:t>
      </w:r>
      <w:r>
        <w:rPr>
          <w:rFonts w:ascii="Microsoft YaHei" w:hAnsi="Microsoft YaHei" w:eastAsia="Microsoft YaHei"/>
          <w:b w:val="0"/>
          <w:sz w:val="21"/>
        </w:rPr>
        <w:t>，二者靠</w:t>
      </w:r>
      <w:r>
        <w:rPr>
          <w:rFonts w:ascii="Microsoft YaHei" w:hAnsi="Microsoft YaHei" w:eastAsia="Microsoft YaHei"/>
          <w:b/>
          <w:sz w:val="21"/>
        </w:rPr>
        <w:t>区间求交</w:t>
      </w:r>
      <w:r>
        <w:rPr>
          <w:rFonts w:ascii="Microsoft YaHei" w:hAnsi="Microsoft YaHei" w:eastAsia="Microsoft YaHei"/>
          <w:b w:val="0"/>
          <w:sz w:val="21"/>
        </w:rPr>
        <w:t>建立映射（</w:t>
      </w:r>
      <w:r>
        <w:rPr>
          <w:rFonts w:ascii="Consolas" w:hAnsi="Consolas" w:eastAsia="Consolas"/>
          <w:b w:val="0"/>
          <w:color w:val="1F4E79"/>
          <w:sz w:val="20"/>
        </w:rPr>
        <w:t>workbench.js</w:t>
      </w:r>
      <w:r>
        <w:rPr>
          <w:rFonts w:ascii="Microsoft YaHei" w:hAnsi="Microsoft YaHei" w:eastAsia="Microsoft YaHei"/>
          <w:b w:val="0"/>
          <w:sz w:val="21"/>
        </w:rPr>
        <w:t>）：</w:t>
      </w:r>
    </w:p>
    <w:p>
      <w:pPr>
        <w:spacing w:before="80" w:after="160" w:line="240" w:lineRule="auto"/>
      </w:pPr>
      <w:r>
        <w:rPr>
          <w:rFonts w:ascii="Consolas" w:hAnsi="Consolas"/>
          <w:sz w:val="17"/>
          <w:rFonts w:eastAsia="Consolas"/>
        </w:rPr>
        <w:t>function overlap(a1, a2, b1, b2) { return a1 &lt; b2 &amp;&amp; b1 &lt; a2; }</w:t>
        <w:br/>
        <w:t>// a1=段落起点 a2=段落终点；b1=风险起点 b2=风险终点</w:t>
      </w:r>
    </w:p>
    <w:p>
      <w:pPr>
        <w:spacing w:before="0" w:after="100" w:line="324" w:lineRule="auto"/>
      </w:pPr>
      <w:r>
        <w:rPr>
          <w:rFonts w:ascii="Consolas" w:hAnsi="Consolas" w:eastAsia="Consolas"/>
          <w:b w:val="0"/>
          <w:color w:val="1F4E79"/>
          <w:sz w:val="20"/>
        </w:rPr>
        <w:t>applyHighlights()</w:t>
      </w:r>
      <w:r>
        <w:rPr>
          <w:rFonts w:ascii="Microsoft YaHei" w:hAnsi="Microsoft YaHei" w:eastAsia="Microsoft YaHei"/>
          <w:b w:val="0"/>
          <w:sz w:val="21"/>
        </w:rPr>
        <w:t xml:space="preserve"> 对左栏每个 </w:t>
      </w:r>
      <w:r>
        <w:rPr>
          <w:rFonts w:ascii="Consolas" w:hAnsi="Consolas" w:eastAsia="Consolas"/>
          <w:b w:val="0"/>
          <w:color w:val="1F4E79"/>
          <w:sz w:val="20"/>
        </w:rPr>
        <w:t>&lt;p&gt;</w:t>
      </w:r>
      <w:r>
        <w:rPr>
          <w:rFonts w:ascii="Microsoft YaHei" w:hAnsi="Microsoft YaHei" w:eastAsia="Microsoft YaHei"/>
          <w:b w:val="0"/>
          <w:sz w:val="21"/>
        </w:rPr>
        <w:t xml:space="preserve">：遍历所有 findings，若存在 </w:t>
      </w:r>
      <w:r>
        <w:rPr>
          <w:rFonts w:ascii="Consolas" w:hAnsi="Consolas" w:eastAsia="Consolas"/>
          <w:b w:val="0"/>
          <w:color w:val="1F4E79"/>
          <w:sz w:val="20"/>
        </w:rPr>
        <w:t>overlap</w:t>
      </w:r>
      <w:r>
        <w:rPr>
          <w:rFonts w:ascii="Microsoft YaHei" w:hAnsi="Microsoft YaHei" w:eastAsia="Microsoft YaHei"/>
          <w:b w:val="0"/>
          <w:sz w:val="21"/>
        </w:rPr>
        <w:t>，取</w:t>
      </w:r>
      <w:r>
        <w:rPr>
          <w:rFonts w:ascii="Microsoft YaHei" w:hAnsi="Microsoft YaHei" w:eastAsia="Microsoft YaHei"/>
          <w:b/>
          <w:sz w:val="21"/>
        </w:rPr>
        <w:t>最高严重度</w:t>
      </w:r>
      <w:r>
        <w:rPr>
          <w:rFonts w:ascii="Microsoft YaHei" w:hAnsi="Microsoft YaHei" w:eastAsia="Microsoft YaHei"/>
          <w:b w:val="0"/>
          <w:sz w:val="21"/>
        </w:rPr>
        <w:t xml:space="preserve">（rank: high=0/medium=1/low=2）作为该段高亮色，加 </w:t>
      </w:r>
      <w:r>
        <w:rPr>
          <w:rFonts w:ascii="Consolas" w:hAnsi="Consolas" w:eastAsia="Consolas"/>
          <w:b w:val="0"/>
          <w:color w:val="1F4E79"/>
          <w:sz w:val="20"/>
        </w:rPr>
        <w:t>hl-high/hl-medium/hl-low</w:t>
      </w:r>
      <w:r>
        <w:rPr>
          <w:rFonts w:ascii="Microsoft YaHei" w:hAnsi="Microsoft YaHei" w:eastAsia="Microsoft YaHei"/>
          <w:b w:val="0"/>
          <w:sz w:val="21"/>
        </w:rPr>
        <w:t xml:space="preserve"> 类。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/>
          <w:sz w:val="21"/>
        </w:rPr>
        <w:t>为什么这样做</w:t>
      </w:r>
      <w:r>
        <w:rPr>
          <w:rFonts w:ascii="Microsoft YaHei" w:hAnsi="Microsoft YaHei" w:eastAsia="Microsoft YaHei"/>
          <w:b w:val="0"/>
          <w:sz w:val="21"/>
        </w:rPr>
        <w:t>：DOCX/PDF/扫描件三种来源都重建成同一套字符区间，前端只需一套高亮逻辑，无需为每种格式单独处理——这是统一坐标系壁垒在前端的落地。</w:t>
      </w:r>
    </w:p>
    <w:p>
      <w:pPr>
        <w:spacing w:before="180" w:after="100" w:line="324" w:lineRule="auto"/>
      </w:pPr>
      <w:r>
        <w:rPr>
          <w:rFonts w:ascii="Microsoft YaHei" w:hAnsi="Microsoft YaHei" w:eastAsia="Microsoft YaHei"/>
          <w:b/>
          <w:sz w:val="24"/>
        </w:rPr>
        <w:t>3.2 点卡片跳页高亮</w:t>
      </w:r>
    </w:p>
    <w:p>
      <w:pPr>
        <w:spacing w:before="0" w:after="100" w:line="324" w:lineRule="auto"/>
      </w:pPr>
      <w:r>
        <w:rPr>
          <w:rFonts w:ascii="Consolas" w:hAnsi="Consolas" w:eastAsia="Consolas"/>
          <w:b w:val="0"/>
          <w:color w:val="1F4E79"/>
          <w:sz w:val="20"/>
        </w:rPr>
        <w:t>focusFinding(f)</w:t>
      </w:r>
      <w:r>
        <w:rPr>
          <w:rFonts w:ascii="Microsoft YaHei" w:hAnsi="Microsoft YaHei" w:eastAsia="Microsoft YaHei"/>
          <w:b w:val="0"/>
          <w:sz w:val="21"/>
        </w:rPr>
        <w:t xml:space="preserve">：点右栏 </w:t>
      </w:r>
      <w:r>
        <w:rPr>
          <w:rFonts w:ascii="Consolas" w:hAnsi="Consolas" w:eastAsia="Consolas"/>
          <w:b w:val="0"/>
          <w:color w:val="1F4E79"/>
          <w:sz w:val="20"/>
        </w:rPr>
        <w:t>fcard</w:t>
      </w:r>
      <w:r>
        <w:rPr>
          <w:rFonts w:ascii="Microsoft YaHei" w:hAnsi="Microsoft YaHei" w:eastAsia="Microsoft YaHei"/>
          <w:b w:val="0"/>
          <w:sz w:val="21"/>
        </w:rPr>
        <w:t xml:space="preserve"> → 左栏找到与之 </w:t>
      </w:r>
      <w:r>
        <w:rPr>
          <w:rFonts w:ascii="Consolas" w:hAnsi="Consolas" w:eastAsia="Consolas"/>
          <w:b w:val="0"/>
          <w:color w:val="1F4E79"/>
          <w:sz w:val="20"/>
        </w:rPr>
        <w:t>overlap</w:t>
      </w:r>
      <w:r>
        <w:rPr>
          <w:rFonts w:ascii="Microsoft YaHei" w:hAnsi="Microsoft YaHei" w:eastAsia="Microsoft YaHei"/>
          <w:b w:val="0"/>
          <w:sz w:val="21"/>
        </w:rPr>
        <w:t xml:space="preserve"> 的段落 → </w:t>
      </w:r>
      <w:r>
        <w:rPr>
          <w:rFonts w:ascii="Consolas" w:hAnsi="Consolas" w:eastAsia="Consolas"/>
          <w:b w:val="0"/>
          <w:color w:val="1F4E79"/>
          <w:sz w:val="20"/>
        </w:rPr>
        <w:t>scrollIntoView({block:'center'})</w:t>
      </w:r>
      <w:r>
        <w:rPr>
          <w:rFonts w:ascii="Microsoft YaHei" w:hAnsi="Microsoft YaHei" w:eastAsia="Microsoft YaHei"/>
          <w:b w:val="0"/>
          <w:sz w:val="21"/>
        </w:rPr>
        <w:t xml:space="preserve"> → 延迟加 </w:t>
      </w:r>
      <w:r>
        <w:rPr>
          <w:rFonts w:ascii="Consolas" w:hAnsi="Consolas" w:eastAsia="Consolas"/>
          <w:b w:val="0"/>
          <w:color w:val="1F4E79"/>
          <w:sz w:val="20"/>
        </w:rPr>
        <w:t>pulse</w:t>
      </w:r>
      <w:r>
        <w:rPr>
          <w:rFonts w:ascii="Microsoft YaHei" w:hAnsi="Microsoft YaHei" w:eastAsia="Microsoft YaHei"/>
          <w:b w:val="0"/>
          <w:sz w:val="21"/>
        </w:rPr>
        <w:t xml:space="preserve"> 类（蓝底脉冲动画）→ 同步给卡片加 </w:t>
      </w:r>
      <w:r>
        <w:rPr>
          <w:rFonts w:ascii="Consolas" w:hAnsi="Consolas" w:eastAsia="Consolas"/>
          <w:b w:val="0"/>
          <w:color w:val="1F4E79"/>
          <w:sz w:val="20"/>
        </w:rPr>
        <w:t>active</w:t>
      </w:r>
      <w:r>
        <w:rPr>
          <w:rFonts w:ascii="Microsoft YaHei" w:hAnsi="Microsoft YaHei" w:eastAsia="Microsoft YaHei"/>
          <w:b w:val="0"/>
          <w:sz w:val="21"/>
        </w:rPr>
        <w:t xml:space="preserve"> 类并滚动到可视区。</w:t>
      </w:r>
    </w:p>
    <w:p>
      <w:pPr>
        <w:spacing w:before="180" w:after="100" w:line="324" w:lineRule="auto"/>
      </w:pPr>
      <w:r>
        <w:rPr>
          <w:rFonts w:ascii="Microsoft YaHei" w:hAnsi="Microsoft YaHei" w:eastAsia="Microsoft YaHei"/>
          <w:b/>
          <w:sz w:val="24"/>
        </w:rPr>
        <w:t>3.3 划选原文反查风险</w:t>
      </w:r>
    </w:p>
    <w:p>
      <w:pPr>
        <w:spacing w:before="0" w:after="100" w:line="324" w:lineRule="auto"/>
      </w:pPr>
      <w:r>
        <w:rPr>
          <w:rFonts w:ascii="Consolas" w:hAnsi="Consolas" w:eastAsia="Consolas"/>
          <w:b w:val="0"/>
          <w:color w:val="1F4E79"/>
          <w:sz w:val="20"/>
        </w:rPr>
        <w:t>document.mouseup</w:t>
      </w:r>
      <w:r>
        <w:rPr>
          <w:rFonts w:ascii="Microsoft YaHei" w:hAnsi="Microsoft YaHei" w:eastAsia="Microsoft YaHei"/>
          <w:b w:val="0"/>
          <w:sz w:val="21"/>
        </w:rPr>
        <w:t xml:space="preserve"> 监听：选中文本 ≥4 字 → 定位所属段落 → 由选中文本在段内的偏移算出字符区间 </w:t>
      </w:r>
      <w:r>
        <w:rPr>
          <w:rFonts w:ascii="Consolas" w:hAnsi="Consolas" w:eastAsia="Consolas"/>
          <w:b w:val="0"/>
          <w:color w:val="1F4E79"/>
          <w:sz w:val="20"/>
        </w:rPr>
        <w:t>[cs, ce)</w:t>
      </w:r>
      <w:r>
        <w:rPr>
          <w:rFonts w:ascii="Microsoft YaHei" w:hAnsi="Microsoft YaHei" w:eastAsia="Microsoft YaHei"/>
          <w:b w:val="0"/>
          <w:sz w:val="21"/>
        </w:rPr>
        <w:t xml:space="preserve"> → </w:t>
      </w:r>
      <w:r>
        <w:rPr>
          <w:rFonts w:ascii="Consolas" w:hAnsi="Consolas" w:eastAsia="Consolas"/>
          <w:b w:val="0"/>
          <w:color w:val="1F4E79"/>
          <w:sz w:val="20"/>
        </w:rPr>
        <w:t>filter</w:t>
      </w:r>
      <w:r>
        <w:rPr>
          <w:rFonts w:ascii="Microsoft YaHei" w:hAnsi="Microsoft YaHei" w:eastAsia="Microsoft YaHei"/>
          <w:b w:val="0"/>
          <w:sz w:val="21"/>
        </w:rPr>
        <w:t xml:space="preserve"> 出与之 </w:t>
      </w:r>
      <w:r>
        <w:rPr>
          <w:rFonts w:ascii="Consolas" w:hAnsi="Consolas" w:eastAsia="Consolas"/>
          <w:b w:val="0"/>
          <w:color w:val="1F4E79"/>
          <w:sz w:val="20"/>
        </w:rPr>
        <w:t>overlap</w:t>
      </w:r>
      <w:r>
        <w:rPr>
          <w:rFonts w:ascii="Microsoft YaHei" w:hAnsi="Microsoft YaHei" w:eastAsia="Microsoft YaHei"/>
          <w:b w:val="0"/>
          <w:sz w:val="21"/>
        </w:rPr>
        <w:t xml:space="preserve"> 的 findings → 弹 </w:t>
      </w:r>
      <w:r>
        <w:rPr>
          <w:rFonts w:ascii="Consolas" w:hAnsi="Consolas" w:eastAsia="Consolas"/>
          <w:b w:val="0"/>
          <w:color w:val="1F4E79"/>
          <w:sz w:val="20"/>
        </w:rPr>
        <w:t>modal('片段研判')</w:t>
      </w:r>
      <w:r>
        <w:rPr>
          <w:rFonts w:ascii="Microsoft YaHei" w:hAnsi="Microsoft YaHei" w:eastAsia="Microsoft YaHei"/>
          <w:b w:val="0"/>
          <w:sz w:val="21"/>
        </w:rPr>
        <w:t xml:space="preserve"> 列出涉及风险项；若无命中则提示"该片段未命中规则；如需针对性意见，请由法务人工补充批注"。同时反查条款类型（</w:t>
      </w:r>
      <w:r>
        <w:rPr>
          <w:rFonts w:ascii="Consolas" w:hAnsi="Consolas" w:eastAsia="Consolas"/>
          <w:b w:val="0"/>
          <w:color w:val="1F4E79"/>
          <w:sz w:val="20"/>
        </w:rPr>
        <w:t>clauseRanges</w:t>
      </w:r>
      <w:r>
        <w:rPr>
          <w:rFonts w:ascii="Microsoft YaHei" w:hAnsi="Microsoft YaHei" w:eastAsia="Microsoft YaHei"/>
          <w:b w:val="0"/>
          <w:sz w:val="21"/>
        </w:rPr>
        <w:t>）并展示。</w:t>
      </w:r>
    </w:p>
    <w:p>
      <w:pPr>
        <w:spacing w:before="180" w:after="100" w:line="324" w:lineRule="auto"/>
      </w:pPr>
      <w:r>
        <w:rPr>
          <w:rFonts w:ascii="Microsoft YaHei" w:hAnsi="Microsoft YaHei" w:eastAsia="Microsoft YaHei"/>
          <w:b/>
          <w:sz w:val="24"/>
        </w:rPr>
        <w:t>3.4 采纳建议（可编辑）</w:t>
      </w:r>
    </w:p>
    <w:p>
      <w:pPr>
        <w:spacing w:before="0" w:after="100" w:line="324" w:lineRule="auto"/>
      </w:pPr>
      <w:r>
        <w:rPr>
          <w:rFonts w:ascii="Consolas" w:hAnsi="Consolas" w:eastAsia="Consolas"/>
          <w:b w:val="0"/>
          <w:color w:val="1F4E79"/>
          <w:sz w:val="20"/>
        </w:rPr>
        <w:t>adopt(fid)</w:t>
      </w:r>
      <w:r>
        <w:rPr>
          <w:rFonts w:ascii="Microsoft YaHei" w:hAnsi="Microsoft YaHei" w:eastAsia="Microsoft YaHei"/>
          <w:b w:val="0"/>
          <w:sz w:val="21"/>
        </w:rPr>
        <w:t xml:space="preserve">：点"采纳建议"→ 弹窗展示原条款位置、证据文本、可编辑的建议 </w:t>
      </w:r>
      <w:r>
        <w:rPr>
          <w:rFonts w:ascii="Consolas" w:hAnsi="Consolas" w:eastAsia="Consolas"/>
          <w:b w:val="0"/>
          <w:color w:val="1F4E79"/>
          <w:sz w:val="20"/>
        </w:rPr>
        <w:t>textarea</w:t>
      </w:r>
      <w:r>
        <w:rPr>
          <w:rFonts w:ascii="Microsoft YaHei" w:hAnsi="Microsoft YaHei" w:eastAsia="Microsoft YaHei"/>
          <w:b w:val="0"/>
          <w:sz w:val="21"/>
        </w:rPr>
        <w:t xml:space="preserve"> → 提交 </w:t>
      </w:r>
      <w:r>
        <w:rPr>
          <w:rFonts w:ascii="Consolas" w:hAnsi="Consolas" w:eastAsia="Consolas"/>
          <w:b w:val="0"/>
          <w:color w:val="1F4E79"/>
          <w:sz w:val="20"/>
        </w:rPr>
        <w:t>POST /findings/{fid}/adopt {adopted:true, adopted_text}</w:t>
      </w:r>
      <w:r>
        <w:rPr>
          <w:rFonts w:ascii="Microsoft YaHei" w:hAnsi="Microsoft YaHei" w:eastAsia="Microsoft YaHei"/>
          <w:b w:val="0"/>
          <w:sz w:val="21"/>
        </w:rPr>
        <w:t xml:space="preserve">。采纳后卡片显示"已采纳"标签、记录 </w:t>
      </w:r>
      <w:r>
        <w:rPr>
          <w:rFonts w:ascii="Consolas" w:hAnsi="Consolas" w:eastAsia="Consolas"/>
          <w:b w:val="0"/>
          <w:color w:val="1F4E79"/>
          <w:sz w:val="20"/>
        </w:rPr>
        <w:t>adopted_text</w:t>
      </w:r>
      <w:r>
        <w:rPr>
          <w:rFonts w:ascii="Microsoft YaHei" w:hAnsi="Microsoft YaHei" w:eastAsia="Microsoft YaHei"/>
          <w:b w:val="0"/>
          <w:sz w:val="21"/>
        </w:rPr>
        <w:t>，并计入审查意见书。已采纳可"撤销采纳"（</w:t>
      </w:r>
      <w:r>
        <w:rPr>
          <w:rFonts w:ascii="Consolas" w:hAnsi="Consolas" w:eastAsia="Consolas"/>
          <w:b w:val="0"/>
          <w:color w:val="1F4E79"/>
          <w:sz w:val="20"/>
        </w:rPr>
        <w:t>adopted:false</w:t>
      </w:r>
      <w:r>
        <w:rPr>
          <w:rFonts w:ascii="Microsoft YaHei" w:hAnsi="Microsoft YaHei" w:eastAsia="Microsoft YaHei"/>
          <w:b w:val="0"/>
          <w:sz w:val="21"/>
        </w:rPr>
        <w:t>）。另有"复制条款"按钮复制建议文本到剪贴板。</w:t>
      </w:r>
    </w:p>
    <w:p>
      <w:pPr>
        <w:spacing w:before="180" w:after="100" w:line="324" w:lineRule="auto"/>
      </w:pPr>
      <w:r>
        <w:rPr>
          <w:rFonts w:ascii="Microsoft YaHei" w:hAnsi="Microsoft YaHei" w:eastAsia="Microsoft YaHei"/>
          <w:b/>
          <w:sz w:val="24"/>
        </w:rPr>
        <w:t>3.5 键盘流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键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行为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前提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j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k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下/上切换风险项并跳页高亮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非输入态、有 findings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Enter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采纳当前激活风险项（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adopt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）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有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W.active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且非输入态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/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聚焦自然语言检索框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nlq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非输入态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Esc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（输入框内）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失焦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输入态</w:t>
            </w:r>
          </w:p>
        </w:tc>
      </w:tr>
    </w:tbl>
    <w:p>
      <w:pPr>
        <w:spacing w:before="0" w:after="80" w:line="324" w:lineRule="auto"/>
      </w:pPr>
    </w:p>
    <w:p>
      <w:pPr>
        <w:spacing w:before="0" w:after="100" w:line="324" w:lineRule="auto"/>
      </w:pPr>
      <w:r>
        <w:rPr>
          <w:rFonts w:ascii="Microsoft YaHei" w:hAnsi="Microsoft YaHei" w:eastAsia="Microsoft YaHei"/>
          <w:b w:val="0"/>
          <w:sz w:val="21"/>
        </w:rPr>
        <w:t xml:space="preserve">输入框（INPUT/TEXTAREA/SELECT）内不触发 </w:t>
      </w:r>
      <w:r>
        <w:rPr>
          <w:rFonts w:ascii="Consolas" w:hAnsi="Consolas" w:eastAsia="Consolas"/>
          <w:b w:val="0"/>
          <w:color w:val="1F4E79"/>
          <w:sz w:val="20"/>
        </w:rPr>
        <w:t>j/k/Enter</w:t>
      </w:r>
      <w:r>
        <w:rPr>
          <w:rFonts w:ascii="Microsoft YaHei" w:hAnsi="Microsoft YaHei" w:eastAsia="Microsoft YaHei"/>
          <w:b w:val="0"/>
          <w:sz w:val="21"/>
        </w:rPr>
        <w:t>，避免与输入冲突。</w:t>
      </w:r>
    </w:p>
    <w:p>
      <w:pPr>
        <w:spacing w:before="180" w:after="100" w:line="324" w:lineRule="auto"/>
      </w:pPr>
      <w:r>
        <w:rPr>
          <w:rFonts w:ascii="Microsoft YaHei" w:hAnsi="Microsoft YaHei" w:eastAsia="Microsoft YaHei"/>
          <w:b/>
          <w:sz w:val="24"/>
        </w:rPr>
        <w:t>3.6 自然语言检索（彩蛋）</w:t>
      </w:r>
    </w:p>
    <w:p>
      <w:pPr>
        <w:spacing w:before="0" w:after="100" w:line="324" w:lineRule="auto"/>
      </w:pPr>
      <w:r>
        <w:rPr>
          <w:rFonts w:ascii="Consolas" w:hAnsi="Consolas" w:eastAsia="Consolas"/>
          <w:b w:val="0"/>
          <w:color w:val="1F4E79"/>
          <w:sz w:val="20"/>
        </w:rPr>
        <w:t>nlq()</w:t>
      </w:r>
      <w:r>
        <w:rPr>
          <w:rFonts w:ascii="Microsoft YaHei" w:hAnsi="Microsoft YaHei" w:eastAsia="Microsoft YaHei"/>
          <w:b w:val="0"/>
          <w:sz w:val="21"/>
        </w:rPr>
        <w:t>：</w:t>
      </w:r>
      <w:r>
        <w:rPr>
          <w:rFonts w:ascii="Consolas" w:hAnsi="Consolas" w:eastAsia="Consolas"/>
          <w:b w:val="0"/>
          <w:color w:val="1F4E79"/>
          <w:sz w:val="20"/>
        </w:rPr>
        <w:t>POST /search {query}</w:t>
      </w:r>
      <w:r>
        <w:rPr>
          <w:rFonts w:ascii="Microsoft YaHei" w:hAnsi="Microsoft YaHei" w:eastAsia="Microsoft YaHei"/>
          <w:b w:val="0"/>
          <w:sz w:val="21"/>
        </w:rPr>
        <w:t xml:space="preserve"> 把口语提问映射到条款类型（付款/验收/违约/保密/IP/数据/争议/效力/不可抗力/主体），返回 Top3 命中片段，点击可跳页高亮。</w:t>
      </w:r>
    </w:p>
    <w:p>
      <w:pPr>
        <w:spacing w:before="80" w:after="120" w:line="324" w:lineRule="auto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</w:t>
      </w:r>
    </w:p>
    <w:p>
      <w:pPr>
        <w:spacing w:before="240" w:after="100" w:line="324" w:lineRule="auto"/>
      </w:pPr>
      <w:r>
        <w:rPr>
          <w:rFonts w:ascii="Microsoft YaHei" w:hAnsi="Microsoft YaHei" w:eastAsia="Microsoft YaHei"/>
          <w:b/>
          <w:sz w:val="28"/>
        </w:rPr>
        <w:t xml:space="preserve">四、设计规范（取自 </w:t>
      </w:r>
      <w:r>
        <w:rPr>
          <w:rFonts w:ascii="Consolas" w:hAnsi="Consolas" w:eastAsia="Consolas"/>
          <w:b/>
          <w:color w:val="1F4E79"/>
          <w:sz w:val="27"/>
        </w:rPr>
        <w:t>app.css :root</w:t>
      </w:r>
      <w:r>
        <w:rPr>
          <w:rFonts w:ascii="Microsoft YaHei" w:hAnsi="Microsoft YaHei" w:eastAsia="Microsoft YaHei"/>
          <w:b/>
          <w:sz w:val="28"/>
        </w:rPr>
        <w:t xml:space="preserve"> 真实色值）</w:t>
      </w:r>
    </w:p>
    <w:p>
      <w:pPr>
        <w:spacing w:before="180" w:after="100" w:line="324" w:lineRule="auto"/>
      </w:pPr>
      <w:r>
        <w:rPr>
          <w:rFonts w:ascii="Microsoft YaHei" w:hAnsi="Microsoft YaHei" w:eastAsia="Microsoft YaHei"/>
          <w:b/>
          <w:sz w:val="24"/>
        </w:rPr>
        <w:t>4.1 色彩变量（实测）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变量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值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用途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--bg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#0B0E14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页面底色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--bg-1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#11161F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卡片/顶栏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--bg-2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#161C27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内层卡片/风险卡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--bg-3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#1D2533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按钮/悬浮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--line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#232C3B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边框主色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--line-2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#2E394B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次级边框/分隔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--text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#E6EAF2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主文字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--text-2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#A7B0C0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次级文字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--text-3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#6E7A8D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辅助/占位文字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--brand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#4C8DFF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品牌蓝/主操作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--brand-dim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#2C5FA8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激活态底/渐变起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--high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#FF5D5D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高风险/错误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--high-bg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rgba(255,93,93,.12)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高风险底色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--medium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#FFA93B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中风险/警告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--medium-bg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rgba(255,169,59,.12)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中风险底色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--low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#7C8798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低风险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--low-bg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rgba(124,135,152,.12)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低风险底色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--ok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#35CE8D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成功/通过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--ok-bg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rgba(53,206,141,.12)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成功底色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--warn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#F5C542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提示黄</w:t>
            </w:r>
          </w:p>
        </w:tc>
      </w:tr>
    </w:tbl>
    <w:p>
      <w:pPr>
        <w:spacing w:before="0" w:after="80" w:line="324" w:lineRule="auto"/>
      </w:pPr>
    </w:p>
    <w:p>
      <w:pPr>
        <w:spacing w:before="0" w:after="80" w:line="324" w:lineRule="auto"/>
        <w:ind w:left="360"/>
      </w:pPr>
      <w:r>
        <w:rPr>
          <w:rFonts w:ascii="Microsoft YaHei" w:hAnsi="Microsoft YaHei" w:eastAsia="Microsoft YaHei"/>
          <w:b w:val="0"/>
          <w:sz w:val="20"/>
        </w:rPr>
        <w:t xml:space="preserve">风险三色 + 成功绿 + 品牌蓝构成完整语义；所有语义色都配套 </w:t>
      </w:r>
      <w:r>
        <w:rPr>
          <w:rFonts w:ascii="Consolas" w:hAnsi="Consolas" w:eastAsia="Consolas"/>
          <w:b w:val="0"/>
          <w:color w:val="1F4E79"/>
          <w:sz w:val="19"/>
        </w:rPr>
        <w:t>-bg</w:t>
      </w:r>
      <w:r>
        <w:rPr>
          <w:rFonts w:ascii="Microsoft YaHei" w:hAnsi="Microsoft YaHei" w:eastAsia="Microsoft YaHei"/>
          <w:b w:val="0"/>
          <w:sz w:val="20"/>
        </w:rPr>
        <w:t xml:space="preserve"> 半透明底，用于卡片左边框/段落高亮，保证深色底上的对比度。</w:t>
      </w:r>
    </w:p>
    <w:p>
      <w:pPr>
        <w:spacing w:before="180" w:after="100" w:line="324" w:lineRule="auto"/>
      </w:pPr>
      <w:r>
        <w:rPr>
          <w:rFonts w:ascii="Microsoft YaHei" w:hAnsi="Microsoft YaHei" w:eastAsia="Microsoft YaHei"/>
          <w:b/>
          <w:sz w:val="24"/>
        </w:rPr>
        <w:t>4.2 字号阶梯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0"/>
        <w:gridCol w:w="4960"/>
      </w:tblGrid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位置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字号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基础正文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14px / line-height 1.6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指标数值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.stat .v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26px（等宽 mono）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文档段落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.doc p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14.2px / 行高 1.95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风险卡标题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.fcard .t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13.5px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卡片标题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.card-title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13px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标签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.tag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11px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辅助文字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.small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12px</w:t>
            </w:r>
          </w:p>
        </w:tc>
      </w:tr>
    </w:tbl>
    <w:p>
      <w:pPr>
        <w:spacing w:before="0" w:after="80" w:line="324" w:lineRule="auto"/>
      </w:pPr>
    </w:p>
    <w:p>
      <w:pPr>
        <w:spacing w:before="180" w:after="100" w:line="324" w:lineRule="auto"/>
      </w:pPr>
      <w:r>
        <w:rPr>
          <w:rFonts w:ascii="Microsoft YaHei" w:hAnsi="Microsoft YaHei" w:eastAsia="Microsoft YaHei"/>
          <w:b/>
          <w:sz w:val="24"/>
        </w:rPr>
        <w:t>4.3 间距与圆角</w:t>
      </w:r>
    </w:p>
    <w:p>
      <w:pPr>
        <w:pStyle w:val="ListBullet"/>
        <w:spacing w:before="0" w:after="40" w:line="324" w:lineRule="auto"/>
        <w:ind w:left="320"/>
      </w:pPr>
      <w:r>
        <w:rPr>
          <w:rFonts w:ascii="Microsoft YaHei" w:hAnsi="Microsoft YaHei" w:eastAsia="Microsoft YaHei"/>
          <w:b w:val="0"/>
          <w:sz w:val="21"/>
        </w:rPr>
        <w:t xml:space="preserve">主区内边距 </w:t>
      </w:r>
      <w:r>
        <w:rPr>
          <w:rFonts w:ascii="Consolas" w:hAnsi="Consolas" w:eastAsia="Consolas"/>
          <w:b w:val="0"/>
          <w:color w:val="1F4E79"/>
          <w:sz w:val="20"/>
        </w:rPr>
        <w:t>main</w:t>
      </w:r>
      <w:r>
        <w:rPr>
          <w:rFonts w:ascii="Microsoft YaHei" w:hAnsi="Microsoft YaHei" w:eastAsia="Microsoft YaHei"/>
          <w:b w:val="0"/>
          <w:sz w:val="21"/>
        </w:rPr>
        <w:t xml:space="preserve"> 20px；卡片 </w:t>
      </w:r>
      <w:r>
        <w:rPr>
          <w:rFonts w:ascii="Consolas" w:hAnsi="Consolas" w:eastAsia="Consolas"/>
          <w:b w:val="0"/>
          <w:color w:val="1F4E79"/>
          <w:sz w:val="20"/>
        </w:rPr>
        <w:t>padding 16px</w:t>
      </w:r>
      <w:r>
        <w:rPr>
          <w:rFonts w:ascii="Microsoft YaHei" w:hAnsi="Microsoft YaHei" w:eastAsia="Microsoft YaHei"/>
          <w:b w:val="0"/>
          <w:sz w:val="21"/>
        </w:rPr>
        <w:t xml:space="preserve">；网格间距 </w:t>
      </w:r>
      <w:r>
        <w:rPr>
          <w:rFonts w:ascii="Consolas" w:hAnsi="Consolas" w:eastAsia="Consolas"/>
          <w:b w:val="0"/>
          <w:color w:val="1F4E79"/>
          <w:sz w:val="20"/>
        </w:rPr>
        <w:t>gap 14px</w:t>
      </w:r>
      <w:r>
        <w:rPr>
          <w:rFonts w:ascii="Microsoft YaHei" w:hAnsi="Microsoft YaHei" w:eastAsia="Microsoft YaHei"/>
          <w:b w:val="0"/>
          <w:sz w:val="21"/>
        </w:rPr>
        <w:t>（次级 10/8px）；</w:t>
      </w:r>
      <w:r>
        <w:rPr>
          <w:rFonts w:ascii="Consolas" w:hAnsi="Consolas" w:eastAsia="Consolas"/>
          <w:b w:val="0"/>
          <w:color w:val="1F4E79"/>
          <w:sz w:val="20"/>
        </w:rPr>
        <w:t>pane-body</w:t>
      </w:r>
      <w:r>
        <w:rPr>
          <w:rFonts w:ascii="Microsoft YaHei" w:hAnsi="Microsoft YaHei" w:eastAsia="Microsoft YaHei"/>
          <w:b w:val="0"/>
          <w:sz w:val="21"/>
        </w:rPr>
        <w:t xml:space="preserve"> 左 18×22px、右 12×14px。</w:t>
      </w:r>
    </w:p>
    <w:p>
      <w:pPr>
        <w:pStyle w:val="ListBullet"/>
        <w:spacing w:before="0" w:after="40" w:line="324" w:lineRule="auto"/>
        <w:ind w:left="320"/>
      </w:pPr>
      <w:r>
        <w:rPr>
          <w:rFonts w:ascii="Microsoft YaHei" w:hAnsi="Microsoft YaHei" w:eastAsia="Microsoft YaHei"/>
          <w:b w:val="0"/>
          <w:sz w:val="21"/>
        </w:rPr>
        <w:t>圆角：</w:t>
      </w:r>
      <w:r>
        <w:rPr>
          <w:rFonts w:ascii="Consolas" w:hAnsi="Consolas" w:eastAsia="Consolas"/>
          <w:b w:val="0"/>
          <w:color w:val="1F4E79"/>
          <w:sz w:val="20"/>
        </w:rPr>
        <w:t>--radius: 10px</w:t>
      </w:r>
      <w:r>
        <w:rPr>
          <w:rFonts w:ascii="Microsoft YaHei" w:hAnsi="Microsoft YaHei" w:eastAsia="Microsoft YaHei"/>
          <w:b w:val="0"/>
          <w:sz w:val="21"/>
        </w:rPr>
        <w:t>（卡片、下拉、模态）；</w:t>
      </w:r>
      <w:r>
        <w:rPr>
          <w:rFonts w:ascii="Consolas" w:hAnsi="Consolas" w:eastAsia="Consolas"/>
          <w:b w:val="0"/>
          <w:color w:val="1F4E79"/>
          <w:sz w:val="20"/>
        </w:rPr>
        <w:t>--radius-sm: 6px</w:t>
      </w:r>
      <w:r>
        <w:rPr>
          <w:rFonts w:ascii="Microsoft YaHei" w:hAnsi="Microsoft YaHei" w:eastAsia="Microsoft YaHei"/>
          <w:b w:val="0"/>
          <w:sz w:val="21"/>
        </w:rPr>
        <w:t>（按钮、输入框、标签）；进度条/滚动条 5px。</w:t>
      </w:r>
    </w:p>
    <w:p>
      <w:pPr>
        <w:pStyle w:val="ListBullet"/>
        <w:spacing w:before="0" w:after="40" w:line="324" w:lineRule="auto"/>
        <w:ind w:left="320"/>
      </w:pPr>
      <w:r>
        <w:rPr>
          <w:rFonts w:ascii="Microsoft YaHei" w:hAnsi="Microsoft YaHei" w:eastAsia="Microsoft YaHei"/>
          <w:b w:val="0"/>
          <w:sz w:val="21"/>
        </w:rPr>
        <w:t>阴影：</w:t>
      </w:r>
      <w:r>
        <w:rPr>
          <w:rFonts w:ascii="Consolas" w:hAnsi="Consolas" w:eastAsia="Consolas"/>
          <w:b w:val="0"/>
          <w:color w:val="1F4E79"/>
          <w:sz w:val="20"/>
        </w:rPr>
        <w:t>--shadow: 0 6px 24px rgba(0,0,0,.35)</w:t>
      </w:r>
      <w:r>
        <w:rPr>
          <w:rFonts w:ascii="Microsoft YaHei" w:hAnsi="Microsoft YaHei" w:eastAsia="Microsoft YaHei"/>
          <w:b w:val="0"/>
          <w:sz w:val="21"/>
        </w:rPr>
        <w:t>（仅模态/悬浮卡片）。</w:t>
      </w:r>
    </w:p>
    <w:p>
      <w:pPr>
        <w:spacing w:before="180" w:after="100" w:line="324" w:lineRule="auto"/>
      </w:pPr>
      <w:r>
        <w:rPr>
          <w:rFonts w:ascii="Microsoft YaHei" w:hAnsi="Microsoft YaHei" w:eastAsia="Microsoft YaHei"/>
          <w:b/>
          <w:sz w:val="24"/>
        </w:rPr>
        <w:t>4.4 动效原则（克制）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/>
          <w:sz w:val="21"/>
        </w:rPr>
        <w:t>动效只用于表达状态变化</w:t>
      </w:r>
      <w:r>
        <w:rPr>
          <w:rFonts w:ascii="Microsoft YaHei" w:hAnsi="Microsoft YaHei" w:eastAsia="Microsoft YaHei"/>
          <w:b w:val="0"/>
          <w:sz w:val="21"/>
        </w:rPr>
        <w:t>，不使用装饰性动画：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动效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触发场景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含义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pulse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跳页高亮 / 划选跳转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蓝底脉冲 2 次，提示"看这里"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blink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时间轴当前节点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呼吸闪烁，表示"进行中"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slidein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toast 出现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从下方滑入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rot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.spin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加载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旋转，表示后台进行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transition .16s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按钮/卡片 hover、边框聚焦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仅颜色/边框过渡</w:t>
            </w:r>
          </w:p>
        </w:tc>
      </w:tr>
    </w:tbl>
    <w:p>
      <w:pPr>
        <w:spacing w:before="0" w:after="80" w:line="324" w:lineRule="auto"/>
      </w:pPr>
    </w:p>
    <w:p>
      <w:pPr>
        <w:spacing w:before="0" w:after="100" w:line="324" w:lineRule="auto"/>
      </w:pPr>
      <w:r>
        <w:rPr>
          <w:rFonts w:ascii="Microsoft YaHei" w:hAnsi="Microsoft YaHei" w:eastAsia="Microsoft YaHei"/>
          <w:b w:val="0"/>
          <w:sz w:val="21"/>
        </w:rPr>
        <w:t>设计取向（CSS 注释原话）："信息密度优先于留白，对比度优先于柔和，动效只用于表达状态变化。"</w:t>
      </w:r>
    </w:p>
    <w:p>
      <w:pPr>
        <w:spacing w:before="80" w:after="120" w:line="324" w:lineRule="auto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</w:t>
      </w:r>
    </w:p>
    <w:p>
      <w:pPr>
        <w:spacing w:before="240" w:after="100" w:line="324" w:lineRule="auto"/>
      </w:pPr>
      <w:r>
        <w:rPr>
          <w:rFonts w:ascii="Microsoft YaHei" w:hAnsi="Microsoft YaHei" w:eastAsia="Microsoft YaHei"/>
          <w:b/>
          <w:sz w:val="28"/>
        </w:rPr>
        <w:t>五、状态与空态设计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状态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视觉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文案（代码实写）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Loading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.spin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旋转 + "等待流水线事件…" + 顶部"流水线运行中"标签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"正在上传…" / "正在解析合同文档" / SSE 实时进度条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空态（列表）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.empty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居中灰字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"暂无审查任务"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空态（正文）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.empty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"选择一份合同开始审查" / "暂无正文数据"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无结果（审查）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.empty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completed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且零命中："未命中任何风险项，合同条款齐备。"；非完成："尚未产生审查结果。"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阻塞态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红色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banner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+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blockedBox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+ 重试按钮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"任务已阻塞（需人工处理）"+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block_reason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+ 处理建议 + "重新解析/重试"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错误态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红 toast / "服务未就绪"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上传失败/回写失败/接口 400/409/413 均用可读中文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detail</w:t>
            </w:r>
          </w:p>
        </w:tc>
      </w:tr>
    </w:tbl>
    <w:p>
      <w:pPr>
        <w:spacing w:before="0" w:after="80" w:line="324" w:lineRule="auto"/>
      </w:pPr>
    </w:p>
    <w:p>
      <w:pPr>
        <w:spacing w:before="0" w:after="100" w:line="324" w:lineRule="auto"/>
      </w:pPr>
      <w:r>
        <w:rPr>
          <w:rFonts w:ascii="Microsoft YaHei" w:hAnsi="Microsoft YaHei" w:eastAsia="Microsoft YaHei"/>
          <w:b/>
          <w:sz w:val="21"/>
        </w:rPr>
        <w:t>健康灯</w:t>
      </w:r>
      <w:r>
        <w:rPr>
          <w:rFonts w:ascii="Microsoft YaHei" w:hAnsi="Microsoft YaHei" w:eastAsia="Microsoft YaHei"/>
          <w:b w:val="0"/>
          <w:sz w:val="21"/>
        </w:rPr>
        <w:t xml:space="preserve">：顶部 </w:t>
      </w:r>
      <w:r>
        <w:rPr>
          <w:rFonts w:ascii="Consolas" w:hAnsi="Consolas" w:eastAsia="Consolas"/>
          <w:b w:val="0"/>
          <w:color w:val="1F4E79"/>
          <w:sz w:val="20"/>
        </w:rPr>
        <w:t>healthBox</w:t>
      </w:r>
      <w:r>
        <w:rPr>
          <w:rFonts w:ascii="Microsoft YaHei" w:hAnsi="Microsoft YaHei" w:eastAsia="Microsoft YaHei"/>
          <w:b w:val="0"/>
          <w:sz w:val="21"/>
        </w:rPr>
        <w:t xml:space="preserve"> 用绿点/红点表达规则在线、语义层在线/降级、OCR 就绪/不可用；服务不可达显示"服务未就绪"（红点）。</w:t>
      </w:r>
    </w:p>
    <w:p>
      <w:pPr>
        <w:spacing w:before="80" w:after="120" w:line="324" w:lineRule="auto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</w:t>
      </w:r>
    </w:p>
    <w:p>
      <w:pPr>
        <w:spacing w:before="240" w:after="100" w:line="324" w:lineRule="auto"/>
      </w:pPr>
      <w:r>
        <w:rPr>
          <w:rFonts w:ascii="Microsoft YaHei" w:hAnsi="Microsoft YaHei" w:eastAsia="Microsoft YaHei"/>
          <w:b/>
          <w:sz w:val="28"/>
        </w:rPr>
        <w:t>六、响应式断点与降级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0"/>
        <w:gridCol w:w="4960"/>
      </w:tblGrid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断点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行为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&gt;1180px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工作台双栏：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grid-template-columns: minmax(0,1fr) 440px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，左右并排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≤1180px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单栏堆叠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：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.wb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改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1fr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height:auto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，右栏落到左栏下方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≤1200px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指标网格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.c4/.c6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降为 2 列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≤900px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.c2/.c3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降为 1 列</w:t>
            </w:r>
          </w:p>
        </w:tc>
      </w:tr>
    </w:tbl>
    <w:p>
      <w:pPr>
        <w:spacing w:before="0" w:after="80" w:line="324" w:lineRule="auto"/>
      </w:pPr>
    </w:p>
    <w:p>
      <w:pPr>
        <w:spacing w:before="0" w:after="100" w:line="324" w:lineRule="auto"/>
      </w:pPr>
      <w:r>
        <w:rPr>
          <w:rFonts w:ascii="Microsoft YaHei" w:hAnsi="Microsoft YaHei" w:eastAsia="Microsoft YaHei"/>
          <w:b/>
          <w:sz w:val="21"/>
        </w:rPr>
        <w:t>为什么 1180px 是工作台分界</w:t>
      </w:r>
      <w:r>
        <w:rPr>
          <w:rFonts w:ascii="Microsoft YaHei" w:hAnsi="Microsoft YaHei" w:eastAsia="Microsoft YaHei"/>
          <w:b w:val="0"/>
          <w:sz w:val="21"/>
        </w:rPr>
        <w:t>：双栏要求左文右卡各有舒适宽度，窄屏下并排会挤压阅读区，故直接堆叠而非强行双栏。其余网格按列数自适应降列，保持信息不丢。</w:t>
      </w:r>
    </w:p>
    <w:p>
      <w:pPr>
        <w:spacing w:before="80" w:after="120" w:line="324" w:lineRule="auto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</w:t>
      </w:r>
    </w:p>
    <w:p>
      <w:pPr>
        <w:spacing w:before="240" w:after="100" w:line="324" w:lineRule="auto"/>
      </w:pPr>
      <w:r>
        <w:rPr>
          <w:rFonts w:ascii="Microsoft YaHei" w:hAnsi="Microsoft YaHei" w:eastAsia="Microsoft YaHei"/>
          <w:b/>
          <w:sz w:val="28"/>
        </w:rPr>
        <w:t>相关文档</w:t>
      </w:r>
    </w:p>
    <w:p>
      <w:pPr>
        <w:pStyle w:val="ListBullet"/>
        <w:spacing w:before="0" w:after="40" w:line="324" w:lineRule="auto"/>
        <w:ind w:left="320"/>
      </w:pPr>
      <w:r>
        <w:rPr>
          <w:rFonts w:ascii="Consolas" w:hAnsi="Consolas" w:eastAsia="Consolas"/>
          <w:b w:val="0"/>
          <w:color w:val="1F4E79"/>
          <w:sz w:val="20"/>
        </w:rPr>
        <w:t>../04_interaction_design/审核流程与状态设计.md</w:t>
      </w:r>
      <w:r>
        <w:rPr>
          <w:rFonts w:ascii="Microsoft YaHei" w:hAnsi="Microsoft YaHei" w:eastAsia="Microsoft YaHei"/>
          <w:b w:val="0"/>
          <w:sz w:val="21"/>
        </w:rPr>
        <w:t xml:space="preserve"> —— 全链路状态机与时序</w:t>
      </w:r>
    </w:p>
    <w:p>
      <w:pPr>
        <w:pStyle w:val="ListBullet"/>
        <w:spacing w:before="0" w:after="40" w:line="324" w:lineRule="auto"/>
        <w:ind w:left="320"/>
      </w:pPr>
      <w:r>
        <w:rPr>
          <w:rFonts w:ascii="Consolas" w:hAnsi="Consolas" w:eastAsia="Consolas"/>
          <w:b w:val="0"/>
          <w:color w:val="1F4E79"/>
          <w:sz w:val="20"/>
        </w:rPr>
        <w:t>../04_interaction_design/03_人工审核链路.md</w:t>
      </w:r>
      <w:r>
        <w:rPr>
          <w:rFonts w:ascii="Microsoft YaHei" w:hAnsi="Microsoft YaHei" w:eastAsia="Microsoft YaHei"/>
          <w:b w:val="0"/>
          <w:sz w:val="21"/>
        </w:rPr>
        <w:t xml:space="preserve"> —— HITL 弹窗与 409 门禁</w:t>
      </w:r>
    </w:p>
    <w:p>
      <w:pPr>
        <w:pStyle w:val="ListBullet"/>
        <w:spacing w:before="0" w:after="40" w:line="324" w:lineRule="auto"/>
        <w:ind w:left="320"/>
      </w:pPr>
      <w:r>
        <w:rPr>
          <w:rFonts w:ascii="Consolas" w:hAnsi="Consolas" w:eastAsia="Consolas"/>
          <w:b w:val="0"/>
          <w:color w:val="1F4E79"/>
          <w:sz w:val="20"/>
        </w:rPr>
        <w:t>../03_problem_modeling/业务问题建模文档.md</w:t>
      </w:r>
      <w:r>
        <w:rPr>
          <w:rFonts w:ascii="Microsoft YaHei" w:hAnsi="Microsoft YaHei" w:eastAsia="Microsoft YaHei"/>
          <w:b w:val="0"/>
          <w:sz w:val="21"/>
        </w:rPr>
        <w:t xml:space="preserve"> —— 双栏联动的业务依据（统一坐标系）</w:t>
      </w:r>
    </w:p>
    <w:p>
      <w:pPr>
        <w:pStyle w:val="ListBullet"/>
        <w:spacing w:before="0" w:after="40" w:line="324" w:lineRule="auto"/>
        <w:ind w:left="320"/>
      </w:pPr>
      <w:r>
        <w:rPr>
          <w:rFonts w:ascii="Consolas" w:hAnsi="Consolas" w:eastAsia="Consolas"/>
          <w:b w:val="0"/>
          <w:color w:val="1F4E79"/>
          <w:sz w:val="20"/>
        </w:rPr>
        <w:t>../00_setup/项目事实基线.md</w:t>
      </w:r>
      <w:r>
        <w:rPr>
          <w:rFonts w:ascii="Microsoft YaHei" w:hAnsi="Microsoft YaHei" w:eastAsia="Microsoft YaHei"/>
          <w:b w:val="0"/>
          <w:sz w:val="21"/>
        </w:rPr>
        <w:t xml:space="preserve"> —— 前端技术栈与页面清单</w:t>
      </w:r>
    </w:p>
    <w:sectPr w:rsidR="00FC693F" w:rsidRPr="0006063C" w:rsidSect="00034616">
      <w:pgSz w:w="12240" w:h="15840"/>
      <w:pgMar w:top="1120" w:right="1120" w:bottom="1120" w:left="12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