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生成时间：2026-03-10T12:09:25.050682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立即启动退款投诉专项通道，2小时内完成首例投诉核实与赔付；</w:t>
      </w:r>
    </w:p>
    <w:p>
      <w:pPr>
        <w:pStyle w:val="ListBullet"/>
      </w:pPr>
      <w:r>
        <w:t>同步更新全渠道客服应答SOP，明确‘48小时必响应、72小时必闭环’时效承诺；</w:t>
      </w:r>
    </w:p>
    <w:p>
      <w:pPr>
        <w:pStyle w:val="ListBullet"/>
      </w:pPr>
      <w:r>
        <w:t>调取近7日同类投诉工单，开展根因分析并输出优化方案，于24小时内提交至运营与品控双线负责人。</w:t>
      </w:r>
    </w:p>
    <w:p>
      <w:pPr>
        <w:pStyle w:val="Heading1"/>
      </w:pPr>
      <w:r>
        <w:t>AI 研判</w:t>
      </w:r>
    </w:p>
    <w:p>
      <w:r>
        <w:t>微博平台出现1条与品牌A相关的负面舆情，聚焦‘退款’‘投诉’‘客服响应’等关键词，舆情热度初显升温趋势，风险评分为78，属高风险等级。核心矛盾指向客诉处理时效不足及服务响应滞后，存在进一步发酵扩散可能。</w:t>
      </w:r>
    </w:p>
    <w:p>
      <w:r>
        <w:t>high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品牌A始终将用户权益置于首位，已紧急升级客诉响应机制；</w:t>
      </w:r>
    </w:p>
    <w:p>
      <w:pPr>
        <w:pStyle w:val="ListBullet"/>
      </w:pPr>
      <w:r>
        <w:t>所有退款申请均进入优先审核通道，系统自动触发进度实时推送；</w:t>
      </w:r>
    </w:p>
    <w:p>
      <w:pPr>
        <w:pStyle w:val="ListBullet"/>
      </w:pPr>
      <w:r>
        <w:t>我们诚恳接受监督，并将持续优化服务体验——您的每一次反馈，都在推动我们更好。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