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生成时间：2026-03-10T11:59:45.144418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立即启动退款投诉专项通道，2小时内完成首例用户赔付并同步内部通报</w:t>
      </w:r>
    </w:p>
    <w:p>
      <w:pPr>
        <w:pStyle w:val="ListBullet"/>
      </w:pPr>
      <w:r>
        <w:t>今日内统一全渠道客服应答话术，明确退款时效承诺（如‘48小时到账’）及补偿标准</w:t>
      </w:r>
    </w:p>
    <w:p>
      <w:pPr>
        <w:pStyle w:val="ListBullet"/>
      </w:pPr>
      <w:r>
        <w:t>调取近7日同类投诉工单，识别系统性堵点（如审核流程、支付接口），输出根因报告</w:t>
      </w:r>
    </w:p>
    <w:p>
      <w:pPr>
        <w:pStyle w:val="Heading1"/>
      </w:pPr>
      <w:r>
        <w:t>AI 研判</w:t>
      </w:r>
    </w:p>
    <w:p>
      <w:r>
        <w:t>微博平台监测到1条与品牌A相关的舆情信息，关键词聚焦‘退款’‘投诉’‘客服响应’，情绪倾向负面，风险等级为高（78分）。事件已出现‘升温’‘提速’等紧迫性表述，显示用户对处理时效不满，存在进一步发酵风险。</w:t>
      </w:r>
    </w:p>
    <w:p>
      <w:r>
        <w:t>高风险。核心矛盾集中于售后履约滞后与客服响应迟缓，易引发群体效仿投诉及媒体二次传播，若48小时内未给出实质性解决方案，可能升级为区域性客诉危机。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品牌A高度重视每一位用户的反馈，已成立专项小组加急处理相关订单</w:t>
      </w:r>
    </w:p>
    <w:p>
      <w:pPr>
        <w:pStyle w:val="ListBullet"/>
      </w:pPr>
      <w:r>
        <w:t>所有符合条件的退款申请将在48小时内完成审核与打款，并额外提供心意补偿</w:t>
      </w:r>
    </w:p>
    <w:p>
      <w:pPr>
        <w:pStyle w:val="ListBullet"/>
      </w:pPr>
      <w:r>
        <w:t>我们正在全面优化售后服务响应机制，后续将通过官网及官微同步服务升级进展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