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生成时间：2026-03-09T22:17:33.817135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2小时内完成涉事订单核查与全额退款，并主动联系用户致歉；</w:t>
      </w:r>
    </w:p>
    <w:p>
      <w:pPr>
        <w:pStyle w:val="ListBullet"/>
      </w:pPr>
      <w:r>
        <w:t>即刻同步全渠道客服团队最新回应话术，明确退款时效承诺（如‘24小时内到账’）；</w:t>
      </w:r>
    </w:p>
    <w:p>
      <w:pPr>
        <w:pStyle w:val="ListBullet"/>
      </w:pPr>
      <w:r>
        <w:t>启动微博舆情专项监控，设置‘退款’‘投诉’‘客服’等关键词实时告警。</w:t>
      </w:r>
    </w:p>
    <w:p>
      <w:pPr>
        <w:pStyle w:val="Heading1"/>
      </w:pPr>
      <w:r>
        <w:t>AI 研判</w:t>
      </w:r>
    </w:p>
    <w:p>
      <w:r>
        <w:t>微博平台出现1条与品牌A相关的负面舆情，聚焦退款投诉未及时处理，关键词显示‘退款’‘投诉’‘响应’‘提速’等诉求集中，舆情热度初显升温迹象，风险等级为高（78分），需立即干预以防扩散。</w:t>
      </w:r>
    </w:p>
    <w:p>
      <w:r>
        <w:t>高风险。单条内容虽未形成大规模传播，但核心矛盾直指客户服务响应效率与退款履约能力，易引发同类用户共鸣及二次传播，存在演变为典型客诉事件的风险。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品牌A始终将用户权益放在首位，已紧急升级退款流程，确保同类问题24小时内闭环；</w:t>
      </w:r>
    </w:p>
    <w:p>
      <w:pPr>
        <w:pStyle w:val="ListBullet"/>
      </w:pPr>
      <w:r>
        <w:t>我们已对客服响应机制开展全面复盘，即日起实施响应提速专项整改；</w:t>
      </w:r>
    </w:p>
    <w:p>
      <w:pPr>
        <w:pStyle w:val="ListBullet"/>
      </w:pPr>
      <w:r>
        <w:t>欢迎用户通过官方客服通道反馈具体问题，我们将一对一跟进、优先处理。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