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生成时间：2026-03-09T22:46:47.252884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立即核查该微博用户订单及退款工单状态，2小时内完成首响并同步解决方案</w:t>
      </w:r>
    </w:p>
    <w:p>
      <w:pPr>
        <w:pStyle w:val="ListBullet"/>
      </w:pPr>
      <w:r>
        <w:t>全渠道（含在线客服、电话、私信）统一启用‘退款加急通道’话术，并在30分钟内完成系统侧优先级标记</w:t>
      </w:r>
    </w:p>
    <w:p>
      <w:pPr>
        <w:pStyle w:val="ListBullet"/>
      </w:pPr>
      <w:r>
        <w:t>调取近7日同类型退款投诉数据，识别共性堵点，今日内输出优化方案并同步至客服与物流部门</w:t>
      </w:r>
    </w:p>
    <w:p>
      <w:pPr>
        <w:pStyle w:val="Heading1"/>
      </w:pPr>
      <w:r>
        <w:t>AI 研判</w:t>
      </w:r>
    </w:p>
    <w:p>
      <w:r>
        <w:t>微博平台出现1条与品牌A相关的负面舆情，聚焦退款投诉未及时处理，关键词显示‘退款’‘投诉’‘升温’‘提速’，舆情风险等级为高（78分），表明用户对客服响应效率不满情绪正在发酵，存在进一步扩散风险。</w:t>
      </w:r>
    </w:p>
    <w:p>
      <w:r>
        <w:t>高风险。单条内容虽量少，但语义指向明确的服务失效（退款延迟+客服响应慢），叠加‘升温’‘提速’等情绪化表述，易引发同类用户共鸣及二次传播，若48小时内无实质性响应，可能升级为区域性客诉潮。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品牌A始终将用户权益放在首位，已紧急启动本次退款事项的专项协查与加急处理</w:t>
      </w:r>
    </w:p>
    <w:p>
      <w:pPr>
        <w:pStyle w:val="ListBullet"/>
      </w:pPr>
      <w:r>
        <w:t>我们正全面升级售后服务响应机制，包括扩容客服专线、优化退款审核流程，确保未来响应时效提升50%</w:t>
      </w:r>
    </w:p>
    <w:p>
      <w:pPr>
        <w:pStyle w:val="ListBullet"/>
      </w:pPr>
      <w:r>
        <w:t>欢迎用户通过官方客服通道直接反馈问题，我们将专人跟进、全程透明同步处理进展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