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生成时间：2026-03-10T07:07:41.080301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无需专项响应，维持常规舆情监测频率</w:t>
      </w:r>
    </w:p>
    <w:p>
      <w:pPr>
        <w:pStyle w:val="ListBullet"/>
      </w:pPr>
      <w:r>
        <w:t>技术侧可同步核查'导出'功能近期是否有灰度发布或配置变更，排除潜在体验波动</w:t>
      </w:r>
    </w:p>
    <w:p>
      <w:pPr>
        <w:pStyle w:val="ListBullet"/>
      </w:pPr>
      <w:r>
        <w:t>客服知识库暂不新增应答话术，但建议在FAQ中预留'导出功能常见问题'入口以备后续咨询上升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监测到微博平台出现1条含关键词'导出测试'的轻量级内容，语义中性，无负面情绪、无具体投诉指向或事实偏差，属常规功能验证类行为，舆情热度为零，传播范围未扩散。</w:t>
      </w:r>
    </w:p>
    <w:p>
      <w:r>
        <w:t>低风险。风险评分为8（满分100），源于内容完全无攻击性、无用户受损描述、无品牌误读或服务故障暗示，仅为内部或用户自发的功能试探行为。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该操作属于用户对产品基础功能的正常探索，体现用户活跃度与信任感</w:t>
      </w:r>
    </w:p>
    <w:p>
      <w:pPr>
        <w:pStyle w:val="ListBullet"/>
      </w:pPr>
      <w:r>
        <w:t>我们持续优化导出等高频工具的稳定性与兼容性，欢迎用户通过官方渠道反馈使用体验</w:t>
      </w:r>
    </w:p>
    <w:p>
      <w:pPr>
        <w:pStyle w:val="ListBullet"/>
      </w:pPr>
      <w:r>
        <w:t>所有数据导出均严格遵循隐私协议，用户可控、过程透明、结果可验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