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eastAsia="SimSun"/>
          <w:b/>
          <w:i w:val="0"/>
          <w:sz w:val="32"/>
        </w:rPr>
        <w:t>From Transient Encounters to Committed Sampling:</w:t>
        <w:br/>
        <w:t>A Multi-Objective Adaptive Sampling Strategy for Rare Protein Conformational States</w:t>
      </w:r>
    </w:p>
    <w:p>
      <w:pPr>
        <w:spacing w:before="160" w:after="160" w:line="360" w:lineRule="auto"/>
        <w:ind w:firstLine="0"/>
        <w:jc w:val="center"/>
      </w:pPr>
      <w:r>
        <w:rPr>
          <w:rFonts w:ascii="Times New Roman" w:hAnsi="Times New Roman" w:eastAsia="SimSun"/>
          <w:b w:val="0"/>
          <w:i w:val="0"/>
          <w:sz w:val="24"/>
        </w:rPr>
        <w:t>Yiru Wang</w:t>
      </w:r>
      <w:r>
        <w:rPr>
          <w:rFonts w:ascii="Times New Roman" w:hAnsi="Times New Roman" w:eastAsia="SimSun"/>
          <w:b w:val="0"/>
          <w:i w:val="0"/>
          <w:sz w:val="18"/>
          <w:vertAlign w:val="superscript"/>
        </w:rPr>
        <w:t>1,2</w:t>
      </w:r>
      <w:r>
        <w:rPr>
          <w:rFonts w:ascii="Times New Roman" w:hAnsi="Times New Roman" w:eastAsia="SimSun"/>
          <w:b w:val="0"/>
          <w:i w:val="0"/>
          <w:sz w:val="24"/>
        </w:rPr>
        <w:t xml:space="preserve"> and Ying Li</w:t>
      </w:r>
      <w:r>
        <w:rPr>
          <w:rFonts w:ascii="Times New Roman" w:hAnsi="Times New Roman" w:eastAsia="SimSun"/>
          <w:b w:val="0"/>
          <w:i w:val="0"/>
          <w:sz w:val="18"/>
          <w:vertAlign w:val="superscript"/>
        </w:rPr>
        <w:t>1,2</w:t>
      </w:r>
    </w:p>
    <w:p>
      <w:pPr>
        <w:spacing w:before="0" w:after="40" w:line="360" w:lineRule="auto"/>
        <w:ind w:firstLine="0"/>
        <w:jc w:val="center"/>
      </w:pPr>
      <w:r>
        <w:rPr>
          <w:rFonts w:ascii="Times New Roman" w:hAnsi="Times New Roman" w:eastAsia="SimSun"/>
          <w:b w:val="0"/>
          <w:i/>
          <w:sz w:val="18"/>
        </w:rPr>
        <w:t>1  Beijing Key Laboratory of Biomass Waste Resource Utilization, College of Biochemical Engineering, Beijing Union University, Beijing, 100023, China.</w:t>
      </w:r>
    </w:p>
    <w:p>
      <w:pPr>
        <w:spacing w:before="0" w:after="280" w:line="360" w:lineRule="auto"/>
        <w:ind w:firstLine="0"/>
        <w:jc w:val="center"/>
      </w:pPr>
      <w:r>
        <w:rPr>
          <w:rFonts w:ascii="Times New Roman" w:hAnsi="Times New Roman" w:eastAsia="SimSun"/>
          <w:b w:val="0"/>
          <w:i/>
          <w:sz w:val="18"/>
        </w:rPr>
        <w:t>2  Beijing Key Laboratory of Bioactive Substances and Functional Foods, College of Biochemical Engineering, Beijing Union University, Beijing, 100023, China.</w:t>
      </w:r>
    </w:p>
    <w:p>
      <w:pPr>
        <w:pStyle w:val="Heading1"/>
      </w:pPr>
      <w:r>
        <w:rPr>
          <w:rFonts w:ascii="Times New Roman" w:hAnsi="Times New Roman" w:eastAsia="SimSun"/>
          <w:color w:val="1A202C"/>
        </w:rPr>
        <w:t>Abstract</w:t>
      </w:r>
    </w:p>
    <w:p>
      <w:pPr>
        <w:spacing w:after="160" w:before="0" w:line="360" w:lineRule="auto"/>
        <w:ind w:firstLine="420"/>
        <w:jc w:val="both"/>
      </w:pPr>
      <w:r>
        <w:rPr>
          <w:rFonts w:ascii="Times New Roman" w:hAnsi="Times New Roman" w:eastAsia="SimSun"/>
          <w:b w:val="0"/>
          <w:i w:val="0"/>
          <w:sz w:val="22"/>
        </w:rPr>
        <w:t>Adaptive sampling is widely used to accelerate molecular dynamics of rare protein conformational changes. Success is still often scored by the first time a trajectory enters a predefined target window. That criterion is not sufficient: a simulation can graze the target, leave immediately, and never establish persistent sampling of the basin. We introduce MOAS, a multi-objective adaptive sampling strategy that ranks candidate seeds by novelty, boundary exploration, and target proximity, mixed by equal percentile ranks under a diversity constraint. The primary endpoints are a committed visit of the target window and the occupancy of that basin over the full simulation budget. We apply the method to chignolin folding, the open-to-closed transition of adenylate kinase, and domain closure of apo maltose-binding protein. MOAS established committed sampling in every replicate on every system, whereas random selection almost never committed and exploration-oriented methods often hit the window without remaining there. Occupancy of the target basin was substantially higher for MOAS than for the matched baselines. Ablation indicates that exploration and target-directed terms are complementary, and that no reduced mix reproduced the residence of the full method. The results support scoring adaptive sampling of target states by committed, persistent sampling rather than by first encounter alone.</w:t>
      </w:r>
    </w:p>
    <w:p>
      <w:pPr>
        <w:pStyle w:val="Heading1"/>
      </w:pPr>
      <w:r>
        <w:rPr>
          <w:rFonts w:ascii="Times New Roman" w:hAnsi="Times New Roman" w:eastAsia="SimSun"/>
          <w:color w:val="1A202C"/>
        </w:rPr>
        <w:t>1. Introduction</w:t>
      </w:r>
    </w:p>
    <w:p>
      <w:pPr>
        <w:spacing w:after="160" w:before="0" w:line="360" w:lineRule="auto"/>
        <w:ind w:firstLine="420"/>
        <w:jc w:val="both"/>
      </w:pPr>
      <w:r>
        <w:rPr>
          <w:rFonts w:ascii="Times New Roman" w:hAnsi="Times New Roman" w:eastAsia="SimSun"/>
          <w:b w:val="0"/>
          <w:i w:val="0"/>
          <w:sz w:val="22"/>
        </w:rPr>
        <w:t>Molecular dynamics (MD) can, in a single trajectory, supply the structural, thermodynamic, and kinetic information that a crystal structure does not: which basins are populated, how they interconvert, and along which coordinates. That combination is why MD is used for folding, domain motion, and ligand-linked conformational change. The limitation is timescale. Unbiased integration advances on a femtosecond step, whereas the protein transitions of interest often lie on microsecond-to-millisecond or longer scales, so extending one long trajectory is an inefficient way to spend a finite budget on a rare event. Adaptive sampling spends the same budget more productively: configurations are harvested from the visited ensemble, ranked, used as starting points (seeds) for short trajectories, and pooled, and the cycle repeats. The usual design question is where to sample next—which regions of collective-variable (CV) space are still empty, under-counted, or on the frontier of the cloud. That question is necessary, but it is not sufficient. The central question is not only where to sample next, but also how to define a successful sampling event.</w:t>
      </w:r>
    </w:p>
    <w:p>
      <w:pPr>
        <w:spacing w:after="160" w:before="0" w:line="360" w:lineRule="auto"/>
        <w:ind w:firstLine="420"/>
        <w:jc w:val="both"/>
      </w:pPr>
      <w:r>
        <w:rPr>
          <w:rFonts w:ascii="Times New Roman" w:hAnsi="Times New Roman" w:eastAsia="SimSun"/>
          <w:b w:val="0"/>
          <w:i w:val="0"/>
          <w:sz w:val="22"/>
        </w:rPr>
        <w:t>How that event is defined depends on what a method is built to favor. Existing adaptive schemes are coherent once those aims are stated; they are not interchangeable, and they are not failures of one another’s objectives. Random selection provides unbiased, diverse restarts from the current pool. Least-counts directs seeds into under-sampled histogram bins. LAST drives the ensemble toward the frontier of the visited cloud. kNN-AS, a machine-learning frontier score, similarly emphasizes low-density or otherwise under-explored regions of CV space. By construction, all of these strategies tend to explore where the trajectory has not been. That is a well-posed objective for covering conformational space. It is not equivalent to remaining where the target state is. When success is recorded as first hit—the first time any frame enters a predefined target window—the two aims are quietly substituted for one another. A method can be excellent at pushing the cloud outward, record an early hit, and still never establish the target as a sampled basin. The gap this paper addresses is therefore not that exploration methods explore, but that first hit is not a committed visit.</w:t>
      </w:r>
    </w:p>
    <w:p>
      <w:pPr>
        <w:spacing w:after="160" w:before="0" w:line="360" w:lineRule="auto"/>
        <w:ind w:firstLine="420"/>
        <w:jc w:val="both"/>
      </w:pPr>
      <w:r>
        <w:rPr>
          <w:rFonts w:ascii="Times New Roman" w:hAnsi="Times New Roman" w:eastAsia="SimSun"/>
          <w:b w:val="0"/>
          <w:i w:val="0"/>
          <w:sz w:val="22"/>
        </w:rPr>
        <w:t>The substitution is easier to see if campaign outcomes are ranked rather than collapsed into a single time. A run may never enter the target window; it may enter once (a first hit); it may remain inside the predefined target region continuously for a specified minimum duration (a committed visit); or it may spend a substantial fraction of the budget there (sustained target-basin occupancy). These are not interchangeable. First hit is a passage event, committed visit is a sojourn, and occupancy is a time-averaged residence, so a campaign can stop after a brief encounter. A trajectory can therefore have a short first-hit time but essentially zero useful target-state sampling—the premise of Figure 2, and the reason committed visit, not first hit, is the primary endpoint below.</w:t>
      </w:r>
    </w:p>
    <w:p>
      <w:pPr>
        <w:spacing w:after="160" w:before="0" w:line="360" w:lineRule="auto"/>
        <w:ind w:firstLine="420"/>
        <w:jc w:val="both"/>
      </w:pPr>
      <w:r>
        <w:rPr>
          <w:rFonts w:ascii="Times New Roman" w:hAnsi="Times New Roman" w:eastAsia="SimSun"/>
          <w:b w:val="0"/>
          <w:i w:val="0"/>
          <w:sz w:val="22"/>
        </w:rPr>
        <w:t>In this work we introduce MOAS, a multi-objective adaptive sampling strategy that ranks candidate seeds by novelty (inverse local density), boundary exploration (LAST-style frontier), and target proximity, mixed by equal percentile ranks and subject to a diversity constraint. Campaigns are scored by committed visit and by occupancy, and MOAS is compared with Random, LAST, least-counts, and kNN-AS under matched initialization, short-MD length, and aggregate time on CLN025 folding, the adenylate kinase open-to-closed transition, and apo maltose-binding protein domain closure (n = 3). The sampling objective of each baseline is summarized in Table 1. The working hypothesis is that balancing exploration of poorly sampled regions with target-directed exploitation converts transient encounters into committed and persistent target-state sampling.</w:t>
      </w:r>
    </w:p>
    <w:tbl>
      <w:tblPr>
        <w:tblW w:type="auto" w:w="0"/>
        <w:jc w:val="center"/>
        <w:tblLayout w:type="autofit"/>
        <w:tblLook w:firstColumn="1" w:firstRow="1" w:lastColumn="0" w:lastRow="0" w:noHBand="0" w:noVBand="1" w:val="04A0"/>
        <w:tblBorders>
          <w:top w:val="single" w:sz="12" w:space="0" w:color="000000"/>
          <w:left w:val="nil" w:sz="0" w:space="0" w:color="auto"/>
          <w:bottom w:val="single" w:sz="12" w:space="0" w:color="000000"/>
          <w:right w:val="nil" w:sz="0" w:space="0" w:color="auto"/>
          <w:insideH w:val="nil" w:sz="0" w:space="0" w:color="auto"/>
          <w:insideV w:val="nil" w:sz="0" w:space="0" w:color="auto"/>
        </w:tblBorders>
      </w:tblPr>
      <w:tblGrid>
        <w:gridCol w:w="4536"/>
        <w:gridCol w:w="4536"/>
      </w:tblGrid>
      <w:tr>
        <w:tc>
          <w:tcPr>
            <w:tcW w:type="dxa" w:w="4536"/>
            <w:tcBorders>
              <w:top w:val="single" w:sz="12" w:space="0" w:color="000000"/>
              <w:left w:sz="0" w:val="nil" w:color="auto" w:space="0"/>
              <w:bottom w:sz="8" w:val="single" w:color="000000" w:space="0"/>
              <w:right w:sz="0" w:val="nil" w:color="auto" w:space="0"/>
            </w:tcBorders>
          </w:tcPr>
          <w:p>
            <w:pPr>
              <w:spacing w:before="40" w:after="40"/>
              <w:jc w:val="center"/>
            </w:pPr>
            <w:r/>
            <w:r>
              <w:rPr>
                <w:rFonts w:ascii="Times New Roman" w:hAnsi="Times New Roman" w:eastAsia="SimSun"/>
                <w:b/>
                <w:i w:val="0"/>
                <w:color w:val="1A202C"/>
                <w:sz w:val="18"/>
              </w:rPr>
              <w:t>Method</w:t>
            </w:r>
          </w:p>
        </w:tc>
        <w:tc>
          <w:tcPr>
            <w:tcW w:type="dxa" w:w="4536"/>
            <w:tcBorders>
              <w:top w:val="single" w:sz="12" w:space="0" w:color="000000"/>
              <w:left w:sz="0" w:val="nil" w:color="auto" w:space="0"/>
              <w:bottom w:sz="8" w:val="single" w:color="000000" w:space="0"/>
              <w:right w:sz="0" w:val="nil" w:color="auto" w:space="0"/>
            </w:tcBorders>
          </w:tcPr>
          <w:p>
            <w:pPr>
              <w:spacing w:before="40" w:after="40"/>
              <w:jc w:val="center"/>
            </w:pPr>
            <w:r/>
            <w:r>
              <w:rPr>
                <w:rFonts w:ascii="Times New Roman" w:hAnsi="Times New Roman" w:eastAsia="SimSun"/>
                <w:b/>
                <w:i w:val="0"/>
                <w:color w:val="1A202C"/>
                <w:sz w:val="18"/>
              </w:rPr>
              <w:t>Sampling objective</w:t>
            </w:r>
          </w:p>
        </w:tc>
      </w:tr>
      <w:tr>
        <w:tc>
          <w:tcPr>
            <w:tcW w:type="dxa" w:w="453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Random</w:t>
            </w:r>
          </w:p>
        </w:tc>
        <w:tc>
          <w:tcPr>
            <w:tcW w:type="dxa" w:w="453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Unbiased restart from the current pool</w:t>
            </w:r>
          </w:p>
        </w:tc>
      </w:tr>
      <w:tr>
        <w:tc>
          <w:tcPr>
            <w:tcW w:type="dxa" w:w="453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Least-counts</w:t>
            </w:r>
          </w:p>
        </w:tc>
        <w:tc>
          <w:tcPr>
            <w:tcW w:type="dxa" w:w="453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Under-sampled regions of a CV histogram</w:t>
            </w:r>
          </w:p>
        </w:tc>
      </w:tr>
      <w:tr>
        <w:tc>
          <w:tcPr>
            <w:tcW w:type="dxa" w:w="453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LAST</w:t>
            </w:r>
          </w:p>
        </w:tc>
        <w:tc>
          <w:tcPr>
            <w:tcW w:type="dxa" w:w="453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Frontier of the visited ensemble</w:t>
            </w:r>
          </w:p>
        </w:tc>
      </w:tr>
      <w:tr>
        <w:tc>
          <w:tcPr>
            <w:tcW w:type="dxa" w:w="4536"/>
            <w:tcBorders>
              <w:top w:sz="0" w:val="nil" w:color="auto" w:space="0"/>
              <w:left w:sz="0" w:val="nil" w:color="auto" w:space="0"/>
              <w:bottom w:val="single" w:sz="12" w:space="0" w:color="000000"/>
              <w:right w:sz="0" w:val="nil" w:color="auto" w:space="0"/>
            </w:tcBorders>
          </w:tcPr>
          <w:p>
            <w:pPr>
              <w:spacing w:before="20" w:after="20"/>
              <w:jc w:val="center"/>
            </w:pPr>
            <w:r/>
            <w:r>
              <w:rPr>
                <w:rFonts w:ascii="Times New Roman" w:hAnsi="Times New Roman" w:eastAsia="SimSun"/>
                <w:b w:val="0"/>
                <w:i w:val="0"/>
                <w:sz w:val="18"/>
              </w:rPr>
              <w:t>kNN-AS</w:t>
            </w:r>
          </w:p>
        </w:tc>
        <w:tc>
          <w:tcPr>
            <w:tcW w:type="dxa" w:w="4536"/>
            <w:tcBorders>
              <w:top w:sz="0" w:val="nil" w:color="auto" w:space="0"/>
              <w:left w:sz="0" w:val="nil" w:color="auto" w:space="0"/>
              <w:bottom w:val="single" w:sz="12" w:space="0" w:color="000000"/>
              <w:right w:sz="0" w:val="nil" w:color="auto" w:space="0"/>
            </w:tcBorders>
          </w:tcPr>
          <w:p>
            <w:pPr>
              <w:spacing w:before="20" w:after="20"/>
              <w:jc w:val="center"/>
            </w:pPr>
            <w:r/>
            <w:r>
              <w:rPr>
                <w:rFonts w:ascii="Times New Roman" w:hAnsi="Times New Roman" w:eastAsia="SimSun"/>
                <w:b w:val="0"/>
                <w:i w:val="0"/>
                <w:sz w:val="18"/>
              </w:rPr>
              <w:t>Low-density regions of CV space</w:t>
            </w:r>
          </w:p>
        </w:tc>
      </w:tr>
    </w:tbl>
    <w:p/>
    <w:p>
      <w:pPr>
        <w:spacing w:before="80" w:after="240" w:line="276" w:lineRule="auto"/>
        <w:ind w:firstLine="0"/>
        <w:jc w:val="both"/>
      </w:pPr>
      <w:r>
        <w:rPr>
          <w:rFonts w:ascii="Times New Roman" w:hAnsi="Times New Roman" w:eastAsia="SimSun"/>
          <w:b w:val="0"/>
          <w:i w:val="0"/>
          <w:sz w:val="20"/>
        </w:rPr>
        <w:t>Table 1. Optimization target of each exploration-oriented baseline. These methods are compared with MOAS under a matched budget in Results; they are not scored against aims they were not designed to serve.</w:t>
      </w:r>
    </w:p>
    <w:p>
      <w:pPr>
        <w:pStyle w:val="Heading1"/>
      </w:pPr>
      <w:r>
        <w:rPr>
          <w:rFonts w:ascii="Times New Roman" w:hAnsi="Times New Roman" w:eastAsia="SimSun"/>
          <w:color w:val="1A202C"/>
        </w:rPr>
        <w:t>2. Materials and Methods</w:t>
      </w:r>
    </w:p>
    <w:p>
      <w:pPr>
        <w:pStyle w:val="Heading2"/>
      </w:pPr>
      <w:r>
        <w:rPr>
          <w:rFonts w:ascii="Times New Roman" w:hAnsi="Times New Roman" w:eastAsia="SimSun"/>
          <w:color w:val="1A202C"/>
        </w:rPr>
        <w:t>2.1 Molecular dynamics protocol</w:t>
      </w:r>
    </w:p>
    <w:p>
      <w:pPr>
        <w:spacing w:after="160" w:before="0" w:line="360" w:lineRule="auto"/>
        <w:ind w:firstLine="420"/>
        <w:jc w:val="both"/>
      </w:pPr>
      <w:r>
        <w:rPr>
          <w:rFonts w:ascii="Times New Roman" w:hAnsi="Times New Roman" w:eastAsia="SimSun"/>
          <w:b w:val="0"/>
          <w:i w:val="0"/>
          <w:sz w:val="22"/>
        </w:rPr>
        <w:t>All production and adaptive segments were run in GROMACS with AMBER99SB-ILDN and TIP3P water at 300 K and 0.15 M NaCl. The time step was 2 fs with LINCS constraints on hydrogen-involving bonds, PME electrostatics, and a Verlet cutoff. Short adaptive trajectories used GPU update and PME. Initialization MD was unbiased and shared across methods within a system and replicate, so that differences arise only from seed selection. Box padding was 1.2 nm; MBP used a rhombic dodecahedron to limit solvent cost. Further MDP settings are in the Supporting Information (Table S1).</w:t>
      </w:r>
    </w:p>
    <w:p>
      <w:pPr>
        <w:pStyle w:val="Heading2"/>
      </w:pPr>
      <w:r>
        <w:rPr>
          <w:rFonts w:ascii="Times New Roman" w:hAnsi="Times New Roman" w:eastAsia="SimSun"/>
          <w:color w:val="1A202C"/>
        </w:rPr>
        <w:t>2.2 MOAS framework</w:t>
      </w:r>
    </w:p>
    <w:p>
      <w:pPr>
        <w:spacing w:after="160" w:before="0" w:line="360" w:lineRule="auto"/>
        <w:ind w:firstLine="420"/>
        <w:jc w:val="both"/>
      </w:pPr>
      <w:r>
        <w:rPr>
          <w:rFonts w:ascii="Times New Roman" w:hAnsi="Times New Roman" w:eastAsia="SimSun"/>
          <w:b w:val="0"/>
          <w:i w:val="0"/>
          <w:sz w:val="22"/>
        </w:rPr>
        <w:t>MOAS is an iterative adaptive-sampling loop (Figure 1). An unbiased initialization trajectory supplies the first pool of configurations. At every round, candidate windows are scored on three objectives (novelty, boundary, target proximity), ranks are mixed, and a diversity constraint selects six seeds. Each seed launches a short MD segment; the new frames are appended to the pool; and the cycle repeats until a fixed aggregate budget is reached. No method receives extra simulation time. The production method in this paper is the static equal-weight mix (MOAS-static). Dynamic and Pareto variants exist in the code base but are not used in the main comparison. The workflow is introduced with the evaluation criteria in Section 3.1.</w:t>
      </w:r>
    </w:p>
    <w:p>
      <w:pPr>
        <w:pStyle w:val="Heading2"/>
      </w:pPr>
      <w:r>
        <w:rPr>
          <w:rFonts w:ascii="Times New Roman" w:hAnsi="Times New Roman" w:eastAsia="SimSun"/>
          <w:color w:val="1A202C"/>
        </w:rPr>
        <w:t>2.3 Novelty score</w:t>
      </w:r>
    </w:p>
    <w:p>
      <w:pPr>
        <w:spacing w:after="160" w:before="0" w:line="360" w:lineRule="auto"/>
        <w:ind w:firstLine="420"/>
        <w:jc w:val="both"/>
      </w:pPr>
      <w:r>
        <w:rPr>
          <w:rFonts w:ascii="Times New Roman" w:hAnsi="Times New Roman" w:eastAsia="SimSun"/>
          <w:b w:val="0"/>
          <w:i w:val="0"/>
          <w:sz w:val="22"/>
        </w:rPr>
        <w:t>Novelty favors configurations in sparsely sampled regions of the two-dimensional CV space (Figure 1B). A 24 × 24 histogram is built from the pooled frames. For a candidate window q, let b(q) be the bin that contains q and let n_b(q) be that bin’s count. Local density and the novelty score are</w:t>
      </w:r>
    </w:p>
    <w:tbl>
      <w:tblPr>
        <w:tblW w:type="auto" w:w="0"/>
        <w:jc w:val="center"/>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8278"/>
        <w:gridCol w:w="907"/>
      </w:tblGrid>
      <w:tr>
        <w:tc>
          <w:tcPr>
            <w:tcW w:w="8278" w:type="dxa"/>
          </w:tcPr>
          <w:p>
            <w:pPr>
              <w:ind w:firstLine="0"/>
              <w:jc w:val="center"/>
            </w:pPr>
            <m:oMathPara>
              <m:oMath>
                <m:sSub>
                  <m:e>
                    <m:r>
                      <m:rPr>
                        <m:sty m:val="i"/>
                      </m:rPr>
                      <m:t xml:space="preserve">ρ</m:t>
                    </m:r>
                  </m:e>
                  <m:sub>
                    <m:r>
                      <m:rPr>
                        <m:sty m:val="i"/>
                      </m:rPr>
                      <m:t xml:space="preserve">q</m:t>
                    </m:r>
                  </m:sub>
                </m:sSub>
                <m:r>
                  <m:rPr>
                    <m:sty m:val="p"/>
                  </m:rPr>
                  <m:t xml:space="preserve"> = </m:t>
                </m:r>
                <m:sSub>
                  <m:e>
                    <m:r>
                      <m:rPr>
                        <m:sty m:val="i"/>
                      </m:rPr>
                      <m:t xml:space="preserve">n</m:t>
                    </m:r>
                  </m:e>
                  <m:sub>
                    <m:r>
                      <m:rPr>
                        <m:sty m:val="i"/>
                      </m:rPr>
                      <m:t xml:space="preserve">b(q)</m:t>
                    </m:r>
                  </m:sub>
                </m:sSub>
                <m:r>
                  <m:rPr>
                    <m:sty m:val="p"/>
                  </m:rPr>
                  <m:t xml:space="preserve">,  </m:t>
                </m:r>
                <m:sSub>
                  <m:e>
                    <m:r>
                      <m:rPr>
                        <m:sty m:val="i"/>
                      </m:rPr>
                      <m:t xml:space="preserve">s</m:t>
                    </m:r>
                  </m:e>
                  <m:sub>
                    <m:r>
                      <m:rPr>
                        <m:sty m:val="i"/>
                      </m:rPr>
                      <m:t xml:space="preserve">nov</m:t>
                    </m:r>
                  </m:sub>
                </m:sSub>
                <m:r>
                  <m:rPr>
                    <m:sty m:val="i"/>
                  </m:rPr>
                  <m:t xml:space="preserve">(</m:t>
                </m:r>
                <m:r>
                  <m:rPr>
                    <m:sty m:val="i"/>
                  </m:rPr>
                  <m:t xml:space="preserve">q</m:t>
                </m:r>
                <m:r>
                  <m:rPr>
                    <m:sty m:val="p"/>
                  </m:rPr>
                  <m:t xml:space="preserve">) = </m:t>
                </m:r>
                <m:f>
                  <m:num>
                    <m:r>
                      <m:rPr>
                        <m:sty m:val="p"/>
                      </m:rPr>
                      <m:t xml:space="preserve">1</m:t>
                    </m:r>
                  </m:num>
                  <m:den>
                    <m:e>
                      <m:sSub>
                        <m:e>
                          <m:r>
                            <m:rPr>
                              <m:sty m:val="i"/>
                            </m:rPr>
                            <m:t xml:space="preserve">ρ</m:t>
                          </m:r>
                        </m:e>
                        <m:sub>
                          <m:r>
                            <m:rPr>
                              <m:sty m:val="i"/>
                            </m:rPr>
                            <m:t xml:space="preserve">q</m:t>
                          </m:r>
                        </m:sub>
                      </m:sSub>
                      <m:r>
                        <m:rPr>
                          <m:sty m:val="p"/>
                        </m:rPr>
                        <m:t xml:space="preserve"> + ε</m:t>
                      </m:r>
                    </m:e>
                  </m:den>
                </m:f>
              </m:oMath>
            </m:oMathPara>
          </w:p>
        </w:tc>
        <w:tc>
          <w:tcPr>
            <w:tcW w:w="907" w:type="dxa"/>
          </w:tcPr>
          <w:p>
            <w:pPr>
              <w:ind w:firstLine="0"/>
              <w:jc w:val="right"/>
            </w:pPr>
            <w:r>
              <w:rPr>
                <w:rFonts w:ascii="Times New Roman" w:hAnsi="Times New Roman" w:eastAsia="SimSun"/>
                <w:b w:val="0"/>
                <w:i w:val="0"/>
                <w:sz w:val="22"/>
              </w:rPr>
              <w:t>(1)</w:t>
            </w:r>
          </w:p>
        </w:tc>
      </w:tr>
    </w:tbl>
    <w:p>
      <w:pPr>
        <w:spacing w:after="80" w:before="0"/>
        <w:ind w:firstLine="0"/>
      </w:pPr>
    </w:p>
    <w:p>
      <w:pPr>
        <w:spacing w:after="160" w:before="0" w:line="360" w:lineRule="auto"/>
        <w:ind w:firstLine="420"/>
        <w:jc w:val="both"/>
      </w:pPr>
      <w:r>
        <w:rPr>
          <w:rFonts w:ascii="Times New Roman" w:hAnsi="Times New Roman" w:eastAsia="SimSun"/>
          <w:b w:val="0"/>
          <w:i w:val="0"/>
          <w:sz w:val="22"/>
        </w:rPr>
        <w:t>with ε = 10⁻⁶. The score is then divided by its maximum over the current candidate list so that s_nov ∈ (0, 1]. High scores mark empty or rarely visited bins and discourage re-sampling of already dense regions. Least-counts uses s_nov alone.</w:t>
      </w:r>
    </w:p>
    <w:p>
      <w:pPr>
        <w:pStyle w:val="Heading2"/>
      </w:pPr>
      <w:r>
        <w:rPr>
          <w:rFonts w:ascii="Times New Roman" w:hAnsi="Times New Roman" w:eastAsia="SimSun"/>
          <w:color w:val="1A202C"/>
        </w:rPr>
        <w:t>2.4 Boundary score</w:t>
      </w:r>
    </w:p>
    <w:p>
      <w:pPr>
        <w:spacing w:after="160" w:before="0" w:line="360" w:lineRule="auto"/>
        <w:ind w:firstLine="420"/>
        <w:jc w:val="both"/>
      </w:pPr>
      <w:r>
        <w:rPr>
          <w:rFonts w:ascii="Times New Roman" w:hAnsi="Times New Roman" w:eastAsia="SimSun"/>
          <w:b w:val="0"/>
          <w:i w:val="0"/>
          <w:sz w:val="22"/>
        </w:rPr>
        <w:t>Boundary exploration follows a LAST-style frontier construction (Figure 1C). Occupied CV bins that have at least one empty 4-neighbor are labeled as the rim F of the visited cloud. CVs are scaled before binning (σ_x = 0.05 nm and σ_y = 4° on AdK/MBP; RMSD and Rg on CLN025) so that one axis does not dominate. Let r̂(q) be the Euclidean distance of q to the cloud centroid, divided by the maximum such distance, and let ρ̂(q) be the bin count at q divided by the maximum bin count. The boundary score is</w:t>
      </w:r>
    </w:p>
    <w:tbl>
      <w:tblPr>
        <w:tblW w:type="auto" w:w="0"/>
        <w:jc w:val="center"/>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8278"/>
        <w:gridCol w:w="907"/>
      </w:tblGrid>
      <w:tr>
        <w:tc>
          <w:tcPr>
            <w:tcW w:w="8278" w:type="dxa"/>
          </w:tcPr>
          <w:p>
            <w:pPr>
              <w:ind w:firstLine="0"/>
              <w:jc w:val="center"/>
            </w:pPr>
            <m:oMathPara>
              <m:oMath>
                <m:sSub>
                  <m:e>
                    <m:r>
                      <m:rPr>
                        <m:sty m:val="i"/>
                      </m:rPr>
                      <m:t xml:space="preserve">s</m:t>
                    </m:r>
                  </m:e>
                  <m:sub>
                    <m:r>
                      <m:rPr>
                        <m:sty m:val="i"/>
                      </m:rPr>
                      <m:t xml:space="preserve">bnd</m:t>
                    </m:r>
                  </m:sub>
                </m:sSub>
                <m:r>
                  <m:rPr>
                    <m:sty m:val="i"/>
                  </m:rPr>
                  <m:t xml:space="preserve">(</m:t>
                </m:r>
                <m:r>
                  <m:rPr>
                    <m:sty m:val="i"/>
                  </m:rPr>
                  <m:t xml:space="preserve">q</m:t>
                </m:r>
                <m:r>
                  <m:rPr>
                    <m:sty m:val="p"/>
                  </m:rPr>
                  <m:t xml:space="preserve">) = 1.5 </m:t>
                </m:r>
                <m:sSub>
                  <m:e>
                    <m:r>
                      <m:rPr>
                        <m:sty m:val="i"/>
                      </m:rPr>
                      <m:t xml:space="preserve">1</m:t>
                    </m:r>
                  </m:e>
                  <m:sub>
                    <m:r>
                      <m:rPr>
                        <m:sty m:val="i"/>
                      </m:rPr>
                      <m:t xml:space="preserve">F</m:t>
                    </m:r>
                  </m:sub>
                </m:sSub>
                <m:r>
                  <m:rPr>
                    <m:sty m:val="i"/>
                  </m:rPr>
                  <m:t xml:space="preserve">(</m:t>
                </m:r>
                <m:r>
                  <m:rPr>
                    <m:sty m:val="i"/>
                  </m:rPr>
                  <m:t xml:space="preserve">q</m:t>
                </m:r>
                <m:r>
                  <m:rPr>
                    <m:sty m:val="p"/>
                  </m:rPr>
                  <m:t xml:space="preserve">) + </m:t>
                </m:r>
                <m:r>
                  <m:rPr>
                    <m:sty m:val="i"/>
                  </m:rPr>
                  <m:t xml:space="preserve">r̂</m:t>
                </m:r>
                <m:r>
                  <m:rPr>
                    <m:sty m:val="i"/>
                  </m:rPr>
                  <m:t xml:space="preserve">(</m:t>
                </m:r>
                <m:r>
                  <m:rPr>
                    <m:sty m:val="i"/>
                  </m:rPr>
                  <m:t xml:space="preserve">q</m:t>
                </m:r>
                <m:r>
                  <m:rPr>
                    <m:sty m:val="p"/>
                  </m:rPr>
                  <m:t xml:space="preserve">)</m:t>
                </m:r>
                <m:r>
                  <m:rPr>
                    <m:sty m:val="p"/>
                  </m:rPr>
                  <m:t xml:space="preserve"> [1 − 0.5 </m:t>
                </m:r>
                <m:r>
                  <m:rPr>
                    <m:sty m:val="i"/>
                  </m:rPr>
                  <m:t xml:space="preserve">ρ̂</m:t>
                </m:r>
                <m:r>
                  <m:rPr>
                    <m:sty m:val="i"/>
                  </m:rPr>
                  <m:t xml:space="preserve">(</m:t>
                </m:r>
                <m:r>
                  <m:rPr>
                    <m:sty m:val="i"/>
                  </m:rPr>
                  <m:t xml:space="preserve">q</m:t>
                </m:r>
                <m:r>
                  <m:rPr>
                    <m:sty m:val="p"/>
                  </m:rPr>
                  <m:t xml:space="preserve">)]</m:t>
                </m:r>
              </m:oMath>
            </m:oMathPara>
          </w:p>
        </w:tc>
        <w:tc>
          <w:tcPr>
            <w:tcW w:w="907" w:type="dxa"/>
          </w:tcPr>
          <w:p>
            <w:pPr>
              <w:ind w:firstLine="0"/>
              <w:jc w:val="right"/>
            </w:pPr>
            <w:r>
              <w:rPr>
                <w:rFonts w:ascii="Times New Roman" w:hAnsi="Times New Roman" w:eastAsia="SimSun"/>
                <w:b w:val="0"/>
                <w:i w:val="0"/>
                <w:sz w:val="22"/>
              </w:rPr>
              <w:t>(2)</w:t>
            </w:r>
          </w:p>
        </w:tc>
      </w:tr>
    </w:tbl>
    <w:p>
      <w:pPr>
        <w:spacing w:after="80" w:before="0"/>
        <w:ind w:firstLine="0"/>
      </w:pPr>
    </w:p>
    <w:p>
      <w:pPr>
        <w:spacing w:after="160" w:before="0" w:line="360" w:lineRule="auto"/>
        <w:ind w:firstLine="420"/>
        <w:jc w:val="both"/>
      </w:pPr>
      <w:r>
        <w:rPr>
          <w:rFonts w:ascii="Times New Roman" w:hAnsi="Times New Roman" w:eastAsia="SimSun"/>
          <w:b w:val="0"/>
          <w:i w:val="0"/>
          <w:sz w:val="22"/>
        </w:rPr>
        <w:t>where 1_F(q) = 1 if q lies in a frontier bin and 0 otherwise. The first term places mass on the rim; the second prefers the outer, low-density edge of a thick frontier. This term expands coverage and does not encode the target basin. LAST uses s_bnd alone.</w:t>
      </w:r>
    </w:p>
    <w:p>
      <w:pPr>
        <w:pStyle w:val="Heading2"/>
      </w:pPr>
      <w:r>
        <w:rPr>
          <w:rFonts w:ascii="Times New Roman" w:hAnsi="Times New Roman" w:eastAsia="SimSun"/>
          <w:color w:val="1A202C"/>
        </w:rPr>
        <w:t>2.5 Target-proximity score</w:t>
      </w:r>
    </w:p>
    <w:p>
      <w:pPr>
        <w:spacing w:after="160" w:before="0" w:line="360" w:lineRule="auto"/>
        <w:ind w:firstLine="420"/>
        <w:jc w:val="both"/>
      </w:pPr>
      <w:r>
        <w:rPr>
          <w:rFonts w:ascii="Times New Roman" w:hAnsi="Times New Roman" w:eastAsia="SimSun"/>
          <w:b w:val="0"/>
          <w:i w:val="0"/>
          <w:sz w:val="22"/>
        </w:rPr>
        <w:t>Target proximity is the only objective that encodes where the scientifically relevant basin lies (Figure 1D). Let x* be the closed or folded reference in CV space. On AdK and MBP a scaled distance to that reference is</w:t>
      </w:r>
    </w:p>
    <w:tbl>
      <w:tblPr>
        <w:tblW w:type="auto" w:w="0"/>
        <w:jc w:val="center"/>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8278"/>
        <w:gridCol w:w="907"/>
      </w:tblGrid>
      <w:tr>
        <w:tc>
          <w:tcPr>
            <w:tcW w:w="8278" w:type="dxa"/>
          </w:tcPr>
          <w:p>
            <w:pPr>
              <w:ind w:firstLine="0"/>
              <w:jc w:val="center"/>
            </w:pPr>
            <m:oMathPara>
              <m:oMath>
                <m:sSub>
                  <m:e>
                    <m:r>
                      <m:rPr>
                        <m:sty m:val="i"/>
                      </m:rPr>
                      <m:t xml:space="preserve">d</m:t>
                    </m:r>
                  </m:e>
                  <m:sub>
                    <m:r>
                      <m:rPr>
                        <m:sty m:val="i"/>
                      </m:rPr>
                      <m:t xml:space="preserve">*</m:t>
                    </m:r>
                  </m:sub>
                </m:sSub>
                <m:r>
                  <m:rPr>
                    <m:sty m:val="i"/>
                  </m:rPr>
                  <m:t xml:space="preserve">(</m:t>
                </m:r>
                <m:r>
                  <m:rPr>
                    <m:sty m:val="i"/>
                  </m:rPr>
                  <m:t xml:space="preserve">q</m:t>
                </m:r>
                <m:r>
                  <m:rPr>
                    <m:sty m:val="p"/>
                  </m:rPr>
                  <m:t xml:space="preserve">) = </m:t>
                </m:r>
                <m:r>
                  <m:rPr>
                    <m:sty m:val="p"/>
                  </m:rPr>
                  <m:t xml:space="preserve">∥</m:t>
                </m:r>
                <m:r>
                  <m:rPr>
                    <m:sty m:val="i"/>
                  </m:rPr>
                  <m:t xml:space="preserve">z</m:t>
                </m:r>
                <m:r>
                  <m:rPr>
                    <m:sty m:val="i"/>
                  </m:rPr>
                  <m:t xml:space="preserve">(</m:t>
                </m:r>
                <m:r>
                  <m:rPr>
                    <m:sty m:val="i"/>
                  </m:rPr>
                  <m:t xml:space="preserve">q</m:t>
                </m:r>
                <m:r>
                  <m:rPr>
                    <m:sty m:val="p"/>
                  </m:rPr>
                  <m:t xml:space="preserve">) − </m:t>
                </m:r>
                <m:sSup>
                  <m:e>
                    <m:r>
                      <m:rPr>
                        <m:sty m:val="i"/>
                      </m:rPr>
                      <m:t xml:space="preserve">z</m:t>
                    </m:r>
                  </m:e>
                  <m:sup>
                    <m:r>
                      <m:rPr>
                        <m:sty m:val="i"/>
                      </m:rPr>
                      <m:t xml:space="preserve">*</m:t>
                    </m:r>
                  </m:sup>
                </m:sSup>
                <m:r>
                  <m:rPr>
                    <m:sty m:val="p"/>
                  </m:rPr>
                  <m:t xml:space="preserve">∥</m:t>
                </m:r>
                <m:r>
                  <m:rPr>
                    <m:sty m:val="p"/>
                  </m:rPr>
                  <m:t xml:space="preserve">,  </m:t>
                </m:r>
                <m:r>
                  <m:rPr>
                    <m:sty m:val="i"/>
                  </m:rPr>
                  <m:t xml:space="preserve">z</m:t>
                </m:r>
                <m:r>
                  <m:rPr>
                    <m:sty m:val="p"/>
                  </m:rPr>
                  <m:t xml:space="preserve"> = (</m:t>
                </m:r>
                <m:f>
                  <m:num>
                    <m:r>
                      <m:rPr>
                        <m:sty m:val="i"/>
                      </m:rPr>
                      <m:t xml:space="preserve">x</m:t>
                    </m:r>
                  </m:num>
                  <m:den>
                    <m:sSub>
                      <m:e>
                        <m:r>
                          <m:rPr>
                            <m:sty m:val="i"/>
                          </m:rPr>
                          <m:t xml:space="preserve">σ</m:t>
                        </m:r>
                      </m:e>
                      <m:sub>
                        <m:r>
                          <m:rPr>
                            <m:sty m:val="i"/>
                          </m:rPr>
                          <m:t xml:space="preserve">x</m:t>
                        </m:r>
                      </m:sub>
                    </m:sSub>
                  </m:den>
                </m:f>
                <m:r>
                  <m:rPr>
                    <m:sty m:val="p"/>
                  </m:rPr>
                  <m:t xml:space="preserve">, </m:t>
                </m:r>
                <m:f>
                  <m:num>
                    <m:r>
                      <m:rPr>
                        <m:sty m:val="i"/>
                      </m:rPr>
                      <m:t xml:space="preserve">y</m:t>
                    </m:r>
                  </m:num>
                  <m:den>
                    <m:sSub>
                      <m:e>
                        <m:r>
                          <m:rPr>
                            <m:sty m:val="i"/>
                          </m:rPr>
                          <m:t xml:space="preserve">σ</m:t>
                        </m:r>
                      </m:e>
                      <m:sub>
                        <m:r>
                          <m:rPr>
                            <m:sty m:val="i"/>
                          </m:rPr>
                          <m:t xml:space="preserve">y</m:t>
                        </m:r>
                      </m:sub>
                    </m:sSub>
                  </m:den>
                </m:f>
                <m:r>
                  <m:rPr>
                    <m:sty m:val="p"/>
                  </m:rPr>
                  <m:t xml:space="preserve">)</m:t>
                </m:r>
              </m:oMath>
            </m:oMathPara>
          </w:p>
        </w:tc>
        <w:tc>
          <w:tcPr>
            <w:tcW w:w="907" w:type="dxa"/>
          </w:tcPr>
          <w:p>
            <w:pPr>
              <w:ind w:firstLine="0"/>
              <w:jc w:val="right"/>
            </w:pPr>
            <w:r>
              <w:rPr>
                <w:rFonts w:ascii="Times New Roman" w:hAnsi="Times New Roman" w:eastAsia="SimSun"/>
                <w:b w:val="0"/>
                <w:i w:val="0"/>
                <w:sz w:val="22"/>
              </w:rPr>
              <w:t>(3)</w:t>
            </w:r>
          </w:p>
        </w:tc>
      </w:tr>
    </w:tbl>
    <w:p>
      <w:pPr>
        <w:spacing w:after="80" w:before="0"/>
        <w:ind w:firstLine="0"/>
      </w:pPr>
    </w:p>
    <w:p>
      <w:pPr>
        <w:spacing w:after="160" w:before="0" w:line="360" w:lineRule="auto"/>
        <w:ind w:firstLine="420"/>
        <w:jc w:val="both"/>
      </w:pPr>
      <w:r>
        <w:rPr>
          <w:rFonts w:ascii="Times New Roman" w:hAnsi="Times New Roman" w:eastAsia="SimSun"/>
          <w:b w:val="0"/>
          <w:i w:val="0"/>
          <w:sz w:val="22"/>
        </w:rPr>
        <w:t>with the same (σ_x, σ_y) as in Section 2.4. The target score on AdK and MBP, and the CLN025 analogue using Cα-RMSD, are</w:t>
      </w:r>
    </w:p>
    <w:tbl>
      <w:tblPr>
        <w:tblW w:type="auto" w:w="0"/>
        <w:jc w:val="center"/>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8278"/>
        <w:gridCol w:w="907"/>
      </w:tblGrid>
      <w:tr>
        <w:tc>
          <w:tcPr>
            <w:tcW w:w="8278" w:type="dxa"/>
          </w:tcPr>
          <w:p>
            <w:pPr>
              <w:ind w:firstLine="0"/>
              <w:jc w:val="center"/>
            </w:pPr>
            <m:oMathPara>
              <m:oMath>
                <m:sSub>
                  <m:e>
                    <m:r>
                      <m:rPr>
                        <m:sty m:val="i"/>
                      </m:rPr>
                      <m:t xml:space="preserve">s</m:t>
                    </m:r>
                  </m:e>
                  <m:sub>
                    <m:r>
                      <m:rPr>
                        <m:sty m:val="i"/>
                      </m:rPr>
                      <m:t xml:space="preserve">tgt</m:t>
                    </m:r>
                  </m:sub>
                </m:sSub>
                <m:r>
                  <m:rPr>
                    <m:sty m:val="i"/>
                  </m:rPr>
                  <m:t xml:space="preserve">(</m:t>
                </m:r>
                <m:r>
                  <m:rPr>
                    <m:sty m:val="i"/>
                  </m:rPr>
                  <m:t xml:space="preserve">q</m:t>
                </m:r>
                <m:r>
                  <m:rPr>
                    <m:sty m:val="p"/>
                  </m:rPr>
                  <m:t xml:space="preserve">) = </m:t>
                </m:r>
                <m:f>
                  <m:num>
                    <m:e>
                      <m:r>
                        <m:rPr>
                          <m:sty m:val="p"/>
                        </m:rPr>
                        <m:t xml:space="preserve">1</m:t>
                      </m:r>
                    </m:e>
                  </m:num>
                  <m:den>
                    <m:e>
                      <m:sSub>
                        <m:e>
                          <m:r>
                            <m:rPr>
                              <m:sty m:val="i"/>
                            </m:rPr>
                            <m:t xml:space="preserve">d</m:t>
                          </m:r>
                        </m:e>
                        <m:sub>
                          <m:r>
                            <m:rPr>
                              <m:sty m:val="i"/>
                            </m:rPr>
                            <m:t xml:space="preserve">*</m:t>
                          </m:r>
                        </m:sub>
                      </m:sSub>
                      <m:r>
                        <m:rPr>
                          <m:sty m:val="i"/>
                        </m:rPr>
                        <m:t xml:space="preserve">(</m:t>
                      </m:r>
                      <m:r>
                        <m:rPr>
                          <m:sty m:val="i"/>
                        </m:rPr>
                        <m:t xml:space="preserve">q</m:t>
                      </m:r>
                      <m:r>
                        <m:rPr>
                          <m:sty m:val="p"/>
                        </m:rPr>
                        <m:t xml:space="preserve">) + 5</m:t>
                      </m:r>
                    </m:e>
                  </m:den>
                </m:f>
                <m:r>
                  <m:rPr>
                    <m:sty m:val="p"/>
                  </m:rPr>
                  <m:t xml:space="preserve">  (AdK, MBP)</m:t>
                </m:r>
              </m:oMath>
            </m:oMathPara>
          </w:p>
        </w:tc>
        <w:tc>
          <w:tcPr>
            <w:tcW w:w="907" w:type="dxa"/>
          </w:tcPr>
          <w:p>
            <w:pPr>
              <w:ind w:firstLine="0"/>
              <w:jc w:val="right"/>
            </w:pPr>
            <w:r>
              <w:rPr>
                <w:rFonts w:ascii="Times New Roman" w:hAnsi="Times New Roman" w:eastAsia="SimSun"/>
                <w:b w:val="0"/>
                <w:i w:val="0"/>
                <w:sz w:val="22"/>
              </w:rPr>
              <w:t>(4)</w:t>
            </w:r>
          </w:p>
        </w:tc>
      </w:tr>
    </w:tbl>
    <w:p>
      <w:pPr>
        <w:spacing w:after="80" w:before="0"/>
        <w:ind w:firstLine="0"/>
      </w:pPr>
    </w:p>
    <w:tbl>
      <w:tblPr>
        <w:tblW w:type="auto" w:w="0"/>
        <w:jc w:val="center"/>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8278"/>
        <w:gridCol w:w="907"/>
      </w:tblGrid>
      <w:tr>
        <w:tc>
          <w:tcPr>
            <w:tcW w:w="8278" w:type="dxa"/>
          </w:tcPr>
          <w:p>
            <w:pPr>
              <w:ind w:firstLine="0"/>
              <w:jc w:val="center"/>
            </w:pPr>
            <m:oMathPara>
              <m:oMath>
                <m:sSub>
                  <m:e>
                    <m:r>
                      <m:rPr>
                        <m:sty m:val="i"/>
                      </m:rPr>
                      <m:t xml:space="preserve">s</m:t>
                    </m:r>
                  </m:e>
                  <m:sub>
                    <m:r>
                      <m:rPr>
                        <m:sty m:val="i"/>
                      </m:rPr>
                      <m:t xml:space="preserve">tgt</m:t>
                    </m:r>
                  </m:sub>
                </m:sSub>
                <m:r>
                  <m:rPr>
                    <m:sty m:val="i"/>
                  </m:rPr>
                  <m:t xml:space="preserve">(</m:t>
                </m:r>
                <m:r>
                  <m:rPr>
                    <m:sty m:val="i"/>
                  </m:rPr>
                  <m:t xml:space="preserve">q</m:t>
                </m:r>
                <m:r>
                  <m:rPr>
                    <m:sty m:val="p"/>
                  </m:rPr>
                  <m:t xml:space="preserve">) = </m:t>
                </m:r>
                <m:f>
                  <m:num>
                    <m:e>
                      <m:r>
                        <m:rPr>
                          <m:sty m:val="p"/>
                        </m:rPr>
                        <m:t xml:space="preserve">1</m:t>
                      </m:r>
                    </m:e>
                  </m:num>
                  <m:den>
                    <m:e>
                      <m:r>
                        <m:rPr>
                          <m:sty m:val="p"/>
                        </m:rPr>
                        <m:t xml:space="preserve">max</m:t>
                      </m:r>
                      <m:r>
                        <m:rPr>
                          <m:sty m:val="i"/>
                        </m:rPr>
                        <m:t xml:space="preserve">(</m:t>
                      </m:r>
                      <m:r>
                        <m:rPr>
                          <m:sty m:val="p"/>
                        </m:rPr>
                        <m:t xml:space="preserve">RMSD</m:t>
                      </m:r>
                      <m:r>
                        <m:rPr>
                          <m:sty m:val="p"/>
                        </m:rPr>
                        <m:t xml:space="preserve"> − 0.25 nm, 0) + 0.05 nm</m:t>
                      </m:r>
                    </m:e>
                  </m:den>
                </m:f>
                <m:r>
                  <m:rPr>
                    <m:sty m:val="p"/>
                  </m:rPr>
                  <m:t xml:space="preserve">  (CLN025)</m:t>
                </m:r>
              </m:oMath>
            </m:oMathPara>
          </w:p>
        </w:tc>
        <w:tc>
          <w:tcPr>
            <w:tcW w:w="907" w:type="dxa"/>
          </w:tcPr>
          <w:p>
            <w:pPr>
              <w:ind w:firstLine="0"/>
              <w:jc w:val="right"/>
            </w:pPr>
            <w:r>
              <w:rPr>
                <w:rFonts w:ascii="Times New Roman" w:hAnsi="Times New Roman" w:eastAsia="SimSun"/>
                <w:b w:val="0"/>
                <w:i w:val="0"/>
                <w:sz w:val="22"/>
              </w:rPr>
              <w:t>(5)</w:t>
            </w:r>
          </w:p>
        </w:tc>
      </w:tr>
    </w:tbl>
    <w:p>
      <w:pPr>
        <w:spacing w:after="80" w:before="0"/>
        <w:ind w:firstLine="0"/>
      </w:pPr>
    </w:p>
    <w:p>
      <w:pPr>
        <w:spacing w:after="160" w:before="0" w:line="360" w:lineRule="auto"/>
        <w:ind w:firstLine="420"/>
        <w:jc w:val="both"/>
      </w:pPr>
      <w:r>
        <w:rPr>
          <w:rFonts w:ascii="Times New Roman" w:hAnsi="Times New Roman" w:eastAsia="SimSun"/>
          <w:b w:val="0"/>
          <w:i w:val="0"/>
          <w:sz w:val="22"/>
        </w:rPr>
        <w:t>so that s_tgt is large near the target and decays smoothly away from it. On CLN025, candidates already inside the folded cutoff RMSD &lt; 0.25 nm are not further distinguished by this term.</w:t>
      </w:r>
    </w:p>
    <w:p>
      <w:pPr>
        <w:pStyle w:val="Heading2"/>
      </w:pPr>
      <w:r>
        <w:rPr>
          <w:rFonts w:ascii="Times New Roman" w:hAnsi="Times New Roman" w:eastAsia="SimSun"/>
          <w:color w:val="1A202C"/>
        </w:rPr>
        <w:t>2.6 Ranking, weighting, and diversity-constrained seed selection</w:t>
      </w:r>
    </w:p>
    <w:p>
      <w:pPr>
        <w:spacing w:after="160" w:before="0" w:line="360" w:lineRule="auto"/>
        <w:ind w:firstLine="420"/>
        <w:jc w:val="both"/>
      </w:pPr>
      <w:r>
        <w:rPr>
          <w:rFonts w:ascii="Times New Roman" w:hAnsi="Times New Roman" w:eastAsia="SimSun"/>
          <w:b w:val="0"/>
          <w:i w:val="0"/>
          <w:sz w:val="22"/>
        </w:rPr>
        <w:t>The three raw scores have incommensurate units. Each active score s_α is converted to a percentile rank over the N candidates of the current round (Figure 1E). If π_α(q) is the 0-based rank of s_α(q) after stable sorting,</w:t>
      </w:r>
    </w:p>
    <w:tbl>
      <w:tblPr>
        <w:tblW w:type="auto" w:w="0"/>
        <w:jc w:val="center"/>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8278"/>
        <w:gridCol w:w="907"/>
      </w:tblGrid>
      <w:tr>
        <w:tc>
          <w:tcPr>
            <w:tcW w:w="8278" w:type="dxa"/>
          </w:tcPr>
          <w:p>
            <w:pPr>
              <w:ind w:firstLine="0"/>
              <w:jc w:val="center"/>
            </w:pPr>
            <m:oMathPara>
              <m:oMath>
                <m:sSub>
                  <m:e>
                    <m:r>
                      <m:rPr>
                        <m:sty m:val="i"/>
                      </m:rPr>
                      <m:t xml:space="preserve">r</m:t>
                    </m:r>
                  </m:e>
                  <m:sub>
                    <m:r>
                      <m:rPr>
                        <m:sty m:val="i"/>
                      </m:rPr>
                      <m:t xml:space="preserve">α</m:t>
                    </m:r>
                  </m:sub>
                </m:sSub>
                <m:r>
                  <m:rPr>
                    <m:sty m:val="i"/>
                  </m:rPr>
                  <m:t xml:space="preserve">(</m:t>
                </m:r>
                <m:r>
                  <m:rPr>
                    <m:sty m:val="i"/>
                  </m:rPr>
                  <m:t xml:space="preserve">q</m:t>
                </m:r>
                <m:r>
                  <m:rPr>
                    <m:sty m:val="p"/>
                  </m:rPr>
                  <m:t xml:space="preserve">) = </m:t>
                </m:r>
                <m:f>
                  <m:num>
                    <m:e>
                      <m:sSub>
                        <m:e>
                          <m:r>
                            <m:rPr>
                              <m:sty m:val="i"/>
                            </m:rPr>
                            <m:t xml:space="preserve">π</m:t>
                          </m:r>
                        </m:e>
                        <m:sub>
                          <m:r>
                            <m:rPr>
                              <m:sty m:val="i"/>
                            </m:rPr>
                            <m:t xml:space="preserve">α</m:t>
                          </m:r>
                        </m:sub>
                      </m:sSub>
                      <m:r>
                        <m:rPr>
                          <m:sty m:val="i"/>
                        </m:rPr>
                        <m:t xml:space="preserve">(</m:t>
                      </m:r>
                      <m:r>
                        <m:rPr>
                          <m:sty m:val="i"/>
                        </m:rPr>
                        <m:t xml:space="preserve">q</m:t>
                      </m:r>
                      <m:r>
                        <m:rPr>
                          <m:sty m:val="i"/>
                        </m:rPr>
                        <m:t xml:space="preserve">)</m:t>
                      </m:r>
                    </m:e>
                  </m:num>
                  <m:den>
                    <m:e>
                      <m:r>
                        <m:rPr>
                          <m:sty m:val="p"/>
                        </m:rPr>
                        <m:t xml:space="preserve">N − 1</m:t>
                      </m:r>
                    </m:e>
                  </m:den>
                </m:f>
                <m:r>
                  <m:rPr>
                    <m:sty m:val="p"/>
                  </m:rPr>
                  <m:t xml:space="preserve">,  α ∈ {nov, bnd, tgt}</m:t>
                </m:r>
              </m:oMath>
            </m:oMathPara>
          </w:p>
        </w:tc>
        <w:tc>
          <w:tcPr>
            <w:tcW w:w="907" w:type="dxa"/>
          </w:tcPr>
          <w:p>
            <w:pPr>
              <w:ind w:firstLine="0"/>
              <w:jc w:val="right"/>
            </w:pPr>
            <w:r>
              <w:rPr>
                <w:rFonts w:ascii="Times New Roman" w:hAnsi="Times New Roman" w:eastAsia="SimSun"/>
                <w:b w:val="0"/>
                <w:i w:val="0"/>
                <w:sz w:val="22"/>
              </w:rPr>
              <w:t>(6)</w:t>
            </w:r>
          </w:p>
        </w:tc>
      </w:tr>
    </w:tbl>
    <w:p>
      <w:pPr>
        <w:spacing w:after="80" w:before="0"/>
        <w:ind w:firstLine="0"/>
      </w:pPr>
    </w:p>
    <w:p>
      <w:pPr>
        <w:spacing w:after="160" w:before="0" w:line="360" w:lineRule="auto"/>
        <w:ind w:firstLine="420"/>
        <w:jc w:val="both"/>
      </w:pPr>
      <w:r>
        <w:rPr>
          <w:rFonts w:ascii="Times New Roman" w:hAnsi="Times New Roman" w:eastAsia="SimSun"/>
          <w:b w:val="0"/>
          <w:i w:val="0"/>
          <w:sz w:val="22"/>
        </w:rPr>
        <w:t>Production MOAS uses equal weights on all three ranks. Ablation campaigns drop unused terms and average over the active subset A:</w:t>
      </w:r>
    </w:p>
    <w:tbl>
      <w:tblPr>
        <w:tblW w:type="auto" w:w="0"/>
        <w:jc w:val="center"/>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8278"/>
        <w:gridCol w:w="907"/>
      </w:tblGrid>
      <w:tr>
        <w:tc>
          <w:tcPr>
            <w:tcW w:w="8278" w:type="dxa"/>
          </w:tcPr>
          <w:p>
            <w:pPr>
              <w:ind w:firstLine="0"/>
              <w:jc w:val="center"/>
            </w:pPr>
            <m:oMathPara>
              <m:oMath>
                <m:r>
                  <m:rPr>
                    <m:sty m:val="i"/>
                  </m:rPr>
                  <m:t xml:space="preserve">S</m:t>
                </m:r>
                <m:r>
                  <m:rPr>
                    <m:sty m:val="i"/>
                  </m:rPr>
                  <m:t xml:space="preserve">(</m:t>
                </m:r>
                <m:r>
                  <m:rPr>
                    <m:sty m:val="i"/>
                  </m:rPr>
                  <m:t xml:space="preserve">q</m:t>
                </m:r>
                <m:r>
                  <m:rPr>
                    <m:sty m:val="p"/>
                  </m:rPr>
                  <m:t xml:space="preserve">) = </m:t>
                </m:r>
                <m:f>
                  <m:num>
                    <m:e>
                      <m:nary>
                        <m:naryPr>
                          <m:chr m:val="∑"/>
                          <m:limLoc m:val="undOvr"/>
                        </m:naryPr>
                        <m:sub>
                          <m:r>
                            <m:rPr>
                              <m:sty m:val="p"/>
                            </m:rPr>
                            <m:t xml:space="preserve">α ∈ A</m:t>
                          </m:r>
                        </m:sub>
                        <m:sup/>
                        <m:e>
                          <m:sSub>
                            <m:e>
                              <m:r>
                                <m:rPr>
                                  <m:sty m:val="i"/>
                                </m:rPr>
                                <m:t xml:space="preserve">r</m:t>
                              </m:r>
                            </m:e>
                            <m:sub>
                              <m:r>
                                <m:rPr>
                                  <m:sty m:val="i"/>
                                </m:rPr>
                                <m:t xml:space="preserve">α</m:t>
                              </m:r>
                            </m:sub>
                          </m:sSub>
                          <m:r>
                            <m:rPr>
                              <m:sty m:val="i"/>
                            </m:rPr>
                            <m:t xml:space="preserve">(</m:t>
                          </m:r>
                          <m:r>
                            <m:rPr>
                              <m:sty m:val="i"/>
                            </m:rPr>
                            <m:t xml:space="preserve">q</m:t>
                          </m:r>
                          <m:r>
                            <m:rPr>
                              <m:sty m:val="i"/>
                            </m:rPr>
                            <m:t xml:space="preserve">)</m:t>
                          </m:r>
                        </m:e>
                      </m:nary>
                    </m:e>
                  </m:num>
                  <m:den>
                    <m:e>
                      <m:r>
                        <m:rPr>
                          <m:sty m:val="p"/>
                        </m:rPr>
                        <m:t xml:space="preserve">|</m:t>
                      </m:r>
                      <m:r>
                        <m:rPr>
                          <m:sty m:val="i"/>
                        </m:rPr>
                        <m:t xml:space="preserve">A</m:t>
                      </m:r>
                      <m:r>
                        <m:rPr>
                          <m:sty m:val="p"/>
                        </m:rPr>
                        <m:t xml:space="preserve">|</m:t>
                      </m:r>
                    </m:e>
                  </m:den>
                </m:f>
                <m:r>
                  <m:rPr>
                    <m:sty m:val="p"/>
                  </m:rPr>
                  <m:t xml:space="preserve">  </m:t>
                </m:r>
                <m:r>
                  <m:rPr>
                    <m:sty m:val="p"/>
                  </m:rPr>
                  <m:t xml:space="preserve">A = {nov, bnd, tgt}</m:t>
                </m:r>
                <m:r>
                  <m:rPr>
                    <m:sty m:val="p"/>
                  </m:rPr>
                  <m:t xml:space="preserve">  for full MOAS</m:t>
                </m:r>
              </m:oMath>
            </m:oMathPara>
          </w:p>
        </w:tc>
        <w:tc>
          <w:tcPr>
            <w:tcW w:w="907" w:type="dxa"/>
          </w:tcPr>
          <w:p>
            <w:pPr>
              <w:ind w:firstLine="0"/>
              <w:jc w:val="right"/>
            </w:pPr>
            <w:r>
              <w:rPr>
                <w:rFonts w:ascii="Times New Roman" w:hAnsi="Times New Roman" w:eastAsia="SimSun"/>
                <w:b w:val="0"/>
                <w:i w:val="0"/>
                <w:sz w:val="22"/>
              </w:rPr>
              <w:t>(7)</w:t>
            </w:r>
          </w:p>
        </w:tc>
      </w:tr>
    </w:tbl>
    <w:p>
      <w:pPr>
        <w:spacing w:after="80" w:before="0"/>
        <w:ind w:firstLine="0"/>
      </w:pPr>
    </w:p>
    <w:p>
      <w:pPr>
        <w:spacing w:after="160" w:before="0" w:line="360" w:lineRule="auto"/>
        <w:ind w:firstLine="420"/>
        <w:jc w:val="both"/>
      </w:pPr>
      <w:r>
        <w:rPr>
          <w:rFonts w:ascii="Times New Roman" w:hAnsi="Times New Roman" w:eastAsia="SimSun"/>
          <w:b w:val="0"/>
          <w:i w:val="0"/>
          <w:sz w:val="22"/>
        </w:rPr>
        <w:t>Seeds are then accepted in order of decreasing S(q) subject to a diversity constraint in the same scaled CV coordinates z = (x/σ_x, y/σ_y) (Figure 1F). A candidate i is kept only if it is at least δ = 1 from every already chosen seed,</w:t>
      </w:r>
    </w:p>
    <w:tbl>
      <w:tblPr>
        <w:tblW w:type="auto" w:w="0"/>
        <w:jc w:val="center"/>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8278"/>
        <w:gridCol w:w="907"/>
      </w:tblGrid>
      <w:tr>
        <w:tc>
          <w:tcPr>
            <w:tcW w:w="8278" w:type="dxa"/>
          </w:tcPr>
          <w:p>
            <w:pPr>
              <w:ind w:firstLine="0"/>
              <w:jc w:val="center"/>
            </w:pPr>
            <m:oMathPara>
              <m:oMath>
                <m:r>
                  <m:rPr>
                    <m:sty m:val="p"/>
                  </m:rPr>
                  <m:t xml:space="preserve">∥</m:t>
                </m:r>
                <m:sSub>
                  <m:e>
                    <m:r>
                      <m:rPr>
                        <m:sty m:val="i"/>
                      </m:rPr>
                      <m:t xml:space="preserve">z</m:t>
                    </m:r>
                  </m:e>
                  <m:sub>
                    <m:r>
                      <m:rPr>
                        <m:sty m:val="i"/>
                      </m:rPr>
                      <m:t xml:space="preserve">i</m:t>
                    </m:r>
                  </m:sub>
                </m:sSub>
                <m:r>
                  <m:rPr>
                    <m:sty m:val="p"/>
                  </m:rPr>
                  <m:t xml:space="preserve"> − </m:t>
                </m:r>
                <m:sSub>
                  <m:e>
                    <m:r>
                      <m:rPr>
                        <m:sty m:val="i"/>
                      </m:rPr>
                      <m:t xml:space="preserve">z</m:t>
                    </m:r>
                  </m:e>
                  <m:sub>
                    <m:r>
                      <m:rPr>
                        <m:sty m:val="i"/>
                      </m:rPr>
                      <m:t xml:space="preserve">j</m:t>
                    </m:r>
                  </m:sub>
                </m:sSub>
                <m:r>
                  <m:rPr>
                    <m:sty m:val="p"/>
                  </m:rPr>
                  <m:t xml:space="preserve">∥ ≥ δ  for all chosen j</m:t>
                </m:r>
              </m:oMath>
            </m:oMathPara>
          </w:p>
        </w:tc>
        <w:tc>
          <w:tcPr>
            <w:tcW w:w="907" w:type="dxa"/>
          </w:tcPr>
          <w:p>
            <w:pPr>
              <w:ind w:firstLine="0"/>
              <w:jc w:val="right"/>
            </w:pPr>
            <w:r>
              <w:rPr>
                <w:rFonts w:ascii="Times New Roman" w:hAnsi="Times New Roman" w:eastAsia="SimSun"/>
                <w:b w:val="0"/>
                <w:i w:val="0"/>
                <w:sz w:val="22"/>
              </w:rPr>
              <w:t>(8)</w:t>
            </w:r>
          </w:p>
        </w:tc>
      </w:tr>
    </w:tbl>
    <w:p>
      <w:pPr>
        <w:spacing w:after="80" w:before="0"/>
        <w:ind w:firstLine="0"/>
      </w:pPr>
    </w:p>
    <w:p>
      <w:pPr>
        <w:spacing w:after="160" w:before="0" w:line="360" w:lineRule="auto"/>
        <w:ind w:firstLine="420"/>
        <w:jc w:val="both"/>
      </w:pPr>
      <w:r>
        <w:rPr>
          <w:rFonts w:ascii="Times New Roman" w:hAnsi="Times New Roman" w:eastAsia="SimSun"/>
          <w:b w:val="0"/>
          <w:i w:val="0"/>
          <w:sz w:val="22"/>
        </w:rPr>
        <w:t>The selected frames are dumped from the parent short trajectory and used as starting coordinates for the next round.</w:t>
      </w:r>
    </w:p>
    <w:p>
      <w:pPr>
        <w:pStyle w:val="Heading2"/>
      </w:pPr>
      <w:r>
        <w:rPr>
          <w:rFonts w:ascii="Times New Roman" w:hAnsi="Times New Roman" w:eastAsia="SimSun"/>
          <w:color w:val="1A202C"/>
        </w:rPr>
        <w:t>2.7 CLN025</w:t>
      </w:r>
    </w:p>
    <w:p>
      <w:pPr>
        <w:spacing w:after="160" w:before="0" w:line="360" w:lineRule="auto"/>
        <w:ind w:firstLine="420"/>
        <w:jc w:val="both"/>
      </w:pPr>
      <w:r>
        <w:rPr>
          <w:rFonts w:ascii="Times New Roman" w:hAnsi="Times New Roman" w:eastAsia="SimSun"/>
          <w:b w:val="0"/>
          <w:i w:val="0"/>
          <w:sz w:val="22"/>
        </w:rPr>
        <w:t>CLN025 is a 10-residue fast-folding mini-protein. Campaigns start from an unfolded structure in water. The CVs are Cα-RMSD to the native reference and radius of gyration. The target window is RMSD &lt; 0.25 nm; a committed visit requires that this predicate hold contiguously for at least 40 ps. Each campaign uses a 10 ns unbiased initialization, then 12 rounds of 6 × 1 ns short trajectories (aggregate budget 82 ns).</w:t>
      </w:r>
    </w:p>
    <w:p>
      <w:pPr>
        <w:pStyle w:val="Heading2"/>
      </w:pPr>
      <w:r>
        <w:rPr>
          <w:rFonts w:ascii="Times New Roman" w:hAnsi="Times New Roman" w:eastAsia="SimSun"/>
          <w:color w:val="1A202C"/>
        </w:rPr>
        <w:t>2.8 Adenylate kinase</w:t>
      </w:r>
    </w:p>
    <w:p>
      <w:pPr>
        <w:spacing w:after="160" w:before="0" w:line="360" w:lineRule="auto"/>
        <w:ind w:firstLine="420"/>
        <w:jc w:val="both"/>
      </w:pPr>
      <w:r>
        <w:rPr>
          <w:rFonts w:ascii="Times New Roman" w:hAnsi="Times New Roman" w:eastAsia="SimSun"/>
          <w:b w:val="0"/>
          <w:i w:val="0"/>
          <w:sz w:val="22"/>
        </w:rPr>
        <w:t>Apo adenylate kinase (AdK) is scored on the LID–CORE and NMP–CORE angles. Campaigns start from the open apo conformation. The closed window is the side-aware cut between open and closed references: LID &lt; 114.4° and NMP &gt; 41.8°. A committed visit requires both angles to remain in that window for at least 200 ps. Each campaign uses a 20 ns open initialization, then 15 rounds of 6 × 2 ns short trajectories (aggregate budget 200 ns).</w:t>
      </w:r>
    </w:p>
    <w:p>
      <w:pPr>
        <w:pStyle w:val="Heading2"/>
      </w:pPr>
      <w:r>
        <w:rPr>
          <w:rFonts w:ascii="Times New Roman" w:hAnsi="Times New Roman" w:eastAsia="SimSun"/>
          <w:color w:val="1A202C"/>
        </w:rPr>
        <w:t>2.9 Maltose-binding protein</w:t>
      </w:r>
    </w:p>
    <w:p>
      <w:pPr>
        <w:spacing w:after="160" w:before="0" w:line="360" w:lineRule="auto"/>
        <w:ind w:firstLine="420"/>
        <w:jc w:val="both"/>
      </w:pPr>
      <w:r>
        <w:rPr>
          <w:rFonts w:ascii="Times New Roman" w:hAnsi="Times New Roman" w:eastAsia="SimSun"/>
          <w:b w:val="0"/>
          <w:i w:val="0"/>
          <w:sz w:val="22"/>
        </w:rPr>
        <w:t>Apo maltose-binding protein (MBP) undergoes large-scale domain closure. Campaigns start from open apo 1OMP; the closed reference is 1ANF with maltose removed. The CVs are the CA center-of-mass distance between the N- and C-terminal domains (residues 1–109 + 264–309 and 114–258 + 316–370) and a hinge angle at residues 109–114 / 258–264 / 309–316. The closed window is distance &lt; 2.885 nm and hinge &lt; 115.9°. Commitment requires both CVs in that window for at least 200 ps. Each campaign uses a 20 ns open initialization, then 82 rounds of 6 × 2 ns short trajectories (aggregate budget 1 μs). The protocol is summarized with CLN025 and AdK in Table 2.</w:t>
      </w:r>
    </w:p>
    <w:tbl>
      <w:tblPr>
        <w:tblW w:type="auto" w:w="0"/>
        <w:jc w:val="center"/>
        <w:tblLayout w:type="autofit"/>
        <w:tblLook w:firstColumn="1" w:firstRow="1" w:lastColumn="0" w:lastRow="0" w:noHBand="0" w:noVBand="1" w:val="04A0"/>
        <w:tblBorders>
          <w:top w:val="single" w:sz="12" w:space="0" w:color="000000"/>
          <w:left w:val="nil" w:sz="0" w:space="0" w:color="auto"/>
          <w:bottom w:val="single" w:sz="12" w:space="0" w:color="000000"/>
          <w:right w:val="nil" w:sz="0" w:space="0" w:color="auto"/>
          <w:insideH w:val="nil" w:sz="0" w:space="0" w:color="auto"/>
          <w:insideV w:val="nil" w:sz="0" w:space="0" w:color="auto"/>
        </w:tblBorders>
      </w:tblPr>
      <w:tblGrid>
        <w:gridCol w:w="1296"/>
        <w:gridCol w:w="1296"/>
        <w:gridCol w:w="1296"/>
        <w:gridCol w:w="1296"/>
        <w:gridCol w:w="1296"/>
        <w:gridCol w:w="1296"/>
        <w:gridCol w:w="1296"/>
      </w:tblGrid>
      <w:tr>
        <w:tc>
          <w:tcPr>
            <w:tcW w:type="dxa" w:w="1296"/>
            <w:tcBorders>
              <w:top w:val="single" w:sz="12" w:space="0" w:color="000000"/>
              <w:left w:sz="0" w:val="nil" w:color="auto" w:space="0"/>
              <w:bottom w:sz="8" w:val="single" w:color="000000" w:space="0"/>
              <w:right w:sz="0" w:val="nil" w:color="auto" w:space="0"/>
            </w:tcBorders>
          </w:tcPr>
          <w:p>
            <w:pPr>
              <w:spacing w:before="40" w:after="40"/>
              <w:jc w:val="center"/>
            </w:pPr>
            <w:r/>
            <w:r>
              <w:rPr>
                <w:rFonts w:ascii="Times New Roman" w:hAnsi="Times New Roman" w:eastAsia="SimSun"/>
                <w:b/>
                <w:i w:val="0"/>
                <w:color w:val="1A202C"/>
                <w:sz w:val="18"/>
              </w:rPr>
              <w:t>System</w:t>
            </w:r>
          </w:p>
        </w:tc>
        <w:tc>
          <w:tcPr>
            <w:tcW w:type="dxa" w:w="1296"/>
            <w:tcBorders>
              <w:top w:val="single" w:sz="12" w:space="0" w:color="000000"/>
              <w:left w:sz="0" w:val="nil" w:color="auto" w:space="0"/>
              <w:bottom w:sz="8" w:val="single" w:color="000000" w:space="0"/>
              <w:right w:sz="0" w:val="nil" w:color="auto" w:space="0"/>
            </w:tcBorders>
          </w:tcPr>
          <w:p>
            <w:pPr>
              <w:spacing w:before="40" w:after="40"/>
              <w:jc w:val="center"/>
            </w:pPr>
            <w:r/>
            <w:r>
              <w:rPr>
                <w:rFonts w:ascii="Times New Roman" w:hAnsi="Times New Roman" w:eastAsia="SimSun"/>
                <w:b/>
                <w:i w:val="0"/>
                <w:color w:val="1A202C"/>
                <w:sz w:val="18"/>
              </w:rPr>
              <w:t>Transition</w:t>
            </w:r>
          </w:p>
        </w:tc>
        <w:tc>
          <w:tcPr>
            <w:tcW w:type="dxa" w:w="1296"/>
            <w:tcBorders>
              <w:top w:val="single" w:sz="12" w:space="0" w:color="000000"/>
              <w:left w:sz="0" w:val="nil" w:color="auto" w:space="0"/>
              <w:bottom w:sz="8" w:val="single" w:color="000000" w:space="0"/>
              <w:right w:sz="0" w:val="nil" w:color="auto" w:space="0"/>
            </w:tcBorders>
          </w:tcPr>
          <w:p>
            <w:pPr>
              <w:spacing w:before="40" w:after="40"/>
              <w:jc w:val="center"/>
            </w:pPr>
            <w:r/>
            <w:r>
              <w:rPr>
                <w:rFonts w:ascii="Times New Roman" w:hAnsi="Times New Roman" w:eastAsia="SimSun"/>
                <w:b/>
                <w:i w:val="0"/>
                <w:color w:val="1A202C"/>
                <w:sz w:val="18"/>
              </w:rPr>
              <w:t>CVs</w:t>
            </w:r>
          </w:p>
        </w:tc>
        <w:tc>
          <w:tcPr>
            <w:tcW w:type="dxa" w:w="1296"/>
            <w:tcBorders>
              <w:top w:val="single" w:sz="12" w:space="0" w:color="000000"/>
              <w:left w:sz="0" w:val="nil" w:color="auto" w:space="0"/>
              <w:bottom w:sz="8" w:val="single" w:color="000000" w:space="0"/>
              <w:right w:sz="0" w:val="nil" w:color="auto" w:space="0"/>
            </w:tcBorders>
          </w:tcPr>
          <w:p>
            <w:pPr>
              <w:spacing w:before="40" w:after="40"/>
              <w:jc w:val="center"/>
            </w:pPr>
            <w:r/>
            <w:r>
              <w:rPr>
                <w:rFonts w:ascii="Times New Roman" w:hAnsi="Times New Roman" w:eastAsia="SimSun"/>
                <w:b/>
                <w:i w:val="0"/>
                <w:color w:val="1A202C"/>
                <w:sz w:val="18"/>
              </w:rPr>
              <w:t>Init</w:t>
            </w:r>
          </w:p>
        </w:tc>
        <w:tc>
          <w:tcPr>
            <w:tcW w:type="dxa" w:w="1296"/>
            <w:tcBorders>
              <w:top w:val="single" w:sz="12" w:space="0" w:color="000000"/>
              <w:left w:sz="0" w:val="nil" w:color="auto" w:space="0"/>
              <w:bottom w:sz="8" w:val="single" w:color="000000" w:space="0"/>
              <w:right w:sz="0" w:val="nil" w:color="auto" w:space="0"/>
            </w:tcBorders>
          </w:tcPr>
          <w:p>
            <w:pPr>
              <w:spacing w:before="40" w:after="40"/>
              <w:jc w:val="center"/>
            </w:pPr>
            <w:r/>
            <w:r>
              <w:rPr>
                <w:rFonts w:ascii="Times New Roman" w:hAnsi="Times New Roman" w:eastAsia="SimSun"/>
                <w:b/>
                <w:i w:val="0"/>
                <w:color w:val="1A202C"/>
                <w:sz w:val="18"/>
              </w:rPr>
              <w:t>Short MD</w:t>
            </w:r>
          </w:p>
        </w:tc>
        <w:tc>
          <w:tcPr>
            <w:tcW w:type="dxa" w:w="1296"/>
            <w:tcBorders>
              <w:top w:val="single" w:sz="12" w:space="0" w:color="000000"/>
              <w:left w:sz="0" w:val="nil" w:color="auto" w:space="0"/>
              <w:bottom w:sz="8" w:val="single" w:color="000000" w:space="0"/>
              <w:right w:sz="0" w:val="nil" w:color="auto" w:space="0"/>
            </w:tcBorders>
          </w:tcPr>
          <w:p>
            <w:pPr>
              <w:spacing w:before="40" w:after="40"/>
              <w:jc w:val="center"/>
            </w:pPr>
            <w:r/>
            <w:r>
              <w:rPr>
                <w:rFonts w:ascii="Times New Roman" w:hAnsi="Times New Roman" w:eastAsia="SimSun"/>
                <w:b/>
                <w:i w:val="0"/>
                <w:color w:val="1A202C"/>
                <w:sz w:val="18"/>
              </w:rPr>
              <w:t>Budget</w:t>
            </w:r>
          </w:p>
        </w:tc>
        <w:tc>
          <w:tcPr>
            <w:tcW w:type="dxa" w:w="1296"/>
            <w:tcBorders>
              <w:top w:val="single" w:sz="12" w:space="0" w:color="000000"/>
              <w:left w:sz="0" w:val="nil" w:color="auto" w:space="0"/>
              <w:bottom w:sz="8" w:val="single" w:color="000000" w:space="0"/>
              <w:right w:sz="0" w:val="nil" w:color="auto" w:space="0"/>
            </w:tcBorders>
          </w:tcPr>
          <w:p>
            <w:pPr>
              <w:spacing w:before="40" w:after="40"/>
              <w:jc w:val="center"/>
            </w:pPr>
            <w:r/>
            <w:r>
              <w:rPr>
                <w:rFonts w:ascii="Times New Roman" w:hAnsi="Times New Roman" w:eastAsia="SimSun"/>
                <w:b/>
                <w:i w:val="0"/>
                <w:color w:val="1A202C"/>
                <w:sz w:val="18"/>
              </w:rPr>
              <w:t>Commit</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CLN025</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folding (unfolded start)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Cα-RMSD to native, Rg</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10 ns</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 ns × 6 × 12</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82 ns</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RMSD &lt; 0.25 nm for ≥ 40 ps</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AdK</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open → closed, apo</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LID–CORE and NMP–CORE angles</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20 ns</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2 ns × 6 × 15</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200 ns</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both angles in closed window ≥ 200 ps</w:t>
            </w:r>
          </w:p>
        </w:tc>
      </w:tr>
      <w:tr>
        <w:tc>
          <w:tcPr>
            <w:tcW w:type="dxa" w:w="1296"/>
            <w:tcBorders>
              <w:top w:sz="0" w:val="nil" w:color="auto" w:space="0"/>
              <w:left w:sz="0" w:val="nil" w:color="auto" w:space="0"/>
              <w:bottom w:val="single" w:sz="12" w:space="0" w:color="000000"/>
              <w:right w:sz="0" w:val="nil" w:color="auto" w:space="0"/>
            </w:tcBorders>
          </w:tcPr>
          <w:p>
            <w:pPr>
              <w:spacing w:before="20" w:after="20"/>
              <w:jc w:val="center"/>
            </w:pPr>
            <w:r/>
            <w:r>
              <w:rPr>
                <w:rFonts w:ascii="Times New Roman" w:hAnsi="Times New Roman" w:eastAsia="SimSun"/>
                <w:b w:val="0"/>
                <w:i w:val="0"/>
                <w:sz w:val="18"/>
              </w:rPr>
              <w:t>MBP</w:t>
            </w:r>
          </w:p>
        </w:tc>
        <w:tc>
          <w:tcPr>
            <w:tcW w:type="dxa" w:w="1296"/>
            <w:tcBorders>
              <w:top w:sz="0" w:val="nil" w:color="auto" w:space="0"/>
              <w:left w:sz="0" w:val="nil" w:color="auto" w:space="0"/>
              <w:bottom w:val="single" w:sz="12" w:space="0" w:color="000000"/>
              <w:right w:sz="0" w:val="nil" w:color="auto" w:space="0"/>
            </w:tcBorders>
          </w:tcPr>
          <w:p>
            <w:pPr>
              <w:spacing w:before="20" w:after="20"/>
              <w:jc w:val="center"/>
            </w:pPr>
            <w:r/>
            <w:r>
              <w:rPr>
                <w:rFonts w:ascii="Times New Roman" w:hAnsi="Times New Roman" w:eastAsia="SimSun"/>
                <w:b w:val="0"/>
                <w:i w:val="0"/>
                <w:sz w:val="18"/>
              </w:rPr>
              <w:t>domain closure, apo</w:t>
            </w:r>
          </w:p>
        </w:tc>
        <w:tc>
          <w:tcPr>
            <w:tcW w:type="dxa" w:w="1296"/>
            <w:tcBorders>
              <w:top w:sz="0" w:val="nil" w:color="auto" w:space="0"/>
              <w:left w:sz="0" w:val="nil" w:color="auto" w:space="0"/>
              <w:bottom w:val="single" w:sz="12" w:space="0" w:color="000000"/>
              <w:right w:sz="0" w:val="nil" w:color="auto" w:space="0"/>
            </w:tcBorders>
          </w:tcPr>
          <w:p>
            <w:pPr>
              <w:spacing w:before="20" w:after="20"/>
              <w:jc w:val="center"/>
            </w:pPr>
            <w:r/>
            <w:r>
              <w:rPr>
                <w:rFonts w:ascii="Times New Roman" w:hAnsi="Times New Roman" w:eastAsia="SimSun"/>
                <w:b w:val="0"/>
                <w:i w:val="0"/>
                <w:sz w:val="18"/>
              </w:rPr>
              <w:t>N/C-domain CA-COM distance, hinge angle</w:t>
            </w:r>
          </w:p>
        </w:tc>
        <w:tc>
          <w:tcPr>
            <w:tcW w:type="dxa" w:w="1296"/>
            <w:tcBorders>
              <w:top w:sz="0" w:val="nil" w:color="auto" w:space="0"/>
              <w:left w:sz="0" w:val="nil" w:color="auto" w:space="0"/>
              <w:bottom w:val="single" w:sz="12" w:space="0" w:color="000000"/>
              <w:right w:sz="0" w:val="nil" w:color="auto" w:space="0"/>
            </w:tcBorders>
          </w:tcPr>
          <w:p>
            <w:pPr>
              <w:spacing w:before="20" w:after="20"/>
              <w:jc w:val="center"/>
            </w:pPr>
            <w:r/>
            <w:r>
              <w:rPr>
                <w:rFonts w:ascii="Times New Roman" w:hAnsi="Times New Roman" w:eastAsia="SimSun"/>
                <w:b w:val="0"/>
                <w:i w:val="0"/>
                <w:sz w:val="18"/>
              </w:rPr>
              <w:t>20 ns</w:t>
            </w:r>
          </w:p>
        </w:tc>
        <w:tc>
          <w:tcPr>
            <w:tcW w:type="dxa" w:w="1296"/>
            <w:tcBorders>
              <w:top w:sz="0" w:val="nil" w:color="auto" w:space="0"/>
              <w:left w:sz="0" w:val="nil" w:color="auto" w:space="0"/>
              <w:bottom w:val="single" w:sz="12" w:space="0" w:color="000000"/>
              <w:right w:sz="0" w:val="nil" w:color="auto" w:space="0"/>
            </w:tcBorders>
          </w:tcPr>
          <w:p>
            <w:pPr>
              <w:spacing w:before="20" w:after="20"/>
              <w:jc w:val="center"/>
            </w:pPr>
            <w:r/>
            <w:r>
              <w:rPr>
                <w:rFonts w:ascii="Times New Roman" w:hAnsi="Times New Roman" w:eastAsia="SimSun"/>
                <w:b w:val="0"/>
                <w:i w:val="0"/>
                <w:sz w:val="18"/>
              </w:rPr>
              <w:t>2 ns × 6 × 82</w:t>
            </w:r>
          </w:p>
        </w:tc>
        <w:tc>
          <w:tcPr>
            <w:tcW w:type="dxa" w:w="1296"/>
            <w:tcBorders>
              <w:top w:sz="0" w:val="nil" w:color="auto" w:space="0"/>
              <w:left w:sz="0" w:val="nil" w:color="auto" w:space="0"/>
              <w:bottom w:val="single" w:sz="12" w:space="0" w:color="000000"/>
              <w:right w:sz="0" w:val="nil" w:color="auto" w:space="0"/>
            </w:tcBorders>
          </w:tcPr>
          <w:p>
            <w:pPr>
              <w:spacing w:before="20" w:after="20"/>
              <w:jc w:val="center"/>
            </w:pPr>
            <w:r/>
            <w:r>
              <w:rPr>
                <w:rFonts w:ascii="Times New Roman" w:hAnsi="Times New Roman" w:eastAsia="SimSun"/>
                <w:b w:val="0"/>
                <w:i w:val="0"/>
                <w:sz w:val="18"/>
              </w:rPr>
              <w:t>1 μs</w:t>
            </w:r>
          </w:p>
        </w:tc>
        <w:tc>
          <w:tcPr>
            <w:tcW w:type="dxa" w:w="1296"/>
            <w:tcBorders>
              <w:top w:sz="0" w:val="nil" w:color="auto" w:space="0"/>
              <w:left w:sz="0" w:val="nil" w:color="auto" w:space="0"/>
              <w:bottom w:val="single" w:sz="12" w:space="0" w:color="000000"/>
              <w:right w:sz="0" w:val="nil" w:color="auto" w:space="0"/>
            </w:tcBorders>
          </w:tcPr>
          <w:p>
            <w:pPr>
              <w:spacing w:before="20" w:after="20"/>
              <w:jc w:val="center"/>
            </w:pPr>
            <w:r/>
            <w:r>
              <w:rPr>
                <w:rFonts w:ascii="Times New Roman" w:hAnsi="Times New Roman" w:eastAsia="SimSun"/>
                <w:b w:val="0"/>
                <w:i w:val="0"/>
                <w:sz w:val="18"/>
              </w:rPr>
              <w:t>both CVs in closed window ≥ 200 ps</w:t>
            </w:r>
          </w:p>
        </w:tc>
      </w:tr>
    </w:tbl>
    <w:p/>
    <w:p>
      <w:pPr>
        <w:spacing w:before="80" w:after="240" w:line="276" w:lineRule="auto"/>
        <w:ind w:firstLine="0"/>
        <w:jc w:val="both"/>
      </w:pPr>
      <w:r>
        <w:rPr>
          <w:rFonts w:ascii="Times New Roman" w:hAnsi="Times New Roman" w:eastAsia="SimSun"/>
          <w:b w:val="0"/>
          <w:i w:val="0"/>
          <w:sz w:val="20"/>
        </w:rPr>
        <w:t>Table 2. Simulation protocol. Closed windows for AdK and MBP are side-aware cuts between the open and closed reference structures. CLN025 starts unfolded; AdK and MBP start from the open apo crystal conformation.</w:t>
      </w:r>
    </w:p>
    <w:p>
      <w:pPr>
        <w:pStyle w:val="Heading2"/>
      </w:pPr>
      <w:r>
        <w:rPr>
          <w:rFonts w:ascii="Times New Roman" w:hAnsi="Times New Roman" w:eastAsia="SimSun"/>
          <w:color w:val="1A202C"/>
        </w:rPr>
        <w:t>2.10 Baseline methods</w:t>
      </w:r>
    </w:p>
    <w:p>
      <w:pPr>
        <w:spacing w:after="160" w:before="0" w:line="360" w:lineRule="auto"/>
        <w:ind w:firstLine="420"/>
        <w:jc w:val="both"/>
      </w:pPr>
      <w:r>
        <w:rPr>
          <w:rFonts w:ascii="Times New Roman" w:hAnsi="Times New Roman" w:eastAsia="SimSun"/>
          <w:b w:val="0"/>
          <w:i w:val="0"/>
          <w:sz w:val="22"/>
        </w:rPr>
        <w:t>Every system was run with five methods under identical initialization, short-MD length, seed count, diversity rule, and budget. Random assigns uniform scores to eligible windows. LAST uses only the boundary score of Section 2.4. Least-counts uses only the inverse-density novelty score of Section 2.3. kNN-AS follows Rovers et al. (J. Chem. Theory Comput. 2025): the visited CV cloud is subsampled with probability P = 0.5 and each candidate is scored from its k = 5 nearest neighbors as</w:t>
      </w:r>
    </w:p>
    <w:tbl>
      <w:tblPr>
        <w:tblW w:type="auto" w:w="0"/>
        <w:jc w:val="center"/>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8278"/>
        <w:gridCol w:w="907"/>
      </w:tblGrid>
      <w:tr>
        <w:tc>
          <w:tcPr>
            <w:tcW w:w="8278" w:type="dxa"/>
          </w:tcPr>
          <w:p>
            <w:pPr>
              <w:ind w:firstLine="0"/>
              <w:jc w:val="center"/>
            </w:pPr>
            <m:oMathPara>
              <m:oMath>
                <m:sSub>
                  <m:e>
                    <m:r>
                      <m:rPr>
                        <m:sty m:val="i"/>
                      </m:rPr>
                      <m:t xml:space="preserve">s</m:t>
                    </m:r>
                  </m:e>
                  <m:sub>
                    <m:r>
                      <m:rPr>
                        <m:sty m:val="i"/>
                      </m:rPr>
                      <m:t xml:space="preserve">knn</m:t>
                    </m:r>
                  </m:sub>
                </m:sSub>
                <m:r>
                  <m:rPr>
                    <m:sty m:val="i"/>
                  </m:rPr>
                  <m:t xml:space="preserve">(</m:t>
                </m:r>
                <m:r>
                  <m:rPr>
                    <m:sty m:val="i"/>
                  </m:rPr>
                  <m:t xml:space="preserve">q</m:t>
                </m:r>
                <m:r>
                  <m:rPr>
                    <m:sty m:val="p"/>
                  </m:rPr>
                  <m:t xml:space="preserve">) = </m:t>
                </m:r>
                <m:r>
                  <m:rPr>
                    <m:sty m:val="p"/>
                  </m:rPr>
                  <m:t xml:space="preserve">∥</m:t>
                </m:r>
                <m:nary>
                  <m:naryPr>
                    <m:chr m:val="∑"/>
                    <m:limLoc m:val="undOvr"/>
                  </m:naryPr>
                  <m:sub>
                    <m:r>
                      <m:rPr>
                        <m:sty m:val="i"/>
                      </m:rPr>
                      <m:t xml:space="preserve">j</m:t>
                    </m:r>
                  </m:sub>
                  <m:sup/>
                  <m:e>
                    <m:r>
                      <m:rPr>
                        <m:sty m:val="i"/>
                      </m:rPr>
                      <m:t xml:space="preserve">(</m:t>
                    </m:r>
                    <m:sSub>
                      <m:e>
                        <m:r>
                          <m:rPr>
                            <m:sty m:val="i"/>
                          </m:rPr>
                          <m:t xml:space="preserve">z</m:t>
                        </m:r>
                      </m:e>
                      <m:sub>
                        <m:r>
                          <m:rPr>
                            <m:sty m:val="i"/>
                          </m:rPr>
                          <m:t xml:space="preserve">j</m:t>
                        </m:r>
                      </m:sub>
                    </m:sSub>
                    <m:r>
                      <m:rPr>
                        <m:sty m:val="p"/>
                      </m:rPr>
                      <m:t xml:space="preserve"> − </m:t>
                    </m:r>
                    <m:r>
                      <m:rPr>
                        <m:sty m:val="i"/>
                      </m:rPr>
                      <m:t xml:space="preserve">q</m:t>
                    </m:r>
                    <m:r>
                      <m:rPr>
                        <m:sty m:val="i"/>
                      </m:rPr>
                      <m:t xml:space="preserve">)</m:t>
                    </m:r>
                  </m:e>
                </m:nary>
                <m:r>
                  <m:rPr>
                    <m:sty m:val="p"/>
                  </m:rPr>
                  <m:t xml:space="preserve">∥</m:t>
                </m:r>
              </m:oMath>
            </m:oMathPara>
          </w:p>
        </w:tc>
        <w:tc>
          <w:tcPr>
            <w:tcW w:w="907" w:type="dxa"/>
          </w:tcPr>
          <w:p>
            <w:pPr>
              <w:ind w:firstLine="0"/>
              <w:jc w:val="right"/>
            </w:pPr>
            <w:r>
              <w:rPr>
                <w:rFonts w:ascii="Times New Roman" w:hAnsi="Times New Roman" w:eastAsia="SimSun"/>
                <w:b w:val="0"/>
                <w:i w:val="0"/>
                <w:sz w:val="22"/>
              </w:rPr>
              <w:t>(9)</w:t>
            </w:r>
          </w:p>
        </w:tc>
      </w:tr>
    </w:tbl>
    <w:p>
      <w:pPr>
        <w:spacing w:after="80" w:before="0"/>
        <w:ind w:firstLine="0"/>
      </w:pPr>
    </w:p>
    <w:p>
      <w:pPr>
        <w:spacing w:after="160" w:before="0" w:line="360" w:lineRule="auto"/>
        <w:ind w:firstLine="420"/>
        <w:jc w:val="both"/>
      </w:pPr>
      <w:r>
        <w:rPr>
          <w:rFonts w:ascii="Times New Roman" w:hAnsi="Times New Roman" w:eastAsia="SimSun"/>
          <w:b w:val="0"/>
          <w:i w:val="0"/>
          <w:sz w:val="22"/>
        </w:rPr>
        <w:t>Interior points cancel; boundary points retain a long resultant. There is no target term. MOAS-static is the three-objective mix of Section 2.6. TAPS, a target-aware predecessor used in earlier CLN025 work, is reported only in the Supporting Information and is not a main-text baseline. Independent replicates use random seeds 0, 1, and 2.</w:t>
      </w:r>
    </w:p>
    <w:p>
      <w:pPr>
        <w:pStyle w:val="Heading2"/>
      </w:pPr>
      <w:r>
        <w:rPr>
          <w:rFonts w:ascii="Times New Roman" w:hAnsi="Times New Roman" w:eastAsia="SimSun"/>
          <w:color w:val="1A202C"/>
        </w:rPr>
        <w:t>2.11 First hit</w:t>
      </w:r>
    </w:p>
    <w:p>
      <w:pPr>
        <w:spacing w:after="160" w:before="0" w:line="360" w:lineRule="auto"/>
        <w:ind w:firstLine="420"/>
        <w:jc w:val="both"/>
      </w:pPr>
      <w:r>
        <w:rPr>
          <w:rFonts w:ascii="Times New Roman" w:hAnsi="Times New Roman" w:eastAsia="SimSun"/>
          <w:b w:val="0"/>
          <w:i w:val="0"/>
          <w:sz w:val="22"/>
        </w:rPr>
        <w:t>Metrics are computed on the concatenated, time-ordered pool of each campaign. Let 1_W(x_t) = 1 if frame x_t lies in the target window W (RMSD &lt; 0.25 nm on CLN025; both closed-window CVs on AdK and MBP) and 0 otherwise. First hit is</w:t>
      </w:r>
    </w:p>
    <w:tbl>
      <w:tblPr>
        <w:tblW w:type="auto" w:w="0"/>
        <w:jc w:val="center"/>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8278"/>
        <w:gridCol w:w="907"/>
      </w:tblGrid>
      <w:tr>
        <w:tc>
          <w:tcPr>
            <w:tcW w:w="8278" w:type="dxa"/>
          </w:tcPr>
          <w:p>
            <w:pPr>
              <w:ind w:firstLine="0"/>
              <w:jc w:val="center"/>
            </w:pPr>
            <m:oMathPara>
              <m:oMath>
                <m:sSub>
                  <m:e>
                    <m:r>
                      <m:rPr>
                        <m:sty m:val="i"/>
                      </m:rPr>
                      <m:t xml:space="preserve">t</m:t>
                    </m:r>
                  </m:e>
                  <m:sub>
                    <m:r>
                      <m:rPr>
                        <m:sty m:val="i"/>
                      </m:rPr>
                      <m:t xml:space="preserve">hit</m:t>
                    </m:r>
                  </m:sub>
                </m:sSub>
                <m:r>
                  <m:rPr>
                    <m:sty m:val="p"/>
                  </m:rPr>
                  <m:t xml:space="preserve"> = </m:t>
                </m:r>
                <m:r>
                  <m:rPr>
                    <m:sty m:val="p"/>
                  </m:rPr>
                  <m:t xml:space="preserve">min</m:t>
                </m:r>
                <m:r>
                  <m:rPr>
                    <m:sty m:val="p"/>
                  </m:rPr>
                  <m:t xml:space="preserve"> { </m:t>
                </m:r>
                <m:sSub>
                  <m:e>
                    <m:r>
                      <m:rPr>
                        <m:sty m:val="i"/>
                      </m:rPr>
                      <m:t xml:space="preserve">t</m:t>
                    </m:r>
                  </m:e>
                  <m:sub>
                    <m:r>
                      <m:rPr>
                        <m:sty m:val="i"/>
                      </m:rPr>
                      <m:t xml:space="preserve">i</m:t>
                    </m:r>
                  </m:sub>
                </m:sSub>
                <m:r>
                  <m:rPr>
                    <m:sty m:val="p"/>
                  </m:rPr>
                  <m:t xml:space="preserve">  |  </m:t>
                </m:r>
                <m:sSub>
                  <m:e>
                    <m:r>
                      <m:rPr>
                        <m:sty m:val="i"/>
                      </m:rPr>
                      <m:t xml:space="preserve">1</m:t>
                    </m:r>
                  </m:e>
                  <m:sub>
                    <m:r>
                      <m:rPr>
                        <m:sty m:val="i"/>
                      </m:rPr>
                      <m:t xml:space="preserve">W</m:t>
                    </m:r>
                  </m:sub>
                </m:sSub>
                <m:r>
                  <m:rPr>
                    <m:sty m:val="i"/>
                  </m:rPr>
                  <m:t xml:space="preserve">(</m:t>
                </m:r>
                <m:sSub>
                  <m:e>
                    <m:r>
                      <m:rPr>
                        <m:sty m:val="i"/>
                      </m:rPr>
                      <m:t xml:space="preserve">x</m:t>
                    </m:r>
                  </m:e>
                  <m:sub>
                    <m:r>
                      <m:rPr>
                        <m:sty m:val="i"/>
                      </m:rPr>
                      <m:t xml:space="preserve">i</m:t>
                    </m:r>
                  </m:sub>
                </m:sSub>
                <m:r>
                  <m:rPr>
                    <m:sty m:val="p"/>
                  </m:rPr>
                  <m:t xml:space="preserve">) = 1 }</m:t>
                </m:r>
              </m:oMath>
            </m:oMathPara>
          </w:p>
        </w:tc>
        <w:tc>
          <w:tcPr>
            <w:tcW w:w="907" w:type="dxa"/>
          </w:tcPr>
          <w:p>
            <w:pPr>
              <w:ind w:firstLine="0"/>
              <w:jc w:val="right"/>
            </w:pPr>
            <w:r>
              <w:rPr>
                <w:rFonts w:ascii="Times New Roman" w:hAnsi="Times New Roman" w:eastAsia="SimSun"/>
                <w:b w:val="0"/>
                <w:i w:val="0"/>
                <w:sz w:val="22"/>
              </w:rPr>
              <w:t>(10)</w:t>
            </w:r>
          </w:p>
        </w:tc>
      </w:tr>
    </w:tbl>
    <w:p>
      <w:pPr>
        <w:spacing w:after="80" w:before="0"/>
        <w:ind w:firstLine="0"/>
      </w:pPr>
    </w:p>
    <w:p>
      <w:pPr>
        <w:spacing w:after="160" w:before="0" w:line="360" w:lineRule="auto"/>
        <w:ind w:firstLine="420"/>
        <w:jc w:val="both"/>
      </w:pPr>
      <w:r>
        <w:rPr>
          <w:rFonts w:ascii="Times New Roman" w:hAnsi="Times New Roman" w:eastAsia="SimSun"/>
          <w:b w:val="0"/>
          <w:i w:val="0"/>
          <w:sz w:val="22"/>
        </w:rPr>
        <w:t>It is reported for completeness. It is not the primary success criterion: a campaign may hit and still fail to remain in the basin.</w:t>
      </w:r>
    </w:p>
    <w:p>
      <w:pPr>
        <w:pStyle w:val="Heading2"/>
      </w:pPr>
      <w:r>
        <w:rPr>
          <w:rFonts w:ascii="Times New Roman" w:hAnsi="Times New Roman" w:eastAsia="SimSun"/>
          <w:color w:val="1A202C"/>
        </w:rPr>
        <w:t>2.12 Committed visit</w:t>
      </w:r>
    </w:p>
    <w:p>
      <w:pPr>
        <w:spacing w:after="160" w:before="0" w:line="360" w:lineRule="auto"/>
        <w:ind w:firstLine="420"/>
        <w:jc w:val="both"/>
      </w:pPr>
      <w:r>
        <w:rPr>
          <w:rFonts w:ascii="Times New Roman" w:hAnsi="Times New Roman" w:eastAsia="SimSun"/>
          <w:b w:val="0"/>
          <w:i w:val="0"/>
          <w:sz w:val="22"/>
        </w:rPr>
        <w:t>A committed visit is the primary endpoint. With frame spacing Δt, it is the first time a contiguous sojourn inside W reaches duration τ (τ = 40 ps on CLN025; 200 ps on AdK and MBP):</w:t>
      </w:r>
    </w:p>
    <w:tbl>
      <w:tblPr>
        <w:tblW w:type="auto" w:w="0"/>
        <w:jc w:val="center"/>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8278"/>
        <w:gridCol w:w="907"/>
      </w:tblGrid>
      <w:tr>
        <w:tc>
          <w:tcPr>
            <w:tcW w:w="8278" w:type="dxa"/>
          </w:tcPr>
          <w:p>
            <w:pPr>
              <w:ind w:firstLine="0"/>
              <w:jc w:val="center"/>
            </w:pPr>
            <m:oMathPara>
              <m:oMath>
                <m:sSub>
                  <m:e>
                    <m:r>
                      <m:rPr>
                        <m:sty m:val="i"/>
                      </m:rPr>
                      <m:t xml:space="preserve">t</m:t>
                    </m:r>
                  </m:e>
                  <m:sub>
                    <m:r>
                      <m:rPr>
                        <m:sty m:val="i"/>
                      </m:rPr>
                      <m:t xml:space="preserve">com</m:t>
                    </m:r>
                  </m:sub>
                </m:sSub>
                <m:r>
                  <m:rPr>
                    <m:sty m:val="p"/>
                  </m:rPr>
                  <m:t xml:space="preserve"> = </m:t>
                </m:r>
                <m:r>
                  <m:rPr>
                    <m:sty m:val="p"/>
                  </m:rPr>
                  <m:t xml:space="preserve">min</m:t>
                </m:r>
                <m:r>
                  <m:rPr>
                    <m:sty m:val="p"/>
                  </m:rPr>
                  <m:t xml:space="preserve"> { </m:t>
                </m:r>
                <m:sSub>
                  <m:e>
                    <m:r>
                      <m:rPr>
                        <m:sty m:val="i"/>
                      </m:rPr>
                      <m:t xml:space="preserve">t</m:t>
                    </m:r>
                  </m:e>
                  <m:sub>
                    <m:r>
                      <m:rPr>
                        <m:sty m:val="i"/>
                      </m:rPr>
                      <m:t xml:space="preserve">i</m:t>
                    </m:r>
                  </m:sub>
                </m:sSub>
                <m:r>
                  <m:rPr>
                    <m:sty m:val="p"/>
                  </m:rPr>
                  <m:t xml:space="preserve">  |  </m:t>
                </m:r>
                <m:sSub>
                  <m:e>
                    <m:r>
                      <m:rPr>
                        <m:sty m:val="i"/>
                      </m:rPr>
                      <m:t xml:space="preserve">1</m:t>
                    </m:r>
                  </m:e>
                  <m:sub>
                    <m:r>
                      <m:rPr>
                        <m:sty m:val="i"/>
                      </m:rPr>
                      <m:t xml:space="preserve">W</m:t>
                    </m:r>
                  </m:sub>
                </m:sSub>
                <m:r>
                  <m:rPr>
                    <m:sty m:val="i"/>
                  </m:rPr>
                  <m:t xml:space="preserve">(</m:t>
                </m:r>
                <m:sSub>
                  <m:e>
                    <m:r>
                      <m:rPr>
                        <m:sty m:val="i"/>
                      </m:rPr>
                      <m:t xml:space="preserve">x</m:t>
                    </m:r>
                  </m:e>
                  <m:sub>
                    <m:r>
                      <m:rPr>
                        <m:sty m:val="i"/>
                      </m:rPr>
                      <m:t xml:space="preserve">i−n+1</m:t>
                    </m:r>
                  </m:sub>
                </m:sSub>
                <m:r>
                  <m:rPr>
                    <m:sty m:val="p"/>
                  </m:rPr>
                  <m:t xml:space="preserve">) = ⋯ = </m:t>
                </m:r>
                <m:sSub>
                  <m:e>
                    <m:r>
                      <m:rPr>
                        <m:sty m:val="i"/>
                      </m:rPr>
                      <m:t xml:space="preserve">1</m:t>
                    </m:r>
                  </m:e>
                  <m:sub>
                    <m:r>
                      <m:rPr>
                        <m:sty m:val="i"/>
                      </m:rPr>
                      <m:t xml:space="preserve">W</m:t>
                    </m:r>
                  </m:sub>
                </m:sSub>
                <m:r>
                  <m:rPr>
                    <m:sty m:val="i"/>
                  </m:rPr>
                  <m:t xml:space="preserve">(</m:t>
                </m:r>
                <m:sSub>
                  <m:e>
                    <m:r>
                      <m:rPr>
                        <m:sty m:val="i"/>
                      </m:rPr>
                      <m:t xml:space="preserve">x</m:t>
                    </m:r>
                  </m:e>
                  <m:sub>
                    <m:r>
                      <m:rPr>
                        <m:sty m:val="i"/>
                      </m:rPr>
                      <m:t xml:space="preserve">i</m:t>
                    </m:r>
                  </m:sub>
                </m:sSub>
                <m:r>
                  <m:rPr>
                    <m:sty m:val="p"/>
                  </m:rPr>
                  <m:t xml:space="preserve">) = 1,  nΔt ≥ τ }</m:t>
                </m:r>
              </m:oMath>
            </m:oMathPara>
          </w:p>
        </w:tc>
        <w:tc>
          <w:tcPr>
            <w:tcW w:w="907" w:type="dxa"/>
          </w:tcPr>
          <w:p>
            <w:pPr>
              <w:ind w:firstLine="0"/>
              <w:jc w:val="right"/>
            </w:pPr>
            <w:r>
              <w:rPr>
                <w:rFonts w:ascii="Times New Roman" w:hAnsi="Times New Roman" w:eastAsia="SimSun"/>
                <w:b w:val="0"/>
                <w:i w:val="0"/>
                <w:sz w:val="22"/>
              </w:rPr>
              <w:t>(11)</w:t>
            </w:r>
          </w:p>
        </w:tc>
      </w:tr>
    </w:tbl>
    <w:p>
      <w:pPr>
        <w:spacing w:after="80" w:before="0"/>
        <w:ind w:firstLine="0"/>
      </w:pPr>
    </w:p>
    <w:p>
      <w:pPr>
        <w:spacing w:after="160" w:before="0" w:line="360" w:lineRule="auto"/>
        <w:ind w:firstLine="420"/>
        <w:jc w:val="both"/>
      </w:pPr>
      <w:r>
        <w:rPr>
          <w:rFonts w:ascii="Times New Roman" w:hAnsi="Times New Roman" w:eastAsia="SimSun"/>
          <w:b w:val="0"/>
          <w:i w:val="0"/>
          <w:sz w:val="22"/>
        </w:rPr>
        <w:t>The clock is accumulated campaign time, not wall-clock time. A campaign that records a first hit but never meets this sojourn is classified as transient-only.</w:t>
      </w:r>
    </w:p>
    <w:p>
      <w:pPr>
        <w:pStyle w:val="Heading2"/>
      </w:pPr>
      <w:r>
        <w:rPr>
          <w:rFonts w:ascii="Times New Roman" w:hAnsi="Times New Roman" w:eastAsia="SimSun"/>
          <w:color w:val="1A202C"/>
        </w:rPr>
        <w:t>2.13 Target-basin occupancy</w:t>
      </w:r>
    </w:p>
    <w:p>
      <w:pPr>
        <w:spacing w:after="160" w:before="0" w:line="360" w:lineRule="auto"/>
        <w:ind w:firstLine="420"/>
        <w:jc w:val="both"/>
      </w:pPr>
      <w:r>
        <w:rPr>
          <w:rFonts w:ascii="Times New Roman" w:hAnsi="Times New Roman" w:eastAsia="SimSun"/>
          <w:b w:val="0"/>
          <w:i w:val="0"/>
          <w:sz w:val="22"/>
        </w:rPr>
        <w:t>Target-basin occupancy is the fraction of the N pooled frames that lie in W over the full budget,</w:t>
      </w:r>
    </w:p>
    <w:tbl>
      <w:tblPr>
        <w:tblW w:type="auto" w:w="0"/>
        <w:jc w:val="center"/>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8278"/>
        <w:gridCol w:w="907"/>
      </w:tblGrid>
      <w:tr>
        <w:tc>
          <w:tcPr>
            <w:tcW w:w="8278" w:type="dxa"/>
          </w:tcPr>
          <w:p>
            <w:pPr>
              <w:ind w:firstLine="0"/>
              <w:jc w:val="center"/>
            </w:pPr>
            <m:oMathPara>
              <m:oMath>
                <m:sSub>
                  <m:e>
                    <m:r>
                      <m:rPr>
                        <m:sty m:val="i"/>
                      </m:rPr>
                      <m:t xml:space="preserve">f</m:t>
                    </m:r>
                  </m:e>
                  <m:sub>
                    <m:r>
                      <m:rPr>
                        <m:sty m:val="i"/>
                      </m:rPr>
                      <m:t xml:space="preserve">W</m:t>
                    </m:r>
                  </m:sub>
                </m:sSub>
                <m:r>
                  <m:rPr>
                    <m:sty m:val="p"/>
                  </m:rPr>
                  <m:t xml:space="preserve"> = </m:t>
                </m:r>
                <m:f>
                  <m:num>
                    <m:e>
                      <m:r>
                        <m:rPr>
                          <m:sty m:val="p"/>
                        </m:rPr>
                        <m:t xml:space="preserve">1</m:t>
                      </m:r>
                    </m:e>
                  </m:num>
                  <m:den>
                    <m:e>
                      <m:r>
                        <m:rPr>
                          <m:sty m:val="i"/>
                        </m:rPr>
                        <m:t xml:space="preserve">N</m:t>
                      </m:r>
                    </m:e>
                  </m:den>
                </m:f>
                <m:nary>
                  <m:naryPr>
                    <m:chr m:val="∑"/>
                    <m:limLoc m:val="undOvr"/>
                  </m:naryPr>
                  <m:sub>
                    <m:r>
                      <m:rPr>
                        <m:sty m:val="p"/>
                      </m:rPr>
                      <m:t xml:space="preserve">i = 1</m:t>
                    </m:r>
                  </m:sub>
                  <m:sup/>
                  <m:e>
                    <m:sSub>
                      <m:e>
                        <m:r>
                          <m:rPr>
                            <m:sty m:val="i"/>
                          </m:rPr>
                          <m:t xml:space="preserve">1</m:t>
                        </m:r>
                      </m:e>
                      <m:sub>
                        <m:r>
                          <m:rPr>
                            <m:sty m:val="i"/>
                          </m:rPr>
                          <m:t xml:space="preserve">W</m:t>
                        </m:r>
                      </m:sub>
                    </m:sSub>
                    <m:r>
                      <m:rPr>
                        <m:sty m:val="i"/>
                      </m:rPr>
                      <m:t xml:space="preserve">(</m:t>
                    </m:r>
                    <m:sSub>
                      <m:e>
                        <m:r>
                          <m:rPr>
                            <m:sty m:val="i"/>
                          </m:rPr>
                          <m:t xml:space="preserve">x</m:t>
                        </m:r>
                      </m:e>
                      <m:sub>
                        <m:r>
                          <m:rPr>
                            <m:sty m:val="i"/>
                          </m:rPr>
                          <m:t xml:space="preserve">i</m:t>
                        </m:r>
                      </m:sub>
                    </m:sSub>
                    <m:r>
                      <m:rPr>
                        <m:sty m:val="i"/>
                      </m:rPr>
                      <m:t xml:space="preserve">)</m:t>
                    </m:r>
                  </m:e>
                </m:nary>
              </m:oMath>
            </m:oMathPara>
          </w:p>
        </w:tc>
        <w:tc>
          <w:tcPr>
            <w:tcW w:w="907" w:type="dxa"/>
          </w:tcPr>
          <w:p>
            <w:pPr>
              <w:ind w:firstLine="0"/>
              <w:jc w:val="right"/>
            </w:pPr>
            <w:r>
              <w:rPr>
                <w:rFonts w:ascii="Times New Roman" w:hAnsi="Times New Roman" w:eastAsia="SimSun"/>
                <w:b w:val="0"/>
                <w:i w:val="0"/>
                <w:sz w:val="22"/>
              </w:rPr>
              <w:t>(12)</w:t>
            </w:r>
          </w:p>
        </w:tc>
      </w:tr>
    </w:tbl>
    <w:p>
      <w:pPr>
        <w:spacing w:after="80" w:before="0"/>
        <w:ind w:firstLine="0"/>
      </w:pPr>
    </w:p>
    <w:p>
      <w:pPr>
        <w:spacing w:after="160" w:before="0" w:line="360" w:lineRule="auto"/>
        <w:ind w:firstLine="420"/>
        <w:jc w:val="both"/>
      </w:pPr>
      <w:r>
        <w:rPr>
          <w:rFonts w:ascii="Times New Roman" w:hAnsi="Times New Roman" w:eastAsia="SimSun"/>
          <w:b w:val="0"/>
          <w:i w:val="0"/>
          <w:sz w:val="22"/>
        </w:rPr>
        <w:t>It measures persistent sampling after—or in the absence of—commitment, and is the quantity that distinguishes a brief encounter from continued exploration of the target state. Coverage of the 24 × 24 CV histogram is stored as an exploration diagnostic and is not used as a success criterion.</w:t>
      </w:r>
    </w:p>
    <w:p>
      <w:pPr>
        <w:pStyle w:val="Heading2"/>
      </w:pPr>
      <w:r>
        <w:rPr>
          <w:rFonts w:ascii="Times New Roman" w:hAnsi="Times New Roman" w:eastAsia="SimSun"/>
          <w:color w:val="1A202C"/>
        </w:rPr>
        <w:t>2.14 Statistical analysis</w:t>
      </w:r>
    </w:p>
    <w:p>
      <w:pPr>
        <w:spacing w:after="160" w:before="0" w:line="360" w:lineRule="auto"/>
        <w:ind w:firstLine="420"/>
        <w:jc w:val="both"/>
      </w:pPr>
      <w:r>
        <w:rPr>
          <w:rFonts w:ascii="Times New Roman" w:hAnsi="Times New Roman" w:eastAsia="SimSun"/>
          <w:b w:val="0"/>
          <w:i w:val="0"/>
          <w:sz w:val="22"/>
        </w:rPr>
        <w:t>Main comparisons use n = 3 independent adaptive campaigns per method and system. We report replicate counts (for example 3/3 committed), per-replicate hit and commit times, and median occupancy with the interquartile range. Ablation of objective combinations is n = 1 on AdK and MBP. Kaplan–Meier curves and bootstrap confidence intervals on time-to-commit can be computed from the replicate table in the Supporting Information without additional MD.</w:t>
      </w:r>
    </w:p>
    <w:p>
      <w:pPr>
        <w:pStyle w:val="Heading1"/>
      </w:pPr>
      <w:r>
        <w:rPr>
          <w:rFonts w:ascii="Times New Roman" w:hAnsi="Times New Roman" w:eastAsia="SimSun"/>
          <w:color w:val="1A202C"/>
        </w:rPr>
        <w:t>3. Results</w:t>
      </w:r>
    </w:p>
    <w:p>
      <w:pPr>
        <w:pStyle w:val="Heading2"/>
      </w:pPr>
      <w:r>
        <w:rPr>
          <w:rFonts w:ascii="Times New Roman" w:hAnsi="Times New Roman" w:eastAsia="SimSun"/>
          <w:color w:val="1A202C"/>
        </w:rPr>
        <w:t>3.1 First-hit detection does not establish successful target-state sampling</w:t>
      </w:r>
    </w:p>
    <w:p>
      <w:pPr>
        <w:spacing w:after="160" w:before="0" w:line="360" w:lineRule="auto"/>
        <w:ind w:firstLine="420"/>
        <w:jc w:val="both"/>
      </w:pPr>
      <w:r>
        <w:rPr>
          <w:rFonts w:ascii="Times New Roman" w:hAnsi="Times New Roman" w:eastAsia="SimSun"/>
          <w:b w:val="0"/>
          <w:i w:val="0"/>
          <w:sz w:val="22"/>
        </w:rPr>
        <w:t>The MOAS loop is summarized in Figure 1 so that later panels can be read against a single scoring diagram. An unbiased initialization fills the first pool. Each round scores candidate windows for novelty (inverse local density; Figure 1B), boundary (LAST-style frontier; Figure 1C), and target proximity (Figure 1D). The three scores are converted to percentile ranks and averaged (Figure 1E), and six seeds are accepted under a diversity constraint (Figure 1F). Short MD from those seeds updates the pool, and the cycle repeats to a fixed budget. The remainder of this subsection does not ask whether that mix already outperforms other methods. It asks whether first hit, as commonly reported, is a sufficient definition of success.</w:t>
      </w:r>
    </w:p>
    <w:p>
      <w:pPr>
        <w:spacing w:before="160" w:after="40"/>
        <w:ind w:firstLine="0"/>
        <w:jc w:val="center"/>
      </w:pPr>
      <w:r>
        <w:drawing>
          <wp:inline xmlns:a="http://schemas.openxmlformats.org/drawingml/2006/main" xmlns:pic="http://schemas.openxmlformats.org/drawingml/2006/picture">
            <wp:extent cx="5832000" cy="4034004"/>
            <wp:docPr id="1" name="Picture 1"/>
            <wp:cNvGraphicFramePr>
              <a:graphicFrameLocks noChangeAspect="1"/>
            </wp:cNvGraphicFramePr>
            <a:graphic>
              <a:graphicData uri="http://schemas.openxmlformats.org/drawingml/2006/picture">
                <pic:pic>
                  <pic:nvPicPr>
                    <pic:cNvPr id="0" name="fig1_workflow.png"/>
                    <pic:cNvPicPr/>
                  </pic:nvPicPr>
                  <pic:blipFill>
                    <a:blip r:embed="rId9"/>
                    <a:stretch>
                      <a:fillRect/>
                    </a:stretch>
                  </pic:blipFill>
                  <pic:spPr>
                    <a:xfrm>
                      <a:off x="0" y="0"/>
                      <a:ext cx="5832000" cy="4034004"/>
                    </a:xfrm>
                    <a:prstGeom prst="rect"/>
                  </pic:spPr>
                </pic:pic>
              </a:graphicData>
            </a:graphic>
          </wp:inline>
        </w:drawing>
      </w:r>
    </w:p>
    <w:p>
      <w:pPr>
        <w:spacing w:before="80" w:after="240" w:line="276" w:lineRule="auto"/>
        <w:ind w:firstLine="0"/>
        <w:jc w:val="both"/>
      </w:pPr>
      <w:r>
        <w:rPr>
          <w:rFonts w:ascii="Times New Roman" w:hAnsi="Times New Roman" w:eastAsia="SimSun"/>
          <w:b w:val="0"/>
          <w:i w:val="0"/>
          <w:sz w:val="20"/>
        </w:rPr>
        <w:t>Figure 1. MOAS workflow. (A) Iterative adaptive cycle. (B) Novelty: inverse local density, favoring poorly sampled configurations. (C) Boundary: LAST-style frontier of the visited cloud. (D) Target proximity: candidates near the predefined target basin. (E) Equal-percentile mixing of the three ranks. (F) Diversity-constrained selection of multiple seeds per round.</w:t>
      </w:r>
    </w:p>
    <w:p>
      <w:pPr>
        <w:spacing w:after="160" w:before="0" w:line="360" w:lineRule="auto"/>
        <w:ind w:firstLine="420"/>
        <w:jc w:val="both"/>
      </w:pPr>
      <w:r>
        <w:rPr>
          <w:rFonts w:ascii="Times New Roman" w:hAnsi="Times New Roman" w:eastAsia="SimSun"/>
          <w:b w:val="0"/>
          <w:i w:val="0"/>
          <w:sz w:val="22"/>
        </w:rPr>
        <w:t>CLN025 and AdK trajectories show that entering the target window is not the same as sampling the target state. On CLN025, TAPS reached the folded RMSD window in all three replicates (first hits 30.5, 31.6, and 51.6 ns) but committed in only 1/3, with median occupancy 0.24%. Rolling occupancy of the folded window remains a brief spike for TAPS, whereas LAST and MOAS accumulate longer folded sojourns (Figure 2A). kNN-AS likewise hit in 3/3 CLN025 campaigns and committed in only 1/3 (median occupancy 0.14%). Random sampling recorded two CLN025 hits and zero commits.</w:t>
      </w:r>
    </w:p>
    <w:p>
      <w:pPr>
        <w:spacing w:after="160" w:before="0" w:line="360" w:lineRule="auto"/>
        <w:ind w:firstLine="420"/>
        <w:jc w:val="both"/>
      </w:pPr>
      <w:r>
        <w:rPr>
          <w:rFonts w:ascii="Times New Roman" w:hAnsi="Times New Roman" w:eastAsia="SimSun"/>
          <w:b w:val="0"/>
          <w:i w:val="0"/>
          <w:sz w:val="22"/>
        </w:rPr>
        <w:t>The same dissociation is visible on AdK. Random seed 0 first entered the closed-angle window at 83.3 ns and never committed; rolling occupancy stayed near zero after that hit. MOAS on the same initialization established repeated closed-basin residence after commitment (Figure 2B). Across systems, an early first hit did not predict high occupancy: several LAST, least-counts, and kNN-AS campaigns hit and still finished below 1% occupancy (Figure 2C). Conversion of a hit into a committed visit was incomplete for those exploration-oriented runs and complete for MOAS among campaigns that hit (Figure 2D). A trajectory can therefore have a short first-hit time and essentially no useful target-state sampling. Subsequent sections score campaigns by committed visit and by target-basin occupancy, not by first hit alone.</w:t>
      </w:r>
    </w:p>
    <w:p>
      <w:pPr>
        <w:spacing w:before="160" w:after="40"/>
        <w:ind w:firstLine="0"/>
        <w:jc w:val="center"/>
      </w:pPr>
      <w:r>
        <w:drawing>
          <wp:inline xmlns:a="http://schemas.openxmlformats.org/drawingml/2006/main" xmlns:pic="http://schemas.openxmlformats.org/drawingml/2006/picture">
            <wp:extent cx="5832000" cy="4807785"/>
            <wp:docPr id="2" name="Picture 2"/>
            <wp:cNvGraphicFramePr>
              <a:graphicFrameLocks noChangeAspect="1"/>
            </wp:cNvGraphicFramePr>
            <a:graphic>
              <a:graphicData uri="http://schemas.openxmlformats.org/drawingml/2006/picture">
                <pic:pic>
                  <pic:nvPicPr>
                    <pic:cNvPr id="0" name="fig2_hit_vs_commit.png"/>
                    <pic:cNvPicPr/>
                  </pic:nvPicPr>
                  <pic:blipFill>
                    <a:blip r:embed="rId10"/>
                    <a:stretch>
                      <a:fillRect/>
                    </a:stretch>
                  </pic:blipFill>
                  <pic:spPr>
                    <a:xfrm>
                      <a:off x="0" y="0"/>
                      <a:ext cx="5832000" cy="4807785"/>
                    </a:xfrm>
                    <a:prstGeom prst="rect"/>
                  </pic:spPr>
                </pic:pic>
              </a:graphicData>
            </a:graphic>
          </wp:inline>
        </w:drawing>
      </w:r>
    </w:p>
    <w:p>
      <w:pPr>
        <w:spacing w:before="80" w:after="240" w:line="276" w:lineRule="auto"/>
        <w:ind w:firstLine="0"/>
        <w:jc w:val="both"/>
      </w:pPr>
      <w:r>
        <w:rPr>
          <w:rFonts w:ascii="Times New Roman" w:hAnsi="Times New Roman" w:eastAsia="SimSun"/>
          <w:b w:val="0"/>
          <w:i w:val="0"/>
          <w:sz w:val="20"/>
        </w:rPr>
        <w:t>Figure 2. First-hit detection does not establish successful target-state sampling. (A) CLN025 rolling occupancy of the folded window (2 ns kernel) for TAPS, LAST, and MOAS (seed 0). (B) AdK rolling closed occupancy: Random hits at 83 ns and escapes; MOAS remains in the basin. (C) First-hit time versus occupancy for all n = 3 campaigns; open symbols did not hit. (D) Fraction of hits that later committed. TAPS is shown only for CLN025.</w:t>
      </w:r>
    </w:p>
    <w:p>
      <w:pPr>
        <w:pStyle w:val="Heading2"/>
      </w:pPr>
      <w:r>
        <w:rPr>
          <w:rFonts w:ascii="Times New Roman" w:hAnsi="Times New Roman" w:eastAsia="SimSun"/>
          <w:color w:val="1A202C"/>
        </w:rPr>
        <w:t>3.2 MOAS enables committed sampling across distinct protein conformational transitions</w:t>
      </w:r>
    </w:p>
    <w:p>
      <w:pPr>
        <w:spacing w:after="160" w:before="0" w:line="360" w:lineRule="auto"/>
        <w:ind w:firstLine="420"/>
        <w:jc w:val="both"/>
      </w:pPr>
      <w:r>
        <w:rPr>
          <w:rFonts w:ascii="Times New Roman" w:hAnsi="Times New Roman" w:eastAsia="SimSun"/>
          <w:b w:val="0"/>
          <w:i w:val="0"/>
          <w:sz w:val="22"/>
        </w:rPr>
        <w:t>The evaluation criteria of Section 3.1 were applied to three conformational transitions of increasing scale: CLN025 folding from an unfolded start (82 ns budget; commit ≥ 40 ps in RMSD &lt; 0.25 nm), apo AdK open-to-closed (200 ns; both LID/NMP angles in the closed window ≥ 200 ps), and apo MBP domain closure (1 μs; domain distance and hinge angle in the closed window ≥ 200 ps). Each method used the same initialization, short-MD length, six seeds per round, and n = 3 independent campaigns (Table 2).</w:t>
      </w:r>
    </w:p>
    <w:p>
      <w:pPr>
        <w:spacing w:after="160" w:before="0" w:line="360" w:lineRule="auto"/>
        <w:ind w:firstLine="420"/>
        <w:jc w:val="both"/>
      </w:pPr>
      <w:r>
        <w:rPr>
          <w:rFonts w:ascii="Times New Roman" w:hAnsi="Times New Roman" w:eastAsia="SimSun"/>
          <w:b w:val="0"/>
          <w:i w:val="0"/>
          <w:sz w:val="22"/>
        </w:rPr>
        <w:t>Committed-replicate counts are summarized in Figure 3A–C. MOAS committed in 3/3 campaigns on every protein. Random committed in 0/9 campaigns. LAST committed in 3/3 CLN025 runs, 0/3 AdK runs, and 1/3 MBP runs. Least-counts committed in 3/3, 2/3, and 1/3. kNN-AS committed in 1/3, 1/3, and 2/3. Per-replicate outcomes (committed, hit-only, or no hit) are shown in Figure 3F. The pattern is not that MOAS is always the first to hit, but that it is the only method that recorded a committed visit on every replicate of every transition.</w:t>
      </w:r>
    </w:p>
    <w:p>
      <w:pPr>
        <w:spacing w:after="160" w:before="0" w:line="360" w:lineRule="auto"/>
        <w:ind w:firstLine="420"/>
        <w:jc w:val="both"/>
      </w:pPr>
      <w:r>
        <w:rPr>
          <w:rFonts w:ascii="Times New Roman" w:hAnsi="Times New Roman" w:eastAsia="SimSun"/>
          <w:b w:val="0"/>
          <w:i w:val="0"/>
          <w:sz w:val="22"/>
        </w:rPr>
        <w:t>Among campaigns that committed, median times to commitment were 36.1 ns for MOAS on CLN025 (LAST 46.4 ns; least-counts 68.6 ns), 105.7 ns on AdK, and 442.8 ns on MBP (Figure 3D). On MBP, kNN-AS committed later (median 705 ns) and LAST’s single success was at 320 ns. Target-basin occupancy for all replicates is shown in Figure 3E and is examined in Section 3.3; it is included here so that commitment and residence can be read on the same campaign set.</w:t>
      </w:r>
    </w:p>
    <w:p>
      <w:pPr>
        <w:spacing w:before="160" w:after="40"/>
        <w:ind w:firstLine="0"/>
        <w:jc w:val="center"/>
      </w:pPr>
      <w:r>
        <w:drawing>
          <wp:inline xmlns:a="http://schemas.openxmlformats.org/drawingml/2006/main" xmlns:pic="http://schemas.openxmlformats.org/drawingml/2006/picture">
            <wp:extent cx="5832000" cy="4856092"/>
            <wp:docPr id="3" name="Picture 3"/>
            <wp:cNvGraphicFramePr>
              <a:graphicFrameLocks noChangeAspect="1"/>
            </wp:cNvGraphicFramePr>
            <a:graphic>
              <a:graphicData uri="http://schemas.openxmlformats.org/drawingml/2006/picture">
                <pic:pic>
                  <pic:nvPicPr>
                    <pic:cNvPr id="0" name="fig3_benchmark.png"/>
                    <pic:cNvPicPr/>
                  </pic:nvPicPr>
                  <pic:blipFill>
                    <a:blip r:embed="rId11"/>
                    <a:stretch>
                      <a:fillRect/>
                    </a:stretch>
                  </pic:blipFill>
                  <pic:spPr>
                    <a:xfrm>
                      <a:off x="0" y="0"/>
                      <a:ext cx="5832000" cy="4856092"/>
                    </a:xfrm>
                    <a:prstGeom prst="rect"/>
                  </pic:spPr>
                </pic:pic>
              </a:graphicData>
            </a:graphic>
          </wp:inline>
        </w:drawing>
      </w:r>
    </w:p>
    <w:p>
      <w:pPr>
        <w:spacing w:before="80" w:after="240" w:line="276" w:lineRule="auto"/>
        <w:ind w:firstLine="0"/>
        <w:jc w:val="both"/>
      </w:pPr>
      <w:r>
        <w:rPr>
          <w:rFonts w:ascii="Times New Roman" w:hAnsi="Times New Roman" w:eastAsia="SimSun"/>
          <w:b w:val="0"/>
          <w:i w:val="0"/>
          <w:sz w:val="20"/>
        </w:rPr>
        <w:t>Figure 3. MOAS enables committed sampling across distinct protein conformational transitions (n = 3). (A–C) Number of committed replicates on CLN025, AdK, and MBP. (D) Time to committed visit (log scale); × marks campaigns that never committed (plotted at the budget). (E) Target-basin occupancy. (F) Per-replicate outcome: C, committed; H, hit only; —, no hit.</w:t>
      </w:r>
    </w:p>
    <w:p>
      <w:pPr>
        <w:pStyle w:val="Heading2"/>
      </w:pPr>
      <w:r>
        <w:rPr>
          <w:rFonts w:ascii="Times New Roman" w:hAnsi="Times New Roman" w:eastAsia="SimSun"/>
          <w:color w:val="1A202C"/>
        </w:rPr>
        <w:t>3.3 Committed visits are associated with sustained target-basin occupancy</w:t>
      </w:r>
    </w:p>
    <w:p>
      <w:pPr>
        <w:spacing w:after="160" w:before="0" w:line="360" w:lineRule="auto"/>
        <w:ind w:firstLine="420"/>
        <w:jc w:val="both"/>
      </w:pPr>
      <w:r>
        <w:rPr>
          <w:rFonts w:ascii="Times New Roman" w:hAnsi="Times New Roman" w:eastAsia="SimSun"/>
          <w:b w:val="0"/>
          <w:i w:val="0"/>
          <w:sz w:val="22"/>
        </w:rPr>
        <w:t>Section 3.2 established that a committed visit occurred. This section asks whether that visit is associated with more useful sampling of the target basin, as opposed to a single qualifying sojourn followed by escape. Occupancy is the fraction of the full budget spent inside the target window.</w:t>
      </w:r>
    </w:p>
    <w:p>
      <w:pPr>
        <w:spacing w:after="160" w:before="0" w:line="360" w:lineRule="auto"/>
        <w:ind w:firstLine="420"/>
        <w:jc w:val="both"/>
      </w:pPr>
      <w:r>
        <w:rPr>
          <w:rFonts w:ascii="Times New Roman" w:hAnsi="Times New Roman" w:eastAsia="SimSun"/>
          <w:b w:val="0"/>
          <w:i w:val="0"/>
          <w:sz w:val="22"/>
        </w:rPr>
        <w:t>Median occupancies for MOAS were 5.25% on CLN025 (IQR 4.65–6.02), 14.85% on AdK (IQR 7.78–21.34), and 37.15% on MBP (IQR 32.78–39.63), with the three replicates shown as points in Figure 4A–C. The AdK MOAS replicate that committed only at 192 ns remained at 0.72% occupancy: commitment without large occupancy is possible, which is why the two quantities are reported separately. LAST’s CLN025 occupancy median was 1.66%; its MBP median was 0.02%, despite one replicate that reached 26% after committing. kNN-AS medians were 0.14%, ~0%, and 0.14% on the three systems.</w:t>
      </w:r>
    </w:p>
    <w:p>
      <w:pPr>
        <w:spacing w:after="160" w:before="0" w:line="360" w:lineRule="auto"/>
        <w:ind w:firstLine="420"/>
        <w:jc w:val="both"/>
      </w:pPr>
      <w:r>
        <w:rPr>
          <w:rFonts w:ascii="Times New Roman" w:hAnsi="Times New Roman" w:eastAsia="SimSun"/>
          <w:b w:val="0"/>
          <w:i w:val="0"/>
          <w:sz w:val="22"/>
        </w:rPr>
        <w:t>CV densities show where that occupancy sits. On AdK, MOAS accumulates density inside the closed LID–NMP window, whereas LAST remains in the open cloud (Figure 4D). On MBP, MOAS occupies the closed domain-distance / hinge-angle basin; LAST density stays near the open reference (Figure 4E). Restricting the comparison to campaigns that recorded a first hit does not remove the occupancy gap (Figure 4F). Hitting the window is therefore not the event that distinguishes the methods; remaining in the basin is. We describe this as an association between committed visits and sustained occupancy, not as a claim that commitment causally produces occupancy in the absence of further analysis.</w:t>
      </w:r>
    </w:p>
    <w:p>
      <w:pPr>
        <w:spacing w:before="160" w:after="40"/>
        <w:ind w:firstLine="0"/>
        <w:jc w:val="center"/>
      </w:pPr>
      <w:r>
        <w:drawing>
          <wp:inline xmlns:a="http://schemas.openxmlformats.org/drawingml/2006/main" xmlns:pic="http://schemas.openxmlformats.org/drawingml/2006/picture">
            <wp:extent cx="5832000" cy="4406780"/>
            <wp:docPr id="4" name="Picture 4"/>
            <wp:cNvGraphicFramePr>
              <a:graphicFrameLocks noChangeAspect="1"/>
            </wp:cNvGraphicFramePr>
            <a:graphic>
              <a:graphicData uri="http://schemas.openxmlformats.org/drawingml/2006/picture">
                <pic:pic>
                  <pic:nvPicPr>
                    <pic:cNvPr id="0" name="fig4_occupancy.png"/>
                    <pic:cNvPicPr/>
                  </pic:nvPicPr>
                  <pic:blipFill>
                    <a:blip r:embed="rId12"/>
                    <a:stretch>
                      <a:fillRect/>
                    </a:stretch>
                  </pic:blipFill>
                  <pic:spPr>
                    <a:xfrm>
                      <a:off x="0" y="0"/>
                      <a:ext cx="5832000" cy="4406780"/>
                    </a:xfrm>
                    <a:prstGeom prst="rect"/>
                  </pic:spPr>
                </pic:pic>
              </a:graphicData>
            </a:graphic>
          </wp:inline>
        </w:drawing>
      </w:r>
    </w:p>
    <w:p>
      <w:pPr>
        <w:spacing w:before="80" w:after="240" w:line="276" w:lineRule="auto"/>
        <w:ind w:firstLine="0"/>
        <w:jc w:val="both"/>
      </w:pPr>
      <w:r>
        <w:rPr>
          <w:rFonts w:ascii="Times New Roman" w:hAnsi="Times New Roman" w:eastAsia="SimSun"/>
          <w:b w:val="0"/>
          <w:i w:val="0"/>
          <w:sz w:val="20"/>
        </w:rPr>
        <w:t>Figure 4. Committed visits are associated with sustained target-basin occupancy. (A–C) Median occupancy (bars) with three independent replicates (points). (D) AdK LID–NMP density for LAST (blue) and MOAS (red); dashed lines mark the closed window. (E) Analogous MBP domain-distance / hinge-angle density. (F) Occupancy restricted to campaigns that recorded a first hit.</w:t>
      </w:r>
    </w:p>
    <w:p>
      <w:pPr>
        <w:pStyle w:val="Heading2"/>
      </w:pPr>
      <w:r>
        <w:rPr>
          <w:rFonts w:ascii="Times New Roman" w:hAnsi="Times New Roman" w:eastAsia="SimSun"/>
          <w:color w:val="1A202C"/>
        </w:rPr>
        <w:t>3.4 Contribution of individual objectives to MOAS sampling behavior</w:t>
      </w:r>
    </w:p>
    <w:p>
      <w:pPr>
        <w:spacing w:after="160" w:before="0" w:line="360" w:lineRule="auto"/>
        <w:ind w:firstLine="420"/>
        <w:jc w:val="both"/>
      </w:pPr>
      <w:r>
        <w:rPr>
          <w:rFonts w:ascii="Times New Roman" w:hAnsi="Times New Roman" w:eastAsia="SimSun"/>
          <w:b w:val="0"/>
          <w:i w:val="0"/>
          <w:sz w:val="22"/>
        </w:rPr>
        <w:t>The preceding sections report full MOAS. Here the three scores are switched on or off under the same AdK and MBP budgets (n = 1) to describe their relative contribution, not to prove that every term is indispensable. Full MOAS is the already completed static campaign and was not rerun.</w:t>
      </w:r>
    </w:p>
    <w:p>
      <w:pPr>
        <w:spacing w:after="160" w:before="0" w:line="360" w:lineRule="auto"/>
        <w:ind w:firstLine="420"/>
        <w:jc w:val="both"/>
      </w:pPr>
      <w:r>
        <w:rPr>
          <w:rFonts w:ascii="Times New Roman" w:hAnsi="Times New Roman" w:eastAsia="SimSun"/>
          <w:b w:val="0"/>
          <w:i w:val="0"/>
          <w:sz w:val="22"/>
        </w:rPr>
        <w:t>On AdK, novelty only and boundary only each hit the closed window (108 ns and 174 ns) and did not commit (occupancy 0.27% and 0.32%). Novelty+boundary never hit. Target only committed at 92 ns with 16.8% occupancy; novelty+target committed at 92 ns with 17.9%; boundary+target committed at 144 ns with 5.0%; full MOAS committed at 103 ns with 14.8% (Figure 5A, B). Target proximity is therefore strongly associated with commitment on this protein. Adding novelty or boundary to target changes occupancy more than it changes the binary commit call; novelty+target is slightly above full MOAS in occupancy in this single replicate, so equal three-term mixing is not claimed to be uniquely optimal.</w:t>
      </w:r>
    </w:p>
    <w:p>
      <w:pPr>
        <w:spacing w:after="160" w:before="0" w:line="360" w:lineRule="auto"/>
        <w:ind w:firstLine="420"/>
        <w:jc w:val="both"/>
      </w:pPr>
      <w:r>
        <w:rPr>
          <w:rFonts w:ascii="Times New Roman" w:hAnsi="Times New Roman" w:eastAsia="SimSun"/>
          <w:b w:val="0"/>
          <w:i w:val="0"/>
          <w:sz w:val="22"/>
        </w:rPr>
        <w:t>On MBP, novelty only and novelty+boundary never hit. Boundary only committed (417 ns, 6.0% occupancy). Target only committed late (731 ns, 3.8%). Novelty+target hit at 561 ns and committed only at 964 ns, with 0.36% occupancy. Boundary+target hit at 849 ns and did not commit (occupancy ~0%). Full MOAS committed at 443 ns with 28.4% occupancy (Figure 5C, D). No single- or two-term mix matches that occupancy. Exploration without a target term either fails to hit or, if it commits, occupies far less of the 1 μs budget than the three-term mix; a target term without the full exploration mix can convert an encounter into a late commit and still leave almost no ensemble in the closed basin. The two classes of term are complementary on this larger transition.</w:t>
      </w:r>
    </w:p>
    <w:p>
      <w:pPr>
        <w:spacing w:before="160" w:after="40"/>
        <w:ind w:firstLine="0"/>
        <w:jc w:val="center"/>
      </w:pPr>
      <w:r>
        <w:drawing>
          <wp:inline xmlns:a="http://schemas.openxmlformats.org/drawingml/2006/main" xmlns:pic="http://schemas.openxmlformats.org/drawingml/2006/picture">
            <wp:extent cx="5832000" cy="4331506"/>
            <wp:docPr id="5" name="Picture 5"/>
            <wp:cNvGraphicFramePr>
              <a:graphicFrameLocks noChangeAspect="1"/>
            </wp:cNvGraphicFramePr>
            <a:graphic>
              <a:graphicData uri="http://schemas.openxmlformats.org/drawingml/2006/picture">
                <pic:pic>
                  <pic:nvPicPr>
                    <pic:cNvPr id="0" name="fig5_ablation.png"/>
                    <pic:cNvPicPr/>
                  </pic:nvPicPr>
                  <pic:blipFill>
                    <a:blip r:embed="rId13"/>
                    <a:stretch>
                      <a:fillRect/>
                    </a:stretch>
                  </pic:blipFill>
                  <pic:spPr>
                    <a:xfrm>
                      <a:off x="0" y="0"/>
                      <a:ext cx="5832000" cy="4331506"/>
                    </a:xfrm>
                    <a:prstGeom prst="rect"/>
                  </pic:spPr>
                </pic:pic>
              </a:graphicData>
            </a:graphic>
          </wp:inline>
        </w:drawing>
      </w:r>
    </w:p>
    <w:p>
      <w:pPr>
        <w:spacing w:before="80" w:after="240" w:line="276" w:lineRule="auto"/>
        <w:ind w:firstLine="0"/>
        <w:jc w:val="both"/>
      </w:pPr>
      <w:r>
        <w:rPr>
          <w:rFonts w:ascii="Times New Roman" w:hAnsi="Times New Roman" w:eastAsia="SimSun"/>
          <w:b w:val="0"/>
          <w:i w:val="0"/>
          <w:sz w:val="20"/>
        </w:rPr>
        <w:t>Figure 5. Contribution of individual MOAS objectives (n = 1). (A) AdK committed visit. (B) AdK time to commit and occupancy; × indicates no commit. (C–D) MBP commitment and occupancy.</w:t>
      </w:r>
    </w:p>
    <w:p>
      <w:pPr>
        <w:spacing w:after="160" w:before="0" w:line="360" w:lineRule="auto"/>
        <w:ind w:firstLine="420"/>
        <w:jc w:val="both"/>
      </w:pPr>
      <w:r>
        <w:rPr>
          <w:rFonts w:ascii="Times New Roman" w:hAnsi="Times New Roman" w:eastAsia="SimSun"/>
          <w:b w:val="0"/>
          <w:i w:val="0"/>
          <w:sz w:val="22"/>
        </w:rPr>
        <w:t>Seed locations versus round number on AdK show how that mix is used over time (Figure 6). Random and LAST seeds remain in the open LID–NMP cloud through late rounds. kNN-AS explores a wide frontier but does not concentrate in the closed window. MOAS seeds start in the open cloud (early rounds) and later rounds occupy the closed quadrant, coinciding with the rise in rolling occupancy in Figure 2B. The algorithm therefore spends early rounds on exploration and later rounds on target-directed sampling, rather than performing a pure first-passage search.</w:t>
      </w:r>
    </w:p>
    <w:p>
      <w:pPr>
        <w:spacing w:before="160" w:after="40"/>
        <w:ind w:firstLine="0"/>
        <w:jc w:val="center"/>
      </w:pPr>
      <w:r>
        <w:drawing>
          <wp:inline xmlns:a="http://schemas.openxmlformats.org/drawingml/2006/main" xmlns:pic="http://schemas.openxmlformats.org/drawingml/2006/picture">
            <wp:extent cx="5832000" cy="4430557"/>
            <wp:docPr id="6" name="Picture 6"/>
            <wp:cNvGraphicFramePr>
              <a:graphicFrameLocks noChangeAspect="1"/>
            </wp:cNvGraphicFramePr>
            <a:graphic>
              <a:graphicData uri="http://schemas.openxmlformats.org/drawingml/2006/picture">
                <pic:pic>
                  <pic:nvPicPr>
                    <pic:cNvPr id="0" name="fig6_seeds.png"/>
                    <pic:cNvPicPr/>
                  </pic:nvPicPr>
                  <pic:blipFill>
                    <a:blip r:embed="rId14"/>
                    <a:stretch>
                      <a:fillRect/>
                    </a:stretch>
                  </pic:blipFill>
                  <pic:spPr>
                    <a:xfrm>
                      <a:off x="0" y="0"/>
                      <a:ext cx="5832000" cy="4430557"/>
                    </a:xfrm>
                    <a:prstGeom prst="rect"/>
                  </pic:spPr>
                </pic:pic>
              </a:graphicData>
            </a:graphic>
          </wp:inline>
        </w:drawing>
      </w:r>
    </w:p>
    <w:p>
      <w:pPr>
        <w:spacing w:before="80" w:after="240" w:line="276" w:lineRule="auto"/>
        <w:ind w:firstLine="0"/>
        <w:jc w:val="both"/>
      </w:pPr>
      <w:r>
        <w:rPr>
          <w:rFonts w:ascii="Times New Roman" w:hAnsi="Times New Roman" w:eastAsia="SimSun"/>
          <w:b w:val="0"/>
          <w:i w:val="0"/>
          <w:sz w:val="20"/>
        </w:rPr>
        <w:t>Figure 6. Seed selection in AdK CV space. Hexbin: sampled density. Points: selected seeds colored by round (blue early, red late). Dashed lines: closed window. Only MOAS migrates seeds into the closed basin in later rounds.</w:t>
      </w:r>
    </w:p>
    <w:p>
      <w:pPr>
        <w:pStyle w:val="Heading2"/>
      </w:pPr>
      <w:r>
        <w:rPr>
          <w:rFonts w:ascii="Times New Roman" w:hAnsi="Times New Roman" w:eastAsia="SimSun"/>
          <w:color w:val="1A202C"/>
        </w:rPr>
        <w:t>3.5 Exploration coverage and target-state occupancy represent complementary sampling objectives</w:t>
      </w:r>
    </w:p>
    <w:p>
      <w:pPr>
        <w:spacing w:after="160" w:before="0" w:line="360" w:lineRule="auto"/>
        <w:ind w:firstLine="420"/>
        <w:jc w:val="both"/>
      </w:pPr>
      <w:r>
        <w:rPr>
          <w:rFonts w:ascii="Times New Roman" w:hAnsi="Times New Roman" w:eastAsia="SimSun"/>
          <w:b w:val="0"/>
          <w:i w:val="0"/>
          <w:sz w:val="22"/>
        </w:rPr>
        <w:t>Figure 7 places every n = 3 campaign on two axes: the filled fraction of a 24 × 24 CV histogram (coverage) and target-basin occupancy. LAST, kNN-AS, and least-counts occupy the high-coverage, low-occupancy region on AdK and MBP. MOAS occupies the high-occupancy side at comparable or slightly lower coverage. CLN025 coverage is compressed for all methods because the peptide fills few bins of the same 24 × 24 grid; occupancy still separates MOAS from the others. The two axes are different sampling objectives, not proxies for one another.</w:t>
      </w:r>
    </w:p>
    <w:p>
      <w:pPr>
        <w:spacing w:after="160" w:before="0" w:line="360" w:lineRule="auto"/>
        <w:ind w:firstLine="420"/>
        <w:jc w:val="both"/>
      </w:pPr>
      <w:r>
        <w:rPr>
          <w:rFonts w:ascii="Times New Roman" w:hAnsi="Times New Roman" w:eastAsia="SimSun"/>
          <w:b w:val="0"/>
          <w:i w:val="0"/>
          <w:sz w:val="22"/>
        </w:rPr>
        <w:t>Exploration-oriented methods and MOAS can therefore be compared in one frame without treating either axis as a universal score. If the scientific question is whether new conformational space was visited, coverage and frontier scores remain appropriate. If the question is whether a predefined target state was established as a sampled basin, committed visit and occupancy are the relevant endpoints. Adaptive sampling should be evaluated not only by how much of conformational space is explored, but also by whether the intended target state is sampled in a committed and sustained manner.</w:t>
      </w:r>
    </w:p>
    <w:p>
      <w:pPr>
        <w:spacing w:before="160" w:after="40"/>
        <w:ind w:firstLine="0"/>
        <w:jc w:val="center"/>
      </w:pPr>
      <w:r>
        <w:drawing>
          <wp:inline xmlns:a="http://schemas.openxmlformats.org/drawingml/2006/main" xmlns:pic="http://schemas.openxmlformats.org/drawingml/2006/picture">
            <wp:extent cx="5832000" cy="5007412"/>
            <wp:docPr id="7" name="Picture 7"/>
            <wp:cNvGraphicFramePr>
              <a:graphicFrameLocks noChangeAspect="1"/>
            </wp:cNvGraphicFramePr>
            <a:graphic>
              <a:graphicData uri="http://schemas.openxmlformats.org/drawingml/2006/picture">
                <pic:pic>
                  <pic:nvPicPr>
                    <pic:cNvPr id="0" name="fig7_explore_vs_target.png"/>
                    <pic:cNvPicPr/>
                  </pic:nvPicPr>
                  <pic:blipFill>
                    <a:blip r:embed="rId15"/>
                    <a:stretch>
                      <a:fillRect/>
                    </a:stretch>
                  </pic:blipFill>
                  <pic:spPr>
                    <a:xfrm>
                      <a:off x="0" y="0"/>
                      <a:ext cx="5832000" cy="5007412"/>
                    </a:xfrm>
                    <a:prstGeom prst="rect"/>
                  </pic:spPr>
                </pic:pic>
              </a:graphicData>
            </a:graphic>
          </wp:inline>
        </w:drawing>
      </w:r>
    </w:p>
    <w:p>
      <w:pPr>
        <w:spacing w:before="80" w:after="240" w:line="276" w:lineRule="auto"/>
        <w:ind w:firstLine="0"/>
        <w:jc w:val="both"/>
      </w:pPr>
      <w:r>
        <w:rPr>
          <w:rFonts w:ascii="Times New Roman" w:hAnsi="Times New Roman" w:eastAsia="SimSun"/>
          <w:b w:val="0"/>
          <w:i w:val="0"/>
          <w:sz w:val="20"/>
        </w:rPr>
        <w:t>Figure 7. Exploration coverage and target-state occupancy are complementary sampling objectives. Each point is one n = 3 campaign. Coverage is the filled fraction of a 24 × 24 CV histogram. Occupancy is the target-window fraction. MOAS separates on the occupancy axis; LAST, kNN-AS, and least-counts separate on coverage for AdK and MBP.</w:t>
      </w:r>
    </w:p>
    <w:p>
      <w:pPr>
        <w:pStyle w:val="Heading1"/>
      </w:pPr>
      <w:r>
        <w:rPr>
          <w:rFonts w:ascii="Times New Roman" w:hAnsi="Times New Roman" w:eastAsia="SimSun"/>
          <w:color w:val="1A202C"/>
        </w:rPr>
        <w:t>4. Discussion</w:t>
      </w:r>
    </w:p>
    <w:p>
      <w:pPr>
        <w:spacing w:after="160" w:before="0" w:line="360" w:lineRule="auto"/>
        <w:ind w:firstLine="420"/>
        <w:jc w:val="both"/>
      </w:pPr>
      <w:r>
        <w:rPr>
          <w:rFonts w:ascii="Times New Roman" w:hAnsi="Times New Roman" w:eastAsia="SimSun"/>
          <w:b w:val="0"/>
          <w:i w:val="0"/>
          <w:sz w:val="22"/>
        </w:rPr>
        <w:t>Adaptive sampling is usually discussed in terms of first-hit time, state discovery, and conformational coverage. Those quantities answer where a trajectory went and how soon it touched a labeled region. For protein transitions that terminate in a metastable basin, however, entering the target window once does not mean that the target state has been sampled. Figure 2 shows campaigns that reach the window early, leave it, and finish with essentially no target-basin occupancy. The useful distinction is therefore among an encounter, a commitment, and sustained occupancy. First-hit time is useful for characterizing target encounters, but it is insufficient as a standalone measure of successful target-state sampling. When the scientific aim is an ensemble of the target conformation, success has to include both whether the window was entered and whether sampling continued after that entry. That two-level reading is the evaluation framework used in this paper.</w:t>
      </w:r>
    </w:p>
    <w:p>
      <w:pPr>
        <w:spacing w:after="160" w:before="0" w:line="360" w:lineRule="auto"/>
        <w:ind w:firstLine="420"/>
        <w:jc w:val="both"/>
      </w:pPr>
      <w:r>
        <w:rPr>
          <w:rFonts w:ascii="Times New Roman" w:hAnsi="Times New Roman" w:eastAsia="SimSun"/>
          <w:b w:val="0"/>
          <w:i w:val="0"/>
          <w:sz w:val="22"/>
        </w:rPr>
        <w:t>MOAS is designed to convert those transient encounters into committed sampling, not by searching more aggressively for the target, but by keeping three incommensurate aims in play at once (Figures 3–6). Novelty penalizes seeds that sit in already well-sampled regions. Boundary, in the LAST sense, pushes the trajectory cloud into new conformational territory. Target proximity keeps later rounds from remaining indefinitely far from the basin of interest. The three scores are not a union of three “high-score patches”: percentile normalization maps each raw scale onto a relative rank so that a dense-cloud term, a frontier term, and a distance-to-target term can be mixed without one unit dominating the others. Figure 6 shows how that mix is used over time. Early rounds place seeds where novelty and boundary are high and the cloud is still in the open or unfolded region. As configurations approach the target, the target-proximity rank of those candidates rises, and seed selection migrates toward the basin. The mechanism is therefore a dynamic balance between exploration and target-directed sampling. That balance also explains a pattern in the ablation: a target-only score can reach the window on some systems, and novelty plus target can convert a late MBP encounter into a commit, yet the full mix is associated with higher occupancy, because exploration terms continue to supply new approaches to the basin rather than locking onto the first contact.</w:t>
      </w:r>
    </w:p>
    <w:p>
      <w:pPr>
        <w:spacing w:after="160" w:before="0" w:line="360" w:lineRule="auto"/>
        <w:ind w:firstLine="420"/>
        <w:jc w:val="both"/>
      </w:pPr>
      <w:r>
        <w:rPr>
          <w:rFonts w:ascii="Times New Roman" w:hAnsi="Times New Roman" w:eastAsia="SimSun"/>
          <w:b w:val="0"/>
          <w:i w:val="0"/>
          <w:sz w:val="22"/>
        </w:rPr>
        <w:t>The comparison with existing methods is then a comparison of sampling objectives, not a claim that MOAS supersedes them. Random supplies an unbiased restart baseline and carries no conformational preference. Least-counts prefers under-sampled histogram bins. LAST emphasizes the frontier of the visited cloud. kNN-AS uses local neighborhood structure in a low-density construction to the same exploratory end. All four implement exploration-oriented seed selection. They are well posed for the question “where has the trajectory not yet been?” The present results indicate that that question is not the same as “where is the target metastable basin?” An exploration objective is not a target-state sampling objective. MOAS adds a target-directed term while retaining novelty and boundary, so it does not abandon exploration. It extends exploration-oriented adaptive sampling toward target-state stabilization. Figure 7 makes the same point geometrically: coverage and occupancy separate campaigns along different axes and should be read as complementary metrics, not as interchangeable summaries of a single performance score.</w:t>
      </w:r>
    </w:p>
    <w:p>
      <w:pPr>
        <w:spacing w:after="160" w:before="0" w:line="360" w:lineRule="auto"/>
        <w:ind w:firstLine="420"/>
        <w:jc w:val="both"/>
      </w:pPr>
      <w:r>
        <w:rPr>
          <w:rFonts w:ascii="Times New Roman" w:hAnsi="Times New Roman" w:eastAsia="SimSun"/>
          <w:b w:val="0"/>
          <w:i w:val="0"/>
          <w:sz w:val="22"/>
        </w:rPr>
        <w:t>Committed sampling is therefore offered as an evaluation framework, not only as a score on three proteins. It is aimed at problems in which a metastable ensemble is the object of interest: protein conformational transitions, ligand-induced shifts, enzyme open/closed cycles, functional states of membrane proteins, particular basins of intrinsically disordered proteins, and other rare-event settings where a labeled target state must be accumulated rather than merely touched. Target-state sampling should be evaluated at two levels: discovery and stabilization. Discovery corresponds to first hit; stabilization corresponds to a committed visit and to subsequent ensemble accumulation. The commitment time itself is not a universal constant. The 40 ps sojourn used for CLN025 and the 200 ps sojourn used for AdK and MBP are not a contradiction; they follow from the kinetic scale of each system. A commitment criterion should be system-specific and physically motivated, then held fixed across methods so that the comparison remains a comparison of sampling, not of thresholds.</w:t>
      </w:r>
    </w:p>
    <w:p>
      <w:pPr>
        <w:spacing w:after="160" w:before="0" w:line="360" w:lineRule="auto"/>
        <w:ind w:firstLine="420"/>
        <w:jc w:val="both"/>
      </w:pPr>
      <w:r>
        <w:rPr>
          <w:rFonts w:ascii="Times New Roman" w:hAnsi="Times New Roman" w:eastAsia="SimSun"/>
          <w:b w:val="0"/>
          <w:i w:val="0"/>
          <w:sz w:val="22"/>
        </w:rPr>
        <w:t>Several limits follow directly from that framing. First, MOAS assumes a predefined target basin in CV space, so it is a target-directed method rather than a procedure for discovering unknown states. Automated recognition of metastable basins would widen its scope. Second, the CVs used here—Cα-RMSD and Rg for CLN025, LID/NMP angles for AdK, domain distance and hinge angle for MBP—are still chosen by the investigator. Performance may depend on whether those coordinates resolve the relevant transition. Learned representations (time-lagged or variational autoencoders, graph embeddings, Koopman or TICA-type features) are a natural next step. Third, equal one-third weights on novelty, boundary, and target are a transparent, reproducible baseline, not a claim of optimality across proteins. Adaptive weights that respond to sampling stage, uncertainty, target distance, occupancy, or redundancy among objectives remain open. Fourth, the study comprises three proteins, n = 3 campaigns per main-text method, and n = 1 ablation runs. That design is sufficient to show consistent behavior and methodological feasibility; it is not sufficient for a general statistical conclusion. Larger replicate sets, a broader range of protein classes, and a standardized committed-sampling benchmark would be required before the framework can be treated as universal.</w:t>
      </w:r>
    </w:p>
    <w:p>
      <w:pPr>
        <w:pStyle w:val="Heading1"/>
      </w:pPr>
      <w:r>
        <w:rPr>
          <w:rFonts w:ascii="Times New Roman" w:hAnsi="Times New Roman" w:eastAsia="SimSun"/>
          <w:color w:val="1A202C"/>
        </w:rPr>
        <w:t>5. Conclusions</w:t>
      </w:r>
    </w:p>
    <w:p>
      <w:pPr>
        <w:spacing w:after="160" w:before="0" w:line="360" w:lineRule="auto"/>
        <w:ind w:firstLine="420"/>
        <w:jc w:val="both"/>
      </w:pPr>
      <w:r>
        <w:rPr>
          <w:rFonts w:ascii="Times New Roman" w:hAnsi="Times New Roman" w:eastAsia="SimSun"/>
          <w:b w:val="0"/>
          <w:i w:val="0"/>
          <w:sz w:val="22"/>
        </w:rPr>
        <w:t>First hit should not be treated as sufficient evidence of successful adaptive sampling of a rare conformational state: a trajectory can encounter a target window and leave without establishing that basin as a sampled ensemble. MOAS addresses that gap by ranking seeds on novelty, boundary exploration, and target proximity, mixed by equal percentile ranks and subject to a diversity constraint, so that exploration of poorly sampled regions is kept in play while sampling is progressively directed toward the intended state. Across CLN025 folding, the AdK open-to-closed transition, and apo MBP domain closure, this mix converted transient encounters into committed visits in every replicate and was associated with higher target-basin occupancy than matched Random, LAST, least-counts, and kNN-AS campaigns. The practical implication is to score adaptive sampling of target states by committed residence and persistent occupancy, and to treat exploration and target-directed stabilization as complementary objectives rather than as a single performance number.</w:t>
      </w:r>
    </w:p>
    <w:p>
      <w:pPr>
        <w:pStyle w:val="Heading1"/>
      </w:pPr>
      <w:r>
        <w:rPr>
          <w:rFonts w:ascii="Times New Roman" w:hAnsi="Times New Roman" w:eastAsia="SimSun"/>
          <w:color w:val="1A202C"/>
        </w:rPr>
        <w:t>Acknowledgements</w:t>
      </w:r>
    </w:p>
    <w:p>
      <w:pPr>
        <w:spacing w:after="160" w:before="0" w:line="360" w:lineRule="auto"/>
        <w:ind w:firstLine="420"/>
        <w:jc w:val="both"/>
      </w:pPr>
      <w:r>
        <w:rPr>
          <w:rFonts w:ascii="Times New Roman" w:hAnsi="Times New Roman" w:eastAsia="SimSun"/>
          <w:b w:val="0"/>
          <w:i w:val="0"/>
          <w:sz w:val="22"/>
        </w:rPr>
        <w:t>This work is financially supported by the Project of Cultivation for Young Top-notch Talents of Beijing Municipal Institutions (BPHR202203209).</w:t>
      </w:r>
    </w:p>
    <w:p>
      <w:pPr>
        <w:pStyle w:val="Heading1"/>
      </w:pPr>
      <w:r>
        <w:rPr>
          <w:rFonts w:ascii="Times New Roman" w:hAnsi="Times New Roman" w:eastAsia="SimSun"/>
          <w:color w:val="1A202C"/>
        </w:rPr>
        <w:t>Notes for revision</w:t>
      </w:r>
    </w:p>
    <w:p>
      <w:pPr>
        <w:spacing w:after="160" w:before="0" w:line="360" w:lineRule="auto"/>
      </w:pPr>
      <w:r>
        <w:rPr>
          <w:rFonts w:ascii="Times New Roman" w:hAnsi="Times New Roman" w:eastAsia="SimSun"/>
          <w:b w:val="0"/>
          <w:i w:val="0"/>
          <w:sz w:val="22"/>
        </w:rPr>
        <w:t>1. Figures now include the completed MBP Nov+Tgt ablation (commit 964 ns, occupancy 0.36%). Re-run python3 paper/make_figures.py &amp;&amp; python3 paper/build_docx.py after any further history edits.</w:t>
      </w:r>
    </w:p>
    <w:p>
      <w:pPr>
        <w:spacing w:after="160" w:before="0" w:line="360" w:lineRule="auto"/>
      </w:pPr>
      <w:r>
        <w:rPr>
          <w:rFonts w:ascii="Times New Roman" w:hAnsi="Times New Roman" w:eastAsia="SimSun"/>
          <w:b w:val="0"/>
          <w:i w:val="0"/>
          <w:sz w:val="22"/>
        </w:rPr>
        <w:t>2. SI sensitivity (weights, number of seeds, diversity radius) still needs dedicated campaigns; they cannot be recovered from the present trajectories.</w:t>
      </w:r>
    </w:p>
    <w:p>
      <w:pPr>
        <w:spacing w:after="160" w:before="0" w:line="360" w:lineRule="auto"/>
      </w:pPr>
      <w:r>
        <w:rPr>
          <w:rFonts w:ascii="Times New Roman" w:hAnsi="Times New Roman" w:eastAsia="SimSun"/>
          <w:b w:val="0"/>
          <w:i w:val="0"/>
          <w:sz w:val="22"/>
        </w:rPr>
        <w:t>3. Figures are matplotlib drafts. Replace Fig. 1 with a vector schematic before submission. Kaplan–Meier curves and bootstrap CIs on time-to-commit can be added from n3_metrics.csv without new MD.</w:t>
      </w:r>
    </w:p>
    <w:p>
      <w:pPr>
        <w:spacing w:after="160" w:before="0" w:line="360" w:lineRule="auto"/>
      </w:pPr>
      <w:r>
        <w:rPr>
          <w:rFonts w:ascii="Times New Roman" w:hAnsi="Times New Roman" w:eastAsia="SimSun"/>
          <w:b w:val="0"/>
          <w:i w:val="0"/>
          <w:sz w:val="22"/>
        </w:rPr>
        <w:t>4. Do not mix the unrelated AdK 1000 ns run on lan55 (adk-r1, other paper) into these tables.</w:t>
      </w:r>
    </w:p>
    <w:p>
      <w:pPr>
        <w:pStyle w:val="Heading1"/>
      </w:pPr>
      <w:r>
        <w:rPr>
          <w:rFonts w:ascii="Times New Roman" w:hAnsi="Times New Roman" w:eastAsia="SimSun"/>
          <w:color w:val="1A202C"/>
        </w:rPr>
        <w:t>Data locations</w:t>
      </w:r>
    </w:p>
    <w:p>
      <w:pPr>
        <w:spacing w:after="160" w:before="0" w:line="360" w:lineRule="auto"/>
        <w:jc w:val="both"/>
      </w:pPr>
      <w:r>
        <w:rPr>
          <w:rFonts w:ascii="Times New Roman" w:hAnsi="Times New Roman" w:eastAsia="SimSun"/>
          <w:b w:val="0"/>
          <w:i w:val="0"/>
          <w:sz w:val="22"/>
        </w:rPr>
        <w:t>Per-replicate numbers: paper/tables/n3_metrics.csv and ablation_metrics.csv. Campaign histories: taps-gromacs/analysis/cln025_unfolded/campaigns, moas-adk/analysis/adk_open/campaigns, moas-mbp/analysis/mbp_open/campaigns, plus copies of lan55 histories in paper/data/hist_55. Figure script: paper/make_figures.py.</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