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SimSun"/>
          <w:b/>
          <w:i w:val="0"/>
          <w:sz w:val="28"/>
        </w:rPr>
        <w:t>Supporting Information</w:t>
        <w:br/>
        <w:t>From Transient Encounters to Committed Sampling:</w:t>
        <w:br/>
        <w:t>A Multi-Objective Adaptive Sampling Strategy for Rare Protein Conformational States</w:t>
      </w:r>
    </w:p>
    <w:p>
      <w:pPr>
        <w:spacing w:before="160" w:after="160" w:line="360" w:lineRule="auto"/>
        <w:ind w:firstLine="0"/>
        <w:jc w:val="center"/>
      </w:pPr>
      <w:r>
        <w:rPr>
          <w:rFonts w:ascii="Times New Roman" w:hAnsi="Times New Roman" w:eastAsia="SimSun"/>
          <w:b w:val="0"/>
          <w:i w:val="0"/>
          <w:sz w:val="24"/>
        </w:rPr>
        <w:t>Yiru Wang</w:t>
      </w:r>
      <w:r>
        <w:rPr>
          <w:rFonts w:ascii="Times New Roman" w:hAnsi="Times New Roman" w:eastAsia="SimSun"/>
          <w:b w:val="0"/>
          <w:i w:val="0"/>
          <w:sz w:val="18"/>
          <w:vertAlign w:val="superscript"/>
        </w:rPr>
        <w:t>1,2</w:t>
      </w:r>
      <w:r>
        <w:rPr>
          <w:rFonts w:ascii="Times New Roman" w:hAnsi="Times New Roman" w:eastAsia="SimSun"/>
          <w:b w:val="0"/>
          <w:i w:val="0"/>
          <w:sz w:val="24"/>
        </w:rPr>
        <w:t xml:space="preserve"> and Ying Li</w:t>
      </w:r>
      <w:r>
        <w:rPr>
          <w:rFonts w:ascii="Times New Roman" w:hAnsi="Times New Roman" w:eastAsia="SimSun"/>
          <w:b w:val="0"/>
          <w:i w:val="0"/>
          <w:sz w:val="18"/>
          <w:vertAlign w:val="superscript"/>
        </w:rPr>
        <w:t>1,2</w:t>
      </w:r>
    </w:p>
    <w:p>
      <w:pPr>
        <w:spacing w:before="0" w:after="40" w:line="360" w:lineRule="auto"/>
        <w:ind w:firstLine="0"/>
        <w:jc w:val="center"/>
      </w:pPr>
      <w:r>
        <w:rPr>
          <w:rFonts w:ascii="Times New Roman" w:hAnsi="Times New Roman" w:eastAsia="SimSun"/>
          <w:b w:val="0"/>
          <w:i/>
          <w:sz w:val="18"/>
        </w:rPr>
        <w:t>1  Beijing Key Laboratory of Biomass Waste Resource Utilization, College of Biochemical Engineering, Beijing Union University, Beijing, 100023, China.</w:t>
      </w:r>
    </w:p>
    <w:p>
      <w:pPr>
        <w:spacing w:before="0" w:after="280" w:line="360" w:lineRule="auto"/>
        <w:ind w:firstLine="0"/>
        <w:jc w:val="center"/>
      </w:pPr>
      <w:r>
        <w:rPr>
          <w:rFonts w:ascii="Times New Roman" w:hAnsi="Times New Roman" w:eastAsia="SimSun"/>
          <w:b w:val="0"/>
          <w:i/>
          <w:sz w:val="18"/>
        </w:rPr>
        <w:t>2  Beijing Key Laboratory of Bioactive Substances and Functional Foods, College of Biochemical Engineering, Beijing Union University, Beijing, 100023, China.</w:t>
      </w:r>
    </w:p>
    <w:p>
      <w:pPr>
        <w:pStyle w:val="Heading1"/>
      </w:pPr>
      <w:r>
        <w:rPr>
          <w:rFonts w:ascii="Times New Roman" w:hAnsi="Times New Roman" w:eastAsia="SimSun"/>
          <w:color w:val="1A202C"/>
        </w:rPr>
        <w:t>S1. Simulation parameters</w:t>
      </w:r>
    </w:p>
    <w:p>
      <w:pPr>
        <w:spacing w:after="160" w:before="0" w:line="360" w:lineRule="auto"/>
        <w:jc w:val="both"/>
      </w:pPr>
      <w:r>
        <w:rPr>
          <w:rFonts w:ascii="Times New Roman" w:hAnsi="Times New Roman" w:eastAsia="SimSun"/>
          <w:b w:val="0"/>
          <w:i w:val="0"/>
          <w:sz w:val="22"/>
        </w:rPr>
        <w:t>Force field: AMBER99SB-ILDN protein, TIP3P water. Temperature 300 K, pressure 1 bar (NPT production), 0.15 M NaCl. Box buffer 1.2 nm; rhombic dodecahedron for MBP, cubic/dodecahedral boxes as prepared for CLN025 and AdK. Integrator and constraints follow the repository MDP files (md_prod / md_short_1ns / md_short_2ns): 2 fs time step, LINCS on H-bonds, PME electrostatics, Verlet cutoff. Short adaptive segments use GPU update / PME. Initialization trajectories are shared across methods within a system and replicate: 10 ns unfolded cMD (CLN025) or 20 ns open apo cMD (AdK, MBP).</w:t>
      </w:r>
    </w:p>
    <w:tbl>
      <w:tblPr>
        <w:tblW w:type="auto" w:w="0"/>
        <w:jc w:val="center"/>
        <w:tblLayout w:type="autofit"/>
        <w:tblLook w:firstColumn="1" w:firstRow="1" w:lastColumn="0" w:lastRow="0" w:noHBand="0" w:noVBand="1" w:val="04A0"/>
        <w:tblBorders>
          <w:top w:val="single" w:sz="12" w:space="0" w:color="000000"/>
          <w:left w:val="nil" w:sz="0" w:space="0" w:color="auto"/>
          <w:bottom w:val="single" w:sz="12" w:space="0" w:color="000000"/>
          <w:right w:val="nil" w:sz="0" w:space="0" w:color="auto"/>
          <w:insideH w:val="nil" w:sz="0" w:space="0" w:color="auto"/>
          <w:insideV w:val="nil" w:sz="0" w:space="0" w:color="auto"/>
        </w:tblBorders>
      </w:tblPr>
      <w:tblGrid>
        <w:gridCol w:w="2268"/>
        <w:gridCol w:w="2268"/>
        <w:gridCol w:w="2268"/>
        <w:gridCol w:w="2268"/>
      </w:tblGrid>
      <w:tr>
        <w:tc>
          <w:tcPr>
            <w:tcW w:type="dxa" w:w="2268"/>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Item</w:t>
            </w:r>
          </w:p>
        </w:tc>
        <w:tc>
          <w:tcPr>
            <w:tcW w:type="dxa" w:w="2268"/>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CLN025</w:t>
            </w:r>
          </w:p>
        </w:tc>
        <w:tc>
          <w:tcPr>
            <w:tcW w:type="dxa" w:w="2268"/>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AdK</w:t>
            </w:r>
          </w:p>
        </w:tc>
        <w:tc>
          <w:tcPr>
            <w:tcW w:type="dxa" w:w="2268"/>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MBP</w:t>
            </w:r>
          </w:p>
        </w:tc>
      </w:tr>
      <w:tr>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Start</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unfolded</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open apo (4AKE-like)</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open apo (1OMP)</w:t>
            </w:r>
          </w:p>
        </w:tc>
      </w:tr>
      <w:tr>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Target reference</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native 5AWL/2RVD</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closed 1AKE</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closed 1ANF, ligand removed</w:t>
            </w:r>
          </w:p>
        </w:tc>
      </w:tr>
      <w:tr>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CVs</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Cα-RMSD, Rg</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LID angle, NMP angle</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N–C CA-COM distance, hinge angle</w:t>
            </w:r>
          </w:p>
        </w:tc>
      </w:tr>
      <w:tr>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Target window</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RMSD &lt; 0.25 nm</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LID &lt; 114.4° and NMP &gt; 41.8°</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dist &lt; 2.885 nm and θ &lt; 115.9°</w:t>
            </w:r>
          </w:p>
        </w:tc>
      </w:tr>
      <w:tr>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Commit duration</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 40 ps</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 200 ps</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 200 ps</w:t>
            </w:r>
          </w:p>
        </w:tc>
      </w:tr>
      <w:tr>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Init unbiased MD</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10 ns</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20 ns</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20 ns</w:t>
            </w:r>
          </w:p>
        </w:tc>
      </w:tr>
      <w:tr>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Short MD</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 ns</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 ns</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 ns</w:t>
            </w:r>
          </w:p>
        </w:tc>
      </w:tr>
      <w:tr>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Seeds / round</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w:t>
            </w:r>
          </w:p>
        </w:tc>
      </w:tr>
      <w:tr>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Rounds</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12</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15</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82</w:t>
            </w:r>
          </w:p>
        </w:tc>
      </w:tr>
      <w:tr>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Aggregate budget</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82 ns</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200 ns</w:t>
            </w:r>
          </w:p>
        </w:tc>
        <w:tc>
          <w:tcPr>
            <w:tcW w:type="dxa" w:w="2268"/>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1000 ns</w:t>
            </w:r>
          </w:p>
        </w:tc>
      </w:tr>
      <w:tr>
        <w:tc>
          <w:tcPr>
            <w:tcW w:type="dxa" w:w="2268"/>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Replicates</w:t>
            </w:r>
          </w:p>
        </w:tc>
        <w:tc>
          <w:tcPr>
            <w:tcW w:type="dxa" w:w="2268"/>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seeds 0, 1, 2</w:t>
            </w:r>
          </w:p>
        </w:tc>
        <w:tc>
          <w:tcPr>
            <w:tcW w:type="dxa" w:w="2268"/>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seeds 0, 1, 2</w:t>
            </w:r>
          </w:p>
        </w:tc>
        <w:tc>
          <w:tcPr>
            <w:tcW w:type="dxa" w:w="2268"/>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seeds 0, 1, 2</w:t>
            </w:r>
          </w:p>
        </w:tc>
      </w:tr>
    </w:tbl>
    <w:p/>
    <w:p>
      <w:pPr>
        <w:spacing w:before="80" w:after="240" w:line="276" w:lineRule="auto"/>
        <w:ind w:firstLine="0"/>
        <w:jc w:val="both"/>
      </w:pPr>
      <w:r>
        <w:rPr>
          <w:rFonts w:ascii="Times New Roman" w:hAnsi="Times New Roman" w:eastAsia="SimSun"/>
          <w:b w:val="0"/>
          <w:i w:val="0"/>
          <w:sz w:val="20"/>
        </w:rPr>
        <w:t>Table S1. Protocol details shared by Random, LAST, least-counts, kNN-AS, and MOAS.</w:t>
      </w:r>
    </w:p>
    <w:p>
      <w:pPr>
        <w:spacing w:after="160" w:before="0" w:line="360" w:lineRule="auto"/>
        <w:jc w:val="both"/>
      </w:pPr>
      <w:r>
        <w:rPr>
          <w:rFonts w:ascii="Times New Roman" w:hAnsi="Times New Roman" w:eastAsia="SimSun"/>
          <w:b w:val="0"/>
          <w:i w:val="0"/>
          <w:sz w:val="22"/>
        </w:rPr>
        <w:t>MOAS mixing (production): percentile ranks of novelty, LAST boundary, and target proximity, averaged with equal weights. Ablation campaigns zero the unused ranks and renormalize over the active subset. kNN-AS: visited CV cloud subsampled with P = 0.5, k = 5 nearest neighbors, score ||Σ (z_j − q)||; no target term. Least-counts: inverse histogram count of the candidate’s CV bin. LAST: frontier / boundary score of the visited set. Random: uniform among eligible windows subject to the same diversity rule where implemented.</w:t>
      </w:r>
    </w:p>
    <w:p>
      <w:pPr>
        <w:pStyle w:val="Heading1"/>
      </w:pPr>
      <w:r>
        <w:rPr>
          <w:rFonts w:ascii="Times New Roman" w:hAnsi="Times New Roman" w:eastAsia="SimSun"/>
          <w:color w:val="1A202C"/>
        </w:rPr>
        <w:t>S2. Replicate-level outcomes</w:t>
      </w:r>
    </w:p>
    <w:p>
      <w:pPr>
        <w:spacing w:after="160" w:before="0" w:line="360" w:lineRule="auto"/>
        <w:jc w:val="both"/>
      </w:pPr>
      <w:r>
        <w:rPr>
          <w:rFonts w:ascii="Times New Roman" w:hAnsi="Times New Roman" w:eastAsia="SimSun"/>
          <w:b w:val="0"/>
          <w:i w:val="0"/>
          <w:sz w:val="22"/>
        </w:rPr>
        <w:t>Table S2 lists every main-text campaign. First hit and commit times are in nanoseconds of accumulated simulation time. Occupancy is the fraction of pooled frames inside the target window. Coverage is the filled fraction of a 24 × 24 CV histogram. Empty commit entries are campaigns that never satisfied the sojourn criterion.</w:t>
      </w:r>
    </w:p>
    <w:tbl>
      <w:tblPr>
        <w:tblW w:type="auto" w:w="0"/>
        <w:jc w:val="center"/>
        <w:tblLayout w:type="autofit"/>
        <w:tblLook w:firstColumn="1" w:firstRow="1" w:lastColumn="0" w:lastRow="0" w:noHBand="0" w:noVBand="1" w:val="04A0"/>
        <w:tblBorders>
          <w:top w:val="single" w:sz="12" w:space="0" w:color="000000"/>
          <w:left w:val="nil" w:sz="0" w:space="0" w:color="auto"/>
          <w:bottom w:val="single" w:sz="12" w:space="0" w:color="000000"/>
          <w:right w:val="nil" w:sz="0" w:space="0" w:color="auto"/>
          <w:insideH w:val="nil" w:sz="0" w:space="0" w:color="auto"/>
          <w:insideV w:val="nil" w:sz="0" w:space="0" w:color="auto"/>
        </w:tblBorders>
      </w:tblPr>
      <w:tblGrid>
        <w:gridCol w:w="1296"/>
        <w:gridCol w:w="1296"/>
        <w:gridCol w:w="1296"/>
        <w:gridCol w:w="1296"/>
        <w:gridCol w:w="1296"/>
        <w:gridCol w:w="1296"/>
        <w:gridCol w:w="1296"/>
      </w:tblGrid>
      <w:tr>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System</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Method</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Rep</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Hit (ns)</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Commit (ns)</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Occupancy (%)</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Coverage (%)</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Random</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68.17</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11.3</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Random</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11.6</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Random</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63.02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0.008</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11.5</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LAST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38.59</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46.37</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2.476</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12.3</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LAST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25.70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46.18</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1.656</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11.3</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LAST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73.21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80.49</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0.378</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10.8</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Least-counts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80.21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80.27</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0.221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10.6</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Least-counts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25.34</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34.12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0.825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12.5</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Least-counts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23.62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68.62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0.415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11.8</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65.12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0.003</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12.2</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28.08</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0.140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12.8</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18.93</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56.65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0.521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13.5</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MOAS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37.48</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40.12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4.046</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11.5</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MOAS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22.04</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34.09</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6.792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12.7</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MOAS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22.05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36.06</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5.249</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12.3</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Random</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83.34</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0.140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66.8</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Random</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64.6</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Random</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57.1</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LAST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62.5</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LAST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64.6</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LAST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80.11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0.034</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66.1</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Least-counts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192.24</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192.52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0.484</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58.9</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Least-counts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81.48</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190.35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1.531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69.4</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Least-counts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94.15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0.027</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62.2</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59.4</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44.29</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96.09</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7.311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63.5</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65.5</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MOAS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34.07</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103.44</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14.846</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66.0</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MOAS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128.17</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192.27</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0.719</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67.5</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MOAS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68.40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105.67</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27.829</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65.5</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Random</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24.0</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Random</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19.1</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Random</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218.51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0.010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26.2</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LAST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272.39</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320.42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26.011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30.9</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LAST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19.8</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LAST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454.67</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0.019</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26.9</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Least-counts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317.50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0.034</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33.2</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Least-counts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395.98</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414.01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0.596</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35.9</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Least-counts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626.49</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0.011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39.1</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795.10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836.83</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0.142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34.2</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102.26</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572.60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0.760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35.4</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718.72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27.3</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MOAS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335.75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442.83</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28.405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32.3</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MOAS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455.04</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503.54</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37.145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34.9</w:t>
            </w:r>
          </w:p>
        </w:tc>
      </w:tr>
      <w:tr>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MOAS</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191.06</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216.76</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42.118</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35.9</w:t>
            </w:r>
          </w:p>
        </w:tc>
      </w:tr>
    </w:tbl>
    <w:p/>
    <w:p>
      <w:pPr>
        <w:spacing w:before="80" w:after="240" w:line="276" w:lineRule="auto"/>
        <w:ind w:firstLine="0"/>
        <w:jc w:val="both"/>
      </w:pPr>
      <w:r>
        <w:rPr>
          <w:rFonts w:ascii="Times New Roman" w:hAnsi="Times New Roman" w:eastAsia="SimSun"/>
          <w:b w:val="0"/>
          <w:i w:val="0"/>
          <w:sz w:val="20"/>
        </w:rPr>
        <w:t>Table S2. Main-text n = 3 campaigns (TAPS omitted; see Table S6).</w:t>
      </w:r>
    </w:p>
    <w:p>
      <w:pPr>
        <w:pStyle w:val="Heading1"/>
      </w:pPr>
      <w:r>
        <w:rPr>
          <w:rFonts w:ascii="Times New Roman" w:hAnsi="Times New Roman" w:eastAsia="SimSun"/>
          <w:color w:val="1A202C"/>
        </w:rPr>
        <w:t>S3. First-hit data</w:t>
      </w:r>
    </w:p>
    <w:p>
      <w:pPr>
        <w:spacing w:after="160" w:before="0" w:line="360" w:lineRule="auto"/>
        <w:jc w:val="both"/>
      </w:pPr>
      <w:r>
        <w:rPr>
          <w:rFonts w:ascii="Times New Roman" w:hAnsi="Times New Roman" w:eastAsia="SimSun"/>
          <w:b w:val="0"/>
          <w:i w:val="0"/>
          <w:sz w:val="22"/>
        </w:rPr>
        <w:t>First hit is reported for completeness and is not the primary endpoint. Several campaigns hit and never committed (transient-only): CLN025 Random (2 hits / 0 commits), CLN025 kNN-AS (3/1), AdK Random (1/0), AdK LAST (1/0), AdK least-counts (3/2), MBP Random (1/0), MBP LAST (2/1), MBP least-counts (3/1), MBP kNN-AS (3/2). MOAS converted every hit into a commit on all three systems (9/9).</w:t>
      </w:r>
    </w:p>
    <w:p>
      <w:pPr>
        <w:pStyle w:val="Heading1"/>
      </w:pPr>
      <w:r>
        <w:rPr>
          <w:rFonts w:ascii="Times New Roman" w:hAnsi="Times New Roman" w:eastAsia="SimSun"/>
          <w:color w:val="1A202C"/>
        </w:rPr>
        <w:t>S4. Representative CV traces</w:t>
      </w:r>
    </w:p>
    <w:p>
      <w:pPr>
        <w:spacing w:after="160" w:before="0" w:line="360" w:lineRule="auto"/>
        <w:jc w:val="both"/>
      </w:pPr>
      <w:r>
        <w:rPr>
          <w:rFonts w:ascii="Times New Roman" w:hAnsi="Times New Roman" w:eastAsia="SimSun"/>
          <w:b w:val="0"/>
          <w:i w:val="0"/>
          <w:sz w:val="22"/>
        </w:rPr>
        <w:t>Figure 2 of the main text already shows rolling target occupancy for CLN025 (TAPS / LAST / MOAS) and AdK (Random / MOAS). Figure 4D–E shows the corresponding two-dimensional densities for AdK and MBP. Additional seed-level CV trajectories live in each campaign’s cvs.npz (keys: CLN025 t_ps, rmsd, rg; AdK t_ps, lid, nmp, closed; MBP t_ps, dist, theta, closed). They can be replotted without new MD.</w:t>
      </w:r>
    </w:p>
    <w:p>
      <w:pPr>
        <w:spacing w:before="160" w:after="40"/>
        <w:ind w:firstLine="0"/>
        <w:jc w:val="center"/>
      </w:pPr>
      <w:r>
        <w:drawing>
          <wp:inline xmlns:a="http://schemas.openxmlformats.org/drawingml/2006/main" xmlns:pic="http://schemas.openxmlformats.org/drawingml/2006/picture">
            <wp:extent cx="5832000" cy="4807785"/>
            <wp:docPr id="1" name="Picture 1"/>
            <wp:cNvGraphicFramePr>
              <a:graphicFrameLocks noChangeAspect="1"/>
            </wp:cNvGraphicFramePr>
            <a:graphic>
              <a:graphicData uri="http://schemas.openxmlformats.org/drawingml/2006/picture">
                <pic:pic>
                  <pic:nvPicPr>
                    <pic:cNvPr id="0" name="fig2_hit_vs_commit.png"/>
                    <pic:cNvPicPr/>
                  </pic:nvPicPr>
                  <pic:blipFill>
                    <a:blip r:embed="rId9"/>
                    <a:stretch>
                      <a:fillRect/>
                    </a:stretch>
                  </pic:blipFill>
                  <pic:spPr>
                    <a:xfrm>
                      <a:off x="0" y="0"/>
                      <a:ext cx="5832000" cy="4807785"/>
                    </a:xfrm>
                    <a:prstGeom prst="rect"/>
                  </pic:spPr>
                </pic:pic>
              </a:graphicData>
            </a:graphic>
          </wp:inline>
        </w:drawing>
      </w:r>
    </w:p>
    <w:p>
      <w:pPr>
        <w:spacing w:before="80" w:after="240" w:line="276" w:lineRule="auto"/>
        <w:ind w:firstLine="0"/>
        <w:jc w:val="both"/>
      </w:pPr>
      <w:r>
        <w:rPr>
          <w:rFonts w:ascii="Times New Roman" w:hAnsi="Times New Roman" w:eastAsia="SimSun"/>
          <w:b w:val="0"/>
          <w:i w:val="0"/>
          <w:sz w:val="20"/>
        </w:rPr>
        <w:t>Figure S1. Same as main-text Figure 2, reproduced here so that SI readers have the first-hit versus occupancy comparison next to Tables S2–S6.</w:t>
      </w:r>
    </w:p>
    <w:p>
      <w:pPr>
        <w:pStyle w:val="Heading1"/>
      </w:pPr>
      <w:r>
        <w:rPr>
          <w:rFonts w:ascii="Times New Roman" w:hAnsi="Times New Roman" w:eastAsia="SimSun"/>
          <w:color w:val="1A202C"/>
        </w:rPr>
        <w:t>S5. kNN-AS full results</w:t>
      </w:r>
    </w:p>
    <w:p>
      <w:pPr>
        <w:spacing w:after="160" w:before="0" w:line="360" w:lineRule="auto"/>
        <w:jc w:val="both"/>
      </w:pPr>
      <w:r>
        <w:rPr>
          <w:rFonts w:ascii="Times New Roman" w:hAnsi="Times New Roman" w:eastAsia="SimSun"/>
          <w:b w:val="0"/>
          <w:i w:val="0"/>
          <w:sz w:val="22"/>
        </w:rPr>
        <w:t>kNN-AS was run with the same CVs, commit protocol, initialization, short-MD length, and budget as the other four methods (Rovers et al., J. Chem. Theory Comput. 2025, 10.1021/acs.jctc.5c00462). It is a frontier / low-support baseline and contains no target-proximity term. Table S3 isolates those nine campaigns.</w:t>
      </w:r>
    </w:p>
    <w:tbl>
      <w:tblPr>
        <w:tblW w:type="auto" w:w="0"/>
        <w:jc w:val="center"/>
        <w:tblLayout w:type="autofit"/>
        <w:tblLook w:firstColumn="1" w:firstRow="1" w:lastColumn="0" w:lastRow="0" w:noHBand="0" w:noVBand="1" w:val="04A0"/>
        <w:tblBorders>
          <w:top w:val="single" w:sz="12" w:space="0" w:color="000000"/>
          <w:left w:val="nil" w:sz="0" w:space="0" w:color="auto"/>
          <w:bottom w:val="single" w:sz="12" w:space="0" w:color="000000"/>
          <w:right w:val="nil" w:sz="0" w:space="0" w:color="auto"/>
          <w:insideH w:val="nil" w:sz="0" w:space="0" w:color="auto"/>
          <w:insideV w:val="nil" w:sz="0" w:space="0" w:color="auto"/>
        </w:tblBorders>
      </w:tblPr>
      <w:tblGrid>
        <w:gridCol w:w="1296"/>
        <w:gridCol w:w="1296"/>
        <w:gridCol w:w="1296"/>
        <w:gridCol w:w="1296"/>
        <w:gridCol w:w="1296"/>
        <w:gridCol w:w="1296"/>
        <w:gridCol w:w="1296"/>
      </w:tblGrid>
      <w:tr>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System</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Method</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Rep</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Hit (ns)</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Commit (ns)</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Occupancy (%)</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Coverage (%)</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65.12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0.003</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12.2</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28.08</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0.140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12.8</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CLN025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18.93</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56.65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0.521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13.5</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59.4</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44.29</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96.09</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7.311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63.5</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65.5</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795.10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836.83</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0.142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34.2</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102.26</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572.60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0.760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35.4</w:t>
            </w:r>
          </w:p>
        </w:tc>
      </w:tr>
      <w:tr>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kNN-AS</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2</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718.72</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0.002</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27.3</w:t>
            </w:r>
          </w:p>
        </w:tc>
      </w:tr>
    </w:tbl>
    <w:p/>
    <w:p>
      <w:pPr>
        <w:spacing w:before="80" w:after="240" w:line="276" w:lineRule="auto"/>
        <w:ind w:firstLine="0"/>
        <w:jc w:val="both"/>
      </w:pPr>
      <w:r>
        <w:rPr>
          <w:rFonts w:ascii="Times New Roman" w:hAnsi="Times New Roman" w:eastAsia="SimSun"/>
          <w:b w:val="0"/>
          <w:i w:val="0"/>
          <w:sz w:val="20"/>
        </w:rPr>
        <w:t>Table S3. kNN-AS n = 3. Hits are common on CLN025 and MBP; commitment and occupancy remain low except AdK seed 1 (commit 96 ns, occupancy 7.3%) and MBP seeds 0–1 (occupancy 0.14% and 0.76%).</w:t>
      </w:r>
    </w:p>
    <w:p>
      <w:pPr>
        <w:pStyle w:val="Heading1"/>
      </w:pPr>
      <w:r>
        <w:rPr>
          <w:rFonts w:ascii="Times New Roman" w:hAnsi="Times New Roman" w:eastAsia="SimSun"/>
          <w:color w:val="1A202C"/>
        </w:rPr>
        <w:t>S6. Ablation numerical table</w:t>
      </w:r>
    </w:p>
    <w:p>
      <w:pPr>
        <w:spacing w:after="160" w:before="0" w:line="360" w:lineRule="auto"/>
        <w:jc w:val="both"/>
      </w:pPr>
      <w:r>
        <w:rPr>
          <w:rFonts w:ascii="Times New Roman" w:hAnsi="Times New Roman" w:eastAsia="SimSun"/>
          <w:b w:val="0"/>
          <w:i w:val="0"/>
          <w:sz w:val="22"/>
        </w:rPr>
        <w:t>Objective switches: nov, novelty only; bnd, LAST boundary only; tgt, target proximity only; plus the three pairwise combinations; moas is the full equal mix (same trajectory as main-text seed 0).</w:t>
      </w:r>
    </w:p>
    <w:tbl>
      <w:tblPr>
        <w:tblW w:type="auto" w:w="0"/>
        <w:jc w:val="center"/>
        <w:tblLayout w:type="autofit"/>
        <w:tblLook w:firstColumn="1" w:firstRow="1" w:lastColumn="0" w:lastRow="0" w:noHBand="0" w:noVBand="1" w:val="04A0"/>
        <w:tblBorders>
          <w:top w:val="single" w:sz="12" w:space="0" w:color="000000"/>
          <w:left w:val="nil" w:sz="0" w:space="0" w:color="auto"/>
          <w:bottom w:val="single" w:sz="12" w:space="0" w:color="000000"/>
          <w:right w:val="nil" w:sz="0" w:space="0" w:color="auto"/>
          <w:insideH w:val="nil" w:sz="0" w:space="0" w:color="auto"/>
          <w:insideV w:val="nil" w:sz="0" w:space="0" w:color="auto"/>
        </w:tblBorders>
      </w:tblPr>
      <w:tblGrid>
        <w:gridCol w:w="1296"/>
        <w:gridCol w:w="1296"/>
        <w:gridCol w:w="1296"/>
        <w:gridCol w:w="1296"/>
        <w:gridCol w:w="1296"/>
        <w:gridCol w:w="1296"/>
        <w:gridCol w:w="1296"/>
      </w:tblGrid>
      <w:tr>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System</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Combination</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Tag</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Hit (ns)</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Commit (ns)</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Occupancy (%)</w:t>
            </w:r>
          </w:p>
        </w:tc>
        <w:tc>
          <w:tcPr>
            <w:tcW w:type="dxa" w:w="1296"/>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Complete</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Novelty</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adk_nov</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108.41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0.266</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yes</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Boundary</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adk_bnd</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173.51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0.316</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yes</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Target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adk_tgt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68.15</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92.46</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16.790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yes</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Nov+Bnd</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adk_novbnd</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yes</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Nov+Tgt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adk_novtgt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62.74</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92.36</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17.938</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yes</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Bnd+Tgt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adk_bndtgt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80.42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144.43</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4.986</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yes</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Full MOAS</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adk_static</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34.07</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103.44</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14.846</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yes</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Novelty</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mbp_nov</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yes</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Boundary</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mbp_bnd</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237.59</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417.20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6.012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yes</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Target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mbp_tgt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693.78</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730.84</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3.782</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yes</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Nov+Bnd</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mbp_novbnd</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yes</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Nov+Tgt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mbp_novtgt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560.71</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964.17</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0.363</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yes</w:t>
            </w:r>
          </w:p>
        </w:tc>
      </w:tr>
      <w:tr>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Bnd+Tgt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mbp_bndtgt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848.84</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0.000</w:t>
            </w:r>
          </w:p>
        </w:tc>
        <w:tc>
          <w:tcPr>
            <w:tcW w:type="dxa" w:w="1296"/>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yes</w:t>
            </w:r>
          </w:p>
        </w:tc>
      </w:tr>
      <w:tr>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MBP</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Full MOAS</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mbp_static</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335.75</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442.83</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28.405</w:t>
            </w:r>
          </w:p>
        </w:tc>
        <w:tc>
          <w:tcPr>
            <w:tcW w:type="dxa" w:w="1296"/>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yes</w:t>
            </w:r>
          </w:p>
        </w:tc>
      </w:tr>
    </w:tbl>
    <w:p/>
    <w:p>
      <w:pPr>
        <w:spacing w:before="80" w:after="240" w:line="276" w:lineRule="auto"/>
        <w:ind w:firstLine="0"/>
        <w:jc w:val="both"/>
      </w:pPr>
      <w:r>
        <w:rPr>
          <w:rFonts w:ascii="Times New Roman" w:hAnsi="Times New Roman" w:eastAsia="SimSun"/>
          <w:b w:val="0"/>
          <w:i w:val="0"/>
          <w:sz w:val="20"/>
        </w:rPr>
        <w:t>Table S4. Ablation campaigns (n = 1). All combinations completed the budget.</w:t>
      </w:r>
    </w:p>
    <w:p>
      <w:pPr>
        <w:spacing w:before="160" w:after="40"/>
        <w:ind w:firstLine="0"/>
        <w:jc w:val="center"/>
      </w:pPr>
      <w:r>
        <w:drawing>
          <wp:inline xmlns:a="http://schemas.openxmlformats.org/drawingml/2006/main" xmlns:pic="http://schemas.openxmlformats.org/drawingml/2006/picture">
            <wp:extent cx="5832000" cy="4331506"/>
            <wp:docPr id="2" name="Picture 2"/>
            <wp:cNvGraphicFramePr>
              <a:graphicFrameLocks noChangeAspect="1"/>
            </wp:cNvGraphicFramePr>
            <a:graphic>
              <a:graphicData uri="http://schemas.openxmlformats.org/drawingml/2006/picture">
                <pic:pic>
                  <pic:nvPicPr>
                    <pic:cNvPr id="0" name="fig5_ablation.png"/>
                    <pic:cNvPicPr/>
                  </pic:nvPicPr>
                  <pic:blipFill>
                    <a:blip r:embed="rId10"/>
                    <a:stretch>
                      <a:fillRect/>
                    </a:stretch>
                  </pic:blipFill>
                  <pic:spPr>
                    <a:xfrm>
                      <a:off x="0" y="0"/>
                      <a:ext cx="5832000" cy="4331506"/>
                    </a:xfrm>
                    <a:prstGeom prst="rect"/>
                  </pic:spPr>
                </pic:pic>
              </a:graphicData>
            </a:graphic>
          </wp:inline>
        </w:drawing>
      </w:r>
    </w:p>
    <w:p>
      <w:pPr>
        <w:spacing w:before="80" w:after="240" w:line="276" w:lineRule="auto"/>
        <w:ind w:firstLine="0"/>
        <w:jc w:val="both"/>
      </w:pPr>
      <w:r>
        <w:rPr>
          <w:rFonts w:ascii="Times New Roman" w:hAnsi="Times New Roman" w:eastAsia="SimSun"/>
          <w:b w:val="0"/>
          <w:i w:val="0"/>
          <w:sz w:val="20"/>
        </w:rPr>
        <w:t>Figure S2. Ablation figure (same as main-text Figure 5).</w:t>
      </w:r>
    </w:p>
    <w:p>
      <w:pPr>
        <w:pStyle w:val="Heading1"/>
      </w:pPr>
      <w:r>
        <w:rPr>
          <w:rFonts w:ascii="Times New Roman" w:hAnsi="Times New Roman" w:eastAsia="SimSun"/>
          <w:color w:val="1A202C"/>
        </w:rPr>
        <w:t>S7. Seed-selection mechanism (extra copy)</w:t>
      </w:r>
    </w:p>
    <w:p>
      <w:pPr>
        <w:spacing w:after="160" w:before="0" w:line="360" w:lineRule="auto"/>
        <w:jc w:val="both"/>
      </w:pPr>
      <w:r>
        <w:rPr>
          <w:rFonts w:ascii="Times New Roman" w:hAnsi="Times New Roman" w:eastAsia="SimSun"/>
          <w:b w:val="0"/>
          <w:i w:val="0"/>
          <w:sz w:val="22"/>
        </w:rPr>
        <w:t>Selected seeds store only the mixed score in seeds_round*.json, not the three raw objectives. Figure 6 therefore uses seed CV coordinates versus round index, which are sufficient to show late-round migration into the AdK closed window for MOAS only. The three raw ranks can be recomputed from cvs.npz if a future revision needs an objective-space plot.</w:t>
      </w:r>
    </w:p>
    <w:p>
      <w:pPr>
        <w:spacing w:before="160" w:after="40"/>
        <w:ind w:firstLine="0"/>
        <w:jc w:val="center"/>
      </w:pPr>
      <w:r>
        <w:drawing>
          <wp:inline xmlns:a="http://schemas.openxmlformats.org/drawingml/2006/main" xmlns:pic="http://schemas.openxmlformats.org/drawingml/2006/picture">
            <wp:extent cx="5832000" cy="4430557"/>
            <wp:docPr id="3" name="Picture 3"/>
            <wp:cNvGraphicFramePr>
              <a:graphicFrameLocks noChangeAspect="1"/>
            </wp:cNvGraphicFramePr>
            <a:graphic>
              <a:graphicData uri="http://schemas.openxmlformats.org/drawingml/2006/picture">
                <pic:pic>
                  <pic:nvPicPr>
                    <pic:cNvPr id="0" name="fig6_seeds.png"/>
                    <pic:cNvPicPr/>
                  </pic:nvPicPr>
                  <pic:blipFill>
                    <a:blip r:embed="rId11"/>
                    <a:stretch>
                      <a:fillRect/>
                    </a:stretch>
                  </pic:blipFill>
                  <pic:spPr>
                    <a:xfrm>
                      <a:off x="0" y="0"/>
                      <a:ext cx="5832000" cy="4430557"/>
                    </a:xfrm>
                    <a:prstGeom prst="rect"/>
                  </pic:spPr>
                </pic:pic>
              </a:graphicData>
            </a:graphic>
          </wp:inline>
        </w:drawing>
      </w:r>
    </w:p>
    <w:p>
      <w:pPr>
        <w:spacing w:before="80" w:after="240" w:line="276" w:lineRule="auto"/>
        <w:ind w:firstLine="0"/>
        <w:jc w:val="both"/>
      </w:pPr>
      <w:r>
        <w:rPr>
          <w:rFonts w:ascii="Times New Roman" w:hAnsi="Times New Roman" w:eastAsia="SimSun"/>
          <w:b w:val="0"/>
          <w:i w:val="0"/>
          <w:sz w:val="20"/>
        </w:rPr>
        <w:t>Figure S3. AdK seed locations versus round (same as main-text Figure 6).</w:t>
      </w:r>
    </w:p>
    <w:p>
      <w:pPr>
        <w:spacing w:before="160" w:after="40"/>
        <w:ind w:firstLine="0"/>
        <w:jc w:val="center"/>
      </w:pPr>
      <w:r>
        <w:drawing>
          <wp:inline xmlns:a="http://schemas.openxmlformats.org/drawingml/2006/main" xmlns:pic="http://schemas.openxmlformats.org/drawingml/2006/picture">
            <wp:extent cx="5832000" cy="5007412"/>
            <wp:docPr id="4" name="Picture 4"/>
            <wp:cNvGraphicFramePr>
              <a:graphicFrameLocks noChangeAspect="1"/>
            </wp:cNvGraphicFramePr>
            <a:graphic>
              <a:graphicData uri="http://schemas.openxmlformats.org/drawingml/2006/picture">
                <pic:pic>
                  <pic:nvPicPr>
                    <pic:cNvPr id="0" name="fig7_explore_vs_target.png"/>
                    <pic:cNvPicPr/>
                  </pic:nvPicPr>
                  <pic:blipFill>
                    <a:blip r:embed="rId12"/>
                    <a:stretch>
                      <a:fillRect/>
                    </a:stretch>
                  </pic:blipFill>
                  <pic:spPr>
                    <a:xfrm>
                      <a:off x="0" y="0"/>
                      <a:ext cx="5832000" cy="5007412"/>
                    </a:xfrm>
                    <a:prstGeom prst="rect"/>
                  </pic:spPr>
                </pic:pic>
              </a:graphicData>
            </a:graphic>
          </wp:inline>
        </w:drawing>
      </w:r>
    </w:p>
    <w:p>
      <w:pPr>
        <w:spacing w:before="80" w:after="240" w:line="276" w:lineRule="auto"/>
        <w:ind w:firstLine="0"/>
        <w:jc w:val="both"/>
      </w:pPr>
      <w:r>
        <w:rPr>
          <w:rFonts w:ascii="Times New Roman" w:hAnsi="Times New Roman" w:eastAsia="SimSun"/>
          <w:b w:val="0"/>
          <w:i w:val="0"/>
          <w:sz w:val="20"/>
        </w:rPr>
        <w:t>Figure S4. Coverage versus target occupancy (same as main-text Figure 7). Exploration methods and MOAS occupy different quadrants.</w:t>
      </w:r>
    </w:p>
    <w:p>
      <w:pPr>
        <w:pStyle w:val="Heading1"/>
      </w:pPr>
      <w:r>
        <w:rPr>
          <w:rFonts w:ascii="Times New Roman" w:hAnsi="Times New Roman" w:eastAsia="SimSun"/>
          <w:color w:val="1A202C"/>
        </w:rPr>
        <w:t>S8. Parameter sensitivity (not yet run)</w:t>
      </w:r>
    </w:p>
    <w:p>
      <w:pPr>
        <w:spacing w:after="160" w:before="0" w:line="360" w:lineRule="auto"/>
        <w:jc w:val="both"/>
      </w:pPr>
      <w:r>
        <w:rPr>
          <w:rFonts w:ascii="Times New Roman" w:hAnsi="Times New Roman" w:eastAsia="SimSun"/>
          <w:b w:val="0"/>
          <w:i w:val="0"/>
          <w:sz w:val="22"/>
        </w:rPr>
        <w:t>The outline lists SI figures for objective-weight sensitivity, seed-number sensitivity, and diversity-constraint sensitivity. Those campaigns have not been launched. They require new adaptive MD, not post-processing. Until they exist, this section is a placeholder: default weights are equal percentiles; default seeds per round are 6; diversity is the greedy exclusion radius used in stage_*_discover.py.</w:t>
      </w:r>
    </w:p>
    <w:p>
      <w:pPr>
        <w:pStyle w:val="Heading1"/>
      </w:pPr>
      <w:r>
        <w:rPr>
          <w:rFonts w:ascii="Times New Roman" w:hAnsi="Times New Roman" w:eastAsia="SimSun"/>
          <w:color w:val="1A202C"/>
        </w:rPr>
        <w:t>S9. TAPS on CLN025 (additional comparison)</w:t>
      </w:r>
    </w:p>
    <w:p>
      <w:pPr>
        <w:spacing w:after="160" w:before="0" w:line="360" w:lineRule="auto"/>
        <w:jc w:val="both"/>
      </w:pPr>
      <w:r>
        <w:rPr>
          <w:rFonts w:ascii="Times New Roman" w:hAnsi="Times New Roman" w:eastAsia="SimSun"/>
          <w:b w:val="0"/>
          <w:i w:val="0"/>
          <w:sz w:val="22"/>
        </w:rPr>
        <w:t>TAPS is a target-aware adaptive method used in earlier CLN025 work in this repository. It is not a main-text baseline. Under the same 82 ns folded-discovery protocol it hit the RMSD &lt; 0.25 nm window in 3/3 replicates and committed in 1/3 (seed 1 at 80.2 ns). Occupancies were 0.24%, 0.67%, and 0.09%. This is the canonical transient-encounter example in Figure 2A: a fast first hit that does not become persistent folded sampling. MOAS on the same protein committed in 3/3 with occupancy 4.0–6.8%.</w:t>
      </w:r>
    </w:p>
    <w:tbl>
      <w:tblPr>
        <w:tblW w:type="auto" w:w="0"/>
        <w:jc w:val="center"/>
        <w:tblLayout w:type="autofit"/>
        <w:tblLook w:firstColumn="1" w:firstRow="1" w:lastColumn="0" w:lastRow="0" w:noHBand="0" w:noVBand="1" w:val="04A0"/>
        <w:tblBorders>
          <w:top w:val="single" w:sz="12" w:space="0" w:color="000000"/>
          <w:left w:val="nil" w:sz="0" w:space="0" w:color="auto"/>
          <w:bottom w:val="single" w:sz="12" w:space="0" w:color="000000"/>
          <w:right w:val="nil" w:sz="0" w:space="0" w:color="auto"/>
          <w:insideH w:val="nil" w:sz="0" w:space="0" w:color="auto"/>
          <w:insideV w:val="nil" w:sz="0" w:space="0" w:color="auto"/>
        </w:tblBorders>
      </w:tblPr>
      <w:tblGrid>
        <w:gridCol w:w="1814"/>
        <w:gridCol w:w="1814"/>
        <w:gridCol w:w="1814"/>
        <w:gridCol w:w="1814"/>
        <w:gridCol w:w="1814"/>
      </w:tblGrid>
      <w:tr>
        <w:tc>
          <w:tcPr>
            <w:tcW w:type="dxa" w:w="1814"/>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Tag</w:t>
            </w:r>
          </w:p>
        </w:tc>
        <w:tc>
          <w:tcPr>
            <w:tcW w:type="dxa" w:w="1814"/>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Rep</w:t>
            </w:r>
          </w:p>
        </w:tc>
        <w:tc>
          <w:tcPr>
            <w:tcW w:type="dxa" w:w="1814"/>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Hit (ns)</w:t>
            </w:r>
          </w:p>
        </w:tc>
        <w:tc>
          <w:tcPr>
            <w:tcW w:type="dxa" w:w="1814"/>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Commit (ns)</w:t>
            </w:r>
          </w:p>
        </w:tc>
        <w:tc>
          <w:tcPr>
            <w:tcW w:type="dxa" w:w="1814"/>
            <w:tcBorders>
              <w:top w:val="single" w:sz="12" w:space="0" w:color="000000"/>
              <w:left w:sz="0" w:val="nil" w:color="auto" w:space="0"/>
              <w:bottom w:sz="8" w:val="single" w:color="000000" w:space="0"/>
              <w:right w:sz="0" w:val="nil" w:color="auto" w:space="0"/>
            </w:tcBorders>
          </w:tcPr>
          <w:p>
            <w:pPr>
              <w:spacing w:before="40" w:after="40"/>
              <w:jc w:val="center"/>
            </w:pPr>
            <w:r/>
            <w:r>
              <w:rPr>
                <w:rFonts w:ascii="Times New Roman" w:hAnsi="Times New Roman" w:eastAsia="SimSun"/>
                <w:b/>
                <w:i w:val="0"/>
                <w:color w:val="1A202C"/>
                <w:sz w:val="18"/>
              </w:rPr>
              <w:t>Occupancy (%)</w:t>
            </w:r>
          </w:p>
        </w:tc>
      </w:tr>
      <w:tr>
        <w:tc>
          <w:tcPr>
            <w:tcW w:type="dxa" w:w="1814"/>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discover_taps</w:t>
            </w:r>
          </w:p>
        </w:tc>
        <w:tc>
          <w:tcPr>
            <w:tcW w:type="dxa" w:w="1814"/>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w:t>
            </w:r>
          </w:p>
        </w:tc>
        <w:tc>
          <w:tcPr>
            <w:tcW w:type="dxa" w:w="1814"/>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30.54</w:t>
            </w:r>
          </w:p>
        </w:tc>
        <w:tc>
          <w:tcPr>
            <w:tcW w:type="dxa" w:w="1814"/>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w:t>
            </w:r>
          </w:p>
        </w:tc>
        <w:tc>
          <w:tcPr>
            <w:tcW w:type="dxa" w:w="1814"/>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0.237</w:t>
            </w:r>
          </w:p>
        </w:tc>
      </w:tr>
      <w:tr>
        <w:tc>
          <w:tcPr>
            <w:tcW w:type="dxa" w:w="1814"/>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discover_s1_taps</w:t>
            </w:r>
          </w:p>
        </w:tc>
        <w:tc>
          <w:tcPr>
            <w:tcW w:type="dxa" w:w="1814"/>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1</w:t>
            </w:r>
          </w:p>
        </w:tc>
        <w:tc>
          <w:tcPr>
            <w:tcW w:type="dxa" w:w="1814"/>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31.60</w:t>
            </w:r>
          </w:p>
        </w:tc>
        <w:tc>
          <w:tcPr>
            <w:tcW w:type="dxa" w:w="1814"/>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80.18</w:t>
            </w:r>
          </w:p>
        </w:tc>
        <w:tc>
          <w:tcPr>
            <w:tcW w:type="dxa" w:w="1814"/>
            <w:tcBorders>
              <w:top w:sz="0" w:val="nil" w:color="auto" w:space="0"/>
              <w:left w:sz="0" w:val="nil" w:color="auto" w:space="0"/>
              <w:bottom w:sz="0" w:val="nil" w:color="auto" w:space="0"/>
              <w:right w:sz="0" w:val="nil" w:color="auto" w:space="0"/>
            </w:tcBorders>
          </w:tcPr>
          <w:p>
            <w:pPr>
              <w:spacing w:before="20" w:after="20"/>
              <w:jc w:val="center"/>
            </w:pPr>
            <w:r/>
            <w:r>
              <w:rPr>
                <w:rFonts w:ascii="Times New Roman" w:hAnsi="Times New Roman" w:eastAsia="SimSun"/>
                <w:b w:val="0"/>
                <w:i w:val="0"/>
                <w:sz w:val="18"/>
              </w:rPr>
              <w:t>0.674</w:t>
            </w:r>
          </w:p>
        </w:tc>
      </w:tr>
      <w:tr>
        <w:tc>
          <w:tcPr>
            <w:tcW w:type="dxa" w:w="1814"/>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discover_s2_taps</w:t>
            </w:r>
          </w:p>
        </w:tc>
        <w:tc>
          <w:tcPr>
            <w:tcW w:type="dxa" w:w="1814"/>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2</w:t>
            </w:r>
          </w:p>
        </w:tc>
        <w:tc>
          <w:tcPr>
            <w:tcW w:type="dxa" w:w="1814"/>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51.58</w:t>
            </w:r>
          </w:p>
        </w:tc>
        <w:tc>
          <w:tcPr>
            <w:tcW w:type="dxa" w:w="1814"/>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w:t>
            </w:r>
          </w:p>
        </w:tc>
        <w:tc>
          <w:tcPr>
            <w:tcW w:type="dxa" w:w="1814"/>
            <w:tcBorders>
              <w:top w:sz="0" w:val="nil" w:color="auto" w:space="0"/>
              <w:left w:sz="0" w:val="nil" w:color="auto" w:space="0"/>
              <w:bottom w:val="single" w:sz="12" w:space="0" w:color="000000"/>
              <w:right w:sz="0" w:val="nil" w:color="auto" w:space="0"/>
            </w:tcBorders>
          </w:tcPr>
          <w:p>
            <w:pPr>
              <w:spacing w:before="20" w:after="20"/>
              <w:jc w:val="center"/>
            </w:pPr>
            <w:r/>
            <w:r>
              <w:rPr>
                <w:rFonts w:ascii="Times New Roman" w:hAnsi="Times New Roman" w:eastAsia="SimSun"/>
                <w:b w:val="0"/>
                <w:i w:val="0"/>
                <w:sz w:val="18"/>
              </w:rPr>
              <w:t>0.089</w:t>
            </w:r>
          </w:p>
        </w:tc>
      </w:tr>
    </w:tbl>
    <w:p/>
    <w:p>
      <w:pPr>
        <w:spacing w:before="80" w:after="240" w:line="276" w:lineRule="auto"/>
        <w:ind w:firstLine="0"/>
        <w:jc w:val="both"/>
      </w:pPr>
      <w:r>
        <w:rPr>
          <w:rFonts w:ascii="Times New Roman" w:hAnsi="Times New Roman" w:eastAsia="SimSun"/>
          <w:b w:val="0"/>
          <w:i w:val="0"/>
          <w:sz w:val="20"/>
        </w:rPr>
        <w:t>Table S5. CLN025 TAPS replicates (supplementary only).</w:t>
      </w:r>
    </w:p>
    <w:p>
      <w:pPr>
        <w:pStyle w:val="Heading1"/>
      </w:pPr>
      <w:r>
        <w:rPr>
          <w:rFonts w:ascii="Times New Roman" w:hAnsi="Times New Roman" w:eastAsia="SimSun"/>
          <w:color w:val="1A202C"/>
        </w:rPr>
        <w:t>S10. Occupancy densities</w:t>
      </w:r>
    </w:p>
    <w:p>
      <w:pPr>
        <w:spacing w:before="160" w:after="40"/>
        <w:ind w:firstLine="0"/>
        <w:jc w:val="center"/>
      </w:pPr>
      <w:r>
        <w:drawing>
          <wp:inline xmlns:a="http://schemas.openxmlformats.org/drawingml/2006/main" xmlns:pic="http://schemas.openxmlformats.org/drawingml/2006/picture">
            <wp:extent cx="5832000" cy="4406780"/>
            <wp:docPr id="5" name="Picture 5"/>
            <wp:cNvGraphicFramePr>
              <a:graphicFrameLocks noChangeAspect="1"/>
            </wp:cNvGraphicFramePr>
            <a:graphic>
              <a:graphicData uri="http://schemas.openxmlformats.org/drawingml/2006/picture">
                <pic:pic>
                  <pic:nvPicPr>
                    <pic:cNvPr id="0" name="fig4_occupancy.png"/>
                    <pic:cNvPicPr/>
                  </pic:nvPicPr>
                  <pic:blipFill>
                    <a:blip r:embed="rId13"/>
                    <a:stretch>
                      <a:fillRect/>
                    </a:stretch>
                  </pic:blipFill>
                  <pic:spPr>
                    <a:xfrm>
                      <a:off x="0" y="0"/>
                      <a:ext cx="5832000" cy="4406780"/>
                    </a:xfrm>
                    <a:prstGeom prst="rect"/>
                  </pic:spPr>
                </pic:pic>
              </a:graphicData>
            </a:graphic>
          </wp:inline>
        </w:drawing>
      </w:r>
    </w:p>
    <w:p>
      <w:pPr>
        <w:spacing w:before="80" w:after="240" w:line="276" w:lineRule="auto"/>
        <w:ind w:firstLine="0"/>
        <w:jc w:val="both"/>
      </w:pPr>
      <w:r>
        <w:rPr>
          <w:rFonts w:ascii="Times New Roman" w:hAnsi="Times New Roman" w:eastAsia="SimSun"/>
          <w:b w:val="0"/>
          <w:i w:val="0"/>
          <w:sz w:val="20"/>
        </w:rPr>
        <w:t>Figure S5. Occupancy bars and CV densities (same as main-text Figure 4).</w:t>
      </w:r>
    </w:p>
    <w:p>
      <w:pPr>
        <w:spacing w:before="160" w:after="40"/>
        <w:ind w:firstLine="0"/>
        <w:jc w:val="center"/>
      </w:pPr>
      <w:r>
        <w:drawing>
          <wp:inline xmlns:a="http://schemas.openxmlformats.org/drawingml/2006/main" xmlns:pic="http://schemas.openxmlformats.org/drawingml/2006/picture">
            <wp:extent cx="5832000" cy="4856092"/>
            <wp:docPr id="6" name="Picture 6"/>
            <wp:cNvGraphicFramePr>
              <a:graphicFrameLocks noChangeAspect="1"/>
            </wp:cNvGraphicFramePr>
            <a:graphic>
              <a:graphicData uri="http://schemas.openxmlformats.org/drawingml/2006/picture">
                <pic:pic>
                  <pic:nvPicPr>
                    <pic:cNvPr id="0" name="fig3_benchmark.png"/>
                    <pic:cNvPicPr/>
                  </pic:nvPicPr>
                  <pic:blipFill>
                    <a:blip r:embed="rId14"/>
                    <a:stretch>
                      <a:fillRect/>
                    </a:stretch>
                  </pic:blipFill>
                  <pic:spPr>
                    <a:xfrm>
                      <a:off x="0" y="0"/>
                      <a:ext cx="5832000" cy="4856092"/>
                    </a:xfrm>
                    <a:prstGeom prst="rect"/>
                  </pic:spPr>
                </pic:pic>
              </a:graphicData>
            </a:graphic>
          </wp:inline>
        </w:drawing>
      </w:r>
    </w:p>
    <w:p>
      <w:pPr>
        <w:spacing w:before="80" w:after="240" w:line="276" w:lineRule="auto"/>
        <w:ind w:firstLine="0"/>
        <w:jc w:val="both"/>
      </w:pPr>
      <w:r>
        <w:rPr>
          <w:rFonts w:ascii="Times New Roman" w:hAnsi="Times New Roman" w:eastAsia="SimSun"/>
          <w:b w:val="0"/>
          <w:i w:val="0"/>
          <w:sz w:val="20"/>
        </w:rPr>
        <w:t>Figure S6. Cross-system committed-success matrix (same as main-text Figure 3).</w:t>
      </w:r>
    </w:p>
    <w:p>
      <w:pPr>
        <w:spacing w:before="160" w:after="40"/>
        <w:ind w:firstLine="0"/>
        <w:jc w:val="center"/>
      </w:pPr>
      <w:r>
        <w:drawing>
          <wp:inline xmlns:a="http://schemas.openxmlformats.org/drawingml/2006/main" xmlns:pic="http://schemas.openxmlformats.org/drawingml/2006/picture">
            <wp:extent cx="5832000" cy="4034004"/>
            <wp:docPr id="7" name="Picture 7"/>
            <wp:cNvGraphicFramePr>
              <a:graphicFrameLocks noChangeAspect="1"/>
            </wp:cNvGraphicFramePr>
            <a:graphic>
              <a:graphicData uri="http://schemas.openxmlformats.org/drawingml/2006/picture">
                <pic:pic>
                  <pic:nvPicPr>
                    <pic:cNvPr id="0" name="fig1_workflow.png"/>
                    <pic:cNvPicPr/>
                  </pic:nvPicPr>
                  <pic:blipFill>
                    <a:blip r:embed="rId15"/>
                    <a:stretch>
                      <a:fillRect/>
                    </a:stretch>
                  </pic:blipFill>
                  <pic:spPr>
                    <a:xfrm>
                      <a:off x="0" y="0"/>
                      <a:ext cx="5832000" cy="4034004"/>
                    </a:xfrm>
                    <a:prstGeom prst="rect"/>
                  </pic:spPr>
                </pic:pic>
              </a:graphicData>
            </a:graphic>
          </wp:inline>
        </w:drawing>
      </w:r>
    </w:p>
    <w:p>
      <w:pPr>
        <w:spacing w:before="80" w:after="240" w:line="276" w:lineRule="auto"/>
        <w:ind w:firstLine="0"/>
        <w:jc w:val="both"/>
      </w:pPr>
      <w:r>
        <w:rPr>
          <w:rFonts w:ascii="Times New Roman" w:hAnsi="Times New Roman" w:eastAsia="SimSun"/>
          <w:b w:val="0"/>
          <w:i w:val="0"/>
          <w:sz w:val="20"/>
        </w:rPr>
        <w:t>Figure S7. MOAS workflow schematic (same as main-text Figure 1), included so the SI can be read on its own.</w:t>
      </w:r>
    </w:p>
    <w:p>
      <w:pPr>
        <w:pStyle w:val="Heading1"/>
      </w:pPr>
      <w:r>
        <w:rPr>
          <w:rFonts w:ascii="Times New Roman" w:hAnsi="Times New Roman" w:eastAsia="SimSun"/>
          <w:color w:val="1A202C"/>
        </w:rPr>
        <w:t>S11. Campaign tags</w:t>
      </w:r>
    </w:p>
    <w:p>
      <w:pPr>
        <w:spacing w:after="160" w:before="0" w:line="360" w:lineRule="auto"/>
        <w:jc w:val="both"/>
      </w:pPr>
      <w:r>
        <w:rPr>
          <w:rFonts w:ascii="Times New Roman" w:hAnsi="Times New Roman" w:eastAsia="SimSun"/>
          <w:b w:val="0"/>
          <w:i w:val="0"/>
          <w:sz w:val="22"/>
        </w:rPr>
        <w:t>CLN025 Random: moas_random, moas_s1_random, moas_s2_random. LAST: discover_last, discover_s1_last, discover_s2_last. Least-counts: discover_lc, discover_s1_lc, discover_s2_lc. kNN-AS: discover_knn, discover_s1_knn, discover_s2_knn. MOAS: moas_static, moas_s1_static, moas_s2_static. TAPS: discover_taps, discover_s1_taps, discover_s2_taps.</w:t>
      </w:r>
    </w:p>
    <w:p>
      <w:pPr>
        <w:spacing w:after="160" w:before="0" w:line="360" w:lineRule="auto"/>
        <w:jc w:val="both"/>
      </w:pPr>
      <w:r>
        <w:rPr>
          <w:rFonts w:ascii="Times New Roman" w:hAnsi="Times New Roman" w:eastAsia="SimSun"/>
          <w:b w:val="0"/>
          <w:i w:val="0"/>
          <w:sz w:val="22"/>
        </w:rPr>
        <w:t>AdK seed 0: adk_random, adk_last, adk_lc, adk_knn, adk_static. Seed 1: adk_s1_*. Seed 2: adk_s2_*. Ablation: adk_nov, adk_bnd, adk_tgt, adk_novbnd, adk_novtgt, adk_bndtgt.</w:t>
      </w:r>
    </w:p>
    <w:p>
      <w:pPr>
        <w:spacing w:after="160" w:before="0" w:line="360" w:lineRule="auto"/>
        <w:jc w:val="both"/>
      </w:pPr>
      <w:r>
        <w:rPr>
          <w:rFonts w:ascii="Times New Roman" w:hAnsi="Times New Roman" w:eastAsia="SimSun"/>
          <w:b w:val="0"/>
          <w:i w:val="0"/>
          <w:sz w:val="22"/>
        </w:rPr>
        <w:t>MBP analogously mbp_*, mbp_s1_*, mbp_s2_*. Ablation: mbp_nov, mbp_bnd, mbp_tgt, mbp_novbnd, mbp_novtgt, mbp_bndtgt. Histories for campaigns that lived on lan55 are copied under paper/data/hist_55.</w:t>
      </w:r>
    </w:p>
    <w:p>
      <w:pPr>
        <w:pStyle w:val="Heading1"/>
      </w:pPr>
      <w:r>
        <w:rPr>
          <w:rFonts w:ascii="Times New Roman" w:hAnsi="Times New Roman" w:eastAsia="SimSun"/>
          <w:color w:val="1A202C"/>
        </w:rPr>
        <w:t>S12. What is deliberately excluded</w:t>
      </w:r>
    </w:p>
    <w:p>
      <w:pPr>
        <w:spacing w:after="160" w:before="0" w:line="360" w:lineRule="auto"/>
        <w:jc w:val="both"/>
      </w:pPr>
      <w:r>
        <w:rPr>
          <w:rFonts w:ascii="Times New Roman" w:hAnsi="Times New Roman" w:eastAsia="SimSun"/>
          <w:b w:val="0"/>
          <w:i w:val="0"/>
          <w:sz w:val="22"/>
        </w:rPr>
        <w:t>The lan55 AdK 1000 ns production tagged adk-r1 belongs to another manuscript and is not included in any table or figure here. CLN025 moas_dynamic / moas_pareto / seed-3 LAST-LC-TAPS campaigns exist on disk but are not part of the n = 3 main comparison. Alanine dipeptide work in taps-gromacs is unrelated.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