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CDF1" w14:textId="3F1D77C9" w:rsidR="00710593" w:rsidRPr="007C1234" w:rsidRDefault="000924E9" w:rsidP="005F3DDC">
      <w:pPr>
        <w:spacing w:after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Criteria and procedure</w:t>
      </w:r>
      <w:r w:rsidR="00722D5A">
        <w:rPr>
          <w:rFonts w:ascii="Arial" w:hAnsi="Arial" w:cs="Arial"/>
          <w:b/>
          <w:bCs/>
          <w:sz w:val="22"/>
        </w:rPr>
        <w:t xml:space="preserve"> for data cleaning</w:t>
      </w:r>
      <w:r w:rsidR="00710593" w:rsidRPr="007C1234">
        <w:rPr>
          <w:rFonts w:ascii="Arial" w:hAnsi="Arial" w:cs="Arial"/>
          <w:b/>
          <w:bCs/>
          <w:sz w:val="22"/>
        </w:rPr>
        <w:t xml:space="preserve"> in </w:t>
      </w:r>
      <w:r w:rsidR="00722D5A">
        <w:rPr>
          <w:rFonts w:ascii="Arial" w:hAnsi="Arial" w:cs="Arial"/>
          <w:b/>
          <w:bCs/>
          <w:sz w:val="22"/>
        </w:rPr>
        <w:t xml:space="preserve">the </w:t>
      </w:r>
      <w:r w:rsidR="00710593" w:rsidRPr="007C1234">
        <w:rPr>
          <w:rFonts w:ascii="Arial" w:hAnsi="Arial" w:cs="Arial"/>
          <w:b/>
          <w:bCs/>
          <w:sz w:val="22"/>
        </w:rPr>
        <w:t>NCD-RisC database</w:t>
      </w:r>
    </w:p>
    <w:p w14:paraId="14533127" w14:textId="77777777" w:rsidR="005F3DDC" w:rsidRDefault="005F3DDC" w:rsidP="005F3DDC">
      <w:pPr>
        <w:spacing w:after="0"/>
        <w:rPr>
          <w:rFonts w:ascii="Arial" w:eastAsia="Times New Roman" w:hAnsi="Arial" w:cs="Arial"/>
          <w:sz w:val="22"/>
        </w:rPr>
      </w:pPr>
    </w:p>
    <w:p w14:paraId="06264FCD" w14:textId="37E982FF" w:rsidR="00710593" w:rsidRPr="007C1234" w:rsidRDefault="00710593" w:rsidP="005F3DDC">
      <w:pPr>
        <w:spacing w:after="0"/>
        <w:rPr>
          <w:rFonts w:ascii="Arial" w:eastAsia="Times New Roman" w:hAnsi="Arial" w:cs="Arial"/>
          <w:sz w:val="22"/>
        </w:rPr>
      </w:pPr>
      <w:r w:rsidRPr="007C1234">
        <w:rPr>
          <w:rFonts w:ascii="Arial" w:eastAsia="Times New Roman" w:hAnsi="Arial" w:cs="Arial"/>
          <w:sz w:val="22"/>
        </w:rPr>
        <w:t>This document is the protocol for cleaning multiple variables in the NCD-RisC database, which has the following steps:</w:t>
      </w:r>
    </w:p>
    <w:p w14:paraId="06D01643" w14:textId="5A8E860F" w:rsidR="00710593" w:rsidRPr="00710593" w:rsidRDefault="00710593" w:rsidP="007D0CE3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2"/>
        </w:rPr>
      </w:pPr>
      <w:r w:rsidRPr="00710593">
        <w:rPr>
          <w:rFonts w:ascii="Arial" w:eastAsia="Times New Roman" w:hAnsi="Arial" w:cs="Arial"/>
          <w:sz w:val="22"/>
        </w:rPr>
        <w:t xml:space="preserve">Applying univariate </w:t>
      </w:r>
      <w:r w:rsidR="00077A90">
        <w:rPr>
          <w:rFonts w:ascii="Arial" w:eastAsia="Times New Roman" w:hAnsi="Arial" w:cs="Arial"/>
          <w:sz w:val="22"/>
        </w:rPr>
        <w:t>cleaning criteria</w:t>
      </w:r>
    </w:p>
    <w:p w14:paraId="77F2B0F3" w14:textId="31D0265B" w:rsidR="00710593" w:rsidRPr="00710593" w:rsidRDefault="00710593" w:rsidP="007D0CE3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2"/>
        </w:rPr>
      </w:pPr>
      <w:r w:rsidRPr="00710593">
        <w:rPr>
          <w:rFonts w:ascii="Arial" w:eastAsia="Times New Roman" w:hAnsi="Arial" w:cs="Arial"/>
          <w:sz w:val="22"/>
        </w:rPr>
        <w:t xml:space="preserve">Applying multivariate </w:t>
      </w:r>
      <w:r w:rsidR="00077A90">
        <w:rPr>
          <w:rFonts w:ascii="Arial" w:eastAsia="Times New Roman" w:hAnsi="Arial" w:cs="Arial"/>
          <w:sz w:val="22"/>
        </w:rPr>
        <w:t>cleaning criteria</w:t>
      </w:r>
    </w:p>
    <w:p w14:paraId="20582C33" w14:textId="503A1051" w:rsidR="005F3DDC" w:rsidRPr="000D1134" w:rsidRDefault="00710593" w:rsidP="005F3DDC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sz w:val="22"/>
        </w:rPr>
      </w:pPr>
      <w:r w:rsidRPr="00710593">
        <w:rPr>
          <w:rFonts w:ascii="Arial" w:eastAsia="Times New Roman" w:hAnsi="Arial" w:cs="Arial"/>
          <w:sz w:val="22"/>
        </w:rPr>
        <w:t>Multivariate outlier detection</w:t>
      </w:r>
    </w:p>
    <w:p w14:paraId="32D67813" w14:textId="1C1FF98E" w:rsidR="00E06B3D" w:rsidRPr="00E06B3D" w:rsidRDefault="00E06B3D" w:rsidP="007D0CE3">
      <w:pPr>
        <w:spacing w:after="0"/>
        <w:rPr>
          <w:rFonts w:ascii="Arial" w:hAnsi="Arial" w:cs="Arial"/>
          <w:sz w:val="22"/>
        </w:rPr>
      </w:pPr>
    </w:p>
    <w:p w14:paraId="782056E6" w14:textId="0B180076" w:rsidR="00710593" w:rsidRPr="007D0CE3" w:rsidRDefault="00C7339A" w:rsidP="007D0CE3">
      <w:pPr>
        <w:spacing w:after="0"/>
        <w:rPr>
          <w:rFonts w:ascii="Arial" w:hAnsi="Arial" w:cs="Arial"/>
          <w:b/>
          <w:bCs/>
          <w:sz w:val="22"/>
          <w:lang w:eastAsia="en-GB"/>
        </w:rPr>
      </w:pPr>
      <w:r>
        <w:rPr>
          <w:rFonts w:ascii="Arial" w:hAnsi="Arial" w:cs="Arial"/>
          <w:b/>
          <w:bCs/>
          <w:sz w:val="22"/>
        </w:rPr>
        <w:t>Applying u</w:t>
      </w:r>
      <w:r w:rsidRPr="007D0CE3">
        <w:rPr>
          <w:rFonts w:ascii="Arial" w:hAnsi="Arial" w:cs="Arial"/>
          <w:b/>
          <w:bCs/>
          <w:sz w:val="22"/>
        </w:rPr>
        <w:t xml:space="preserve">nivariate </w:t>
      </w:r>
      <w:r w:rsidR="00077A90">
        <w:rPr>
          <w:rFonts w:ascii="Arial" w:hAnsi="Arial" w:cs="Arial"/>
          <w:b/>
          <w:bCs/>
          <w:sz w:val="22"/>
        </w:rPr>
        <w:t>cleaning criteria</w:t>
      </w:r>
    </w:p>
    <w:p w14:paraId="7A6E7BAA" w14:textId="46CBE94C" w:rsidR="00145DCD" w:rsidRPr="00710593" w:rsidRDefault="00710593" w:rsidP="005F3DDC">
      <w:pPr>
        <w:spacing w:after="0"/>
        <w:rPr>
          <w:rFonts w:ascii="Arial" w:eastAsiaTheme="majorEastAsia" w:hAnsi="Arial" w:cs="Arial"/>
          <w:color w:val="1F3763" w:themeColor="accent1" w:themeShade="7F"/>
          <w:sz w:val="22"/>
          <w:lang w:eastAsia="en-GB"/>
        </w:rPr>
      </w:pPr>
      <w:r w:rsidRPr="007C1234">
        <w:rPr>
          <w:rFonts w:ascii="Arial" w:hAnsi="Arial" w:cs="Arial"/>
          <w:sz w:val="22"/>
        </w:rPr>
        <w:t xml:space="preserve">Data </w:t>
      </w:r>
      <w:r w:rsidRPr="007C1234">
        <w:rPr>
          <w:rFonts w:ascii="Arial" w:eastAsiaTheme="majorEastAsia" w:hAnsi="Arial" w:cs="Arial"/>
          <w:sz w:val="22"/>
          <w:lang w:eastAsia="en-GB"/>
        </w:rPr>
        <w:t xml:space="preserve">outside the following ranges </w:t>
      </w:r>
      <w:r w:rsidR="00E06B3D">
        <w:rPr>
          <w:rFonts w:ascii="Arial" w:hAnsi="Arial" w:cs="Arial"/>
          <w:sz w:val="22"/>
          <w:lang w:eastAsia="en-GB"/>
        </w:rPr>
        <w:t>are</w:t>
      </w:r>
      <w:r w:rsidRPr="007C1234">
        <w:rPr>
          <w:rFonts w:ascii="Arial" w:eastAsiaTheme="majorEastAsia" w:hAnsi="Arial" w:cs="Arial"/>
          <w:sz w:val="22"/>
          <w:lang w:eastAsia="en-GB"/>
        </w:rPr>
        <w:t xml:space="preserve"> removed</w:t>
      </w:r>
      <w:r w:rsidR="00F700EF">
        <w:rPr>
          <w:rFonts w:ascii="Arial" w:eastAsiaTheme="majorEastAsia" w:hAnsi="Arial" w:cs="Arial"/>
          <w:sz w:val="22"/>
          <w:lang w:eastAsia="en-GB"/>
        </w:rPr>
        <w:t xml:space="preserve"> to minimise the possibility of entry error</w:t>
      </w:r>
      <w:r w:rsidRPr="007C1234">
        <w:rPr>
          <w:rFonts w:ascii="Arial" w:eastAsiaTheme="majorEastAsia" w:hAnsi="Arial" w:cs="Arial"/>
          <w:sz w:val="22"/>
          <w:lang w:eastAsia="en-GB"/>
        </w:rPr>
        <w:t>.</w:t>
      </w:r>
    </w:p>
    <w:p w14:paraId="08AC7DF4" w14:textId="1354774D" w:rsidR="00710593" w:rsidRPr="007D0CE3" w:rsidRDefault="00710593" w:rsidP="007D0CE3">
      <w:pPr>
        <w:spacing w:after="0" w:line="240" w:lineRule="auto"/>
        <w:rPr>
          <w:i/>
          <w:iCs/>
          <w:lang w:eastAsia="en-GB"/>
        </w:rPr>
      </w:pPr>
      <w:r w:rsidRPr="007D0CE3">
        <w:rPr>
          <w:rFonts w:ascii="Arial" w:hAnsi="Arial" w:cs="Arial"/>
          <w:i/>
          <w:iCs/>
          <w:sz w:val="22"/>
          <w:lang w:eastAsia="en-GB"/>
        </w:rPr>
        <w:t>Anthropometr</w:t>
      </w:r>
      <w:r w:rsidR="00B844EB">
        <w:rPr>
          <w:rFonts w:ascii="Arial" w:hAnsi="Arial" w:cs="Arial"/>
          <w:i/>
          <w:iCs/>
          <w:sz w:val="22"/>
          <w:lang w:eastAsia="en-GB"/>
        </w:rPr>
        <w:t>y</w:t>
      </w:r>
      <w:r w:rsidRPr="007D0CE3">
        <w:rPr>
          <w:rFonts w:ascii="Arial" w:hAnsi="Arial" w:cs="Arial"/>
          <w:i/>
          <w:iCs/>
          <w:sz w:val="22"/>
          <w:lang w:eastAsia="en-GB"/>
        </w:rPr>
        <w:t xml:space="preserve"> (age</w:t>
      </w:r>
      <w:r w:rsidR="007D0CE3">
        <w:rPr>
          <w:rFonts w:ascii="Arial" w:hAnsi="Arial" w:cs="Arial"/>
          <w:i/>
          <w:iCs/>
          <w:sz w:val="22"/>
          <w:lang w:eastAsia="en-GB"/>
        </w:rPr>
        <w:t>-</w:t>
      </w:r>
      <w:r w:rsidRPr="007D0CE3">
        <w:rPr>
          <w:rFonts w:ascii="Arial" w:hAnsi="Arial" w:cs="Arial"/>
          <w:i/>
          <w:iCs/>
          <w:sz w:val="22"/>
          <w:lang w:eastAsia="en-GB"/>
        </w:rPr>
        <w:t>specific)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414"/>
        <w:gridCol w:w="1086"/>
        <w:gridCol w:w="1086"/>
        <w:gridCol w:w="1086"/>
        <w:gridCol w:w="1087"/>
        <w:gridCol w:w="1086"/>
        <w:gridCol w:w="1086"/>
        <w:gridCol w:w="1087"/>
      </w:tblGrid>
      <w:tr w:rsidR="00710593" w:rsidRPr="007C1234" w14:paraId="513D6D0B" w14:textId="77777777" w:rsidTr="001B6AB6">
        <w:trPr>
          <w:trHeight w:val="305"/>
        </w:trPr>
        <w:tc>
          <w:tcPr>
            <w:tcW w:w="1414" w:type="dxa"/>
            <w:vAlign w:val="center"/>
          </w:tcPr>
          <w:p w14:paraId="5C68ACD1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</w:p>
        </w:tc>
        <w:tc>
          <w:tcPr>
            <w:tcW w:w="1086" w:type="dxa"/>
            <w:vAlign w:val="center"/>
          </w:tcPr>
          <w:p w14:paraId="36BAAA17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Height (cm)</w:t>
            </w:r>
          </w:p>
        </w:tc>
        <w:tc>
          <w:tcPr>
            <w:tcW w:w="1086" w:type="dxa"/>
            <w:vAlign w:val="center"/>
          </w:tcPr>
          <w:p w14:paraId="321BF7DE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Weight (kg)</w:t>
            </w:r>
          </w:p>
        </w:tc>
        <w:tc>
          <w:tcPr>
            <w:tcW w:w="1086" w:type="dxa"/>
            <w:vAlign w:val="center"/>
          </w:tcPr>
          <w:p w14:paraId="7600CC5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BMI (kg/m</w:t>
            </w:r>
            <w:r w:rsidRPr="007C1234">
              <w:rPr>
                <w:rFonts w:ascii="Arial" w:eastAsia="Times New Roman" w:hAnsi="Arial" w:cs="Arial"/>
                <w:sz w:val="22"/>
                <w:vertAlign w:val="superscript"/>
                <w:lang w:eastAsia="en-GB"/>
              </w:rPr>
              <w:t>2</w:t>
            </w: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)</w:t>
            </w:r>
          </w:p>
        </w:tc>
        <w:tc>
          <w:tcPr>
            <w:tcW w:w="1087" w:type="dxa"/>
            <w:vAlign w:val="center"/>
          </w:tcPr>
          <w:p w14:paraId="17AD58B8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Waist (cm)</w:t>
            </w:r>
          </w:p>
        </w:tc>
        <w:tc>
          <w:tcPr>
            <w:tcW w:w="1086" w:type="dxa"/>
            <w:vAlign w:val="center"/>
          </w:tcPr>
          <w:p w14:paraId="7031363A" w14:textId="24AA8DBC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Hip</w:t>
            </w:r>
            <w:r w:rsidR="005F3DDC">
              <w:rPr>
                <w:rFonts w:ascii="Arial" w:eastAsia="Times New Roman" w:hAnsi="Arial" w:cs="Arial"/>
                <w:sz w:val="22"/>
                <w:lang w:eastAsia="en-GB"/>
              </w:rPr>
              <w:br/>
            </w: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(cm)</w:t>
            </w:r>
          </w:p>
        </w:tc>
        <w:tc>
          <w:tcPr>
            <w:tcW w:w="1086" w:type="dxa"/>
            <w:vAlign w:val="center"/>
          </w:tcPr>
          <w:p w14:paraId="2AFA2F6E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Waist-to-hip ratio</w:t>
            </w:r>
          </w:p>
        </w:tc>
        <w:tc>
          <w:tcPr>
            <w:tcW w:w="1087" w:type="dxa"/>
            <w:vAlign w:val="center"/>
          </w:tcPr>
          <w:p w14:paraId="5AFA5937" w14:textId="4E4542BC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Waist-to-height ratio</w:t>
            </w:r>
          </w:p>
        </w:tc>
      </w:tr>
      <w:tr w:rsidR="00710593" w:rsidRPr="007C1234" w14:paraId="5A608B95" w14:textId="77777777" w:rsidTr="001B6AB6">
        <w:trPr>
          <w:trHeight w:val="305"/>
        </w:trPr>
        <w:tc>
          <w:tcPr>
            <w:tcW w:w="1414" w:type="dxa"/>
            <w:vAlign w:val="center"/>
          </w:tcPr>
          <w:p w14:paraId="3C8D2593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5-9 years</w:t>
            </w:r>
          </w:p>
        </w:tc>
        <w:tc>
          <w:tcPr>
            <w:tcW w:w="1086" w:type="dxa"/>
            <w:vAlign w:val="center"/>
          </w:tcPr>
          <w:p w14:paraId="0DE7456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60-180</w:t>
            </w:r>
          </w:p>
        </w:tc>
        <w:tc>
          <w:tcPr>
            <w:tcW w:w="1086" w:type="dxa"/>
            <w:vAlign w:val="center"/>
          </w:tcPr>
          <w:p w14:paraId="7C5F5C4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5-90</w:t>
            </w:r>
          </w:p>
        </w:tc>
        <w:tc>
          <w:tcPr>
            <w:tcW w:w="1086" w:type="dxa"/>
            <w:vAlign w:val="center"/>
          </w:tcPr>
          <w:p w14:paraId="71652A3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6-40</w:t>
            </w:r>
          </w:p>
        </w:tc>
        <w:tc>
          <w:tcPr>
            <w:tcW w:w="1087" w:type="dxa"/>
            <w:vAlign w:val="center"/>
          </w:tcPr>
          <w:p w14:paraId="5112B44A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20-150</w:t>
            </w:r>
          </w:p>
        </w:tc>
        <w:tc>
          <w:tcPr>
            <w:tcW w:w="1086" w:type="dxa"/>
            <w:vAlign w:val="center"/>
          </w:tcPr>
          <w:p w14:paraId="559B4908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30-180</w:t>
            </w:r>
          </w:p>
        </w:tc>
        <w:tc>
          <w:tcPr>
            <w:tcW w:w="1086" w:type="dxa"/>
            <w:vAlign w:val="center"/>
          </w:tcPr>
          <w:p w14:paraId="414DA30E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0.4-1.8</w:t>
            </w:r>
          </w:p>
        </w:tc>
        <w:tc>
          <w:tcPr>
            <w:tcW w:w="1087" w:type="dxa"/>
            <w:vAlign w:val="center"/>
          </w:tcPr>
          <w:p w14:paraId="5A75202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0.2-1.5</w:t>
            </w:r>
          </w:p>
        </w:tc>
      </w:tr>
      <w:tr w:rsidR="00710593" w:rsidRPr="007C1234" w14:paraId="15224140" w14:textId="77777777" w:rsidTr="001B6AB6">
        <w:trPr>
          <w:trHeight w:val="305"/>
        </w:trPr>
        <w:tc>
          <w:tcPr>
            <w:tcW w:w="1414" w:type="dxa"/>
            <w:vAlign w:val="center"/>
          </w:tcPr>
          <w:p w14:paraId="44D7AB2B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10-14 years</w:t>
            </w:r>
          </w:p>
        </w:tc>
        <w:tc>
          <w:tcPr>
            <w:tcW w:w="1086" w:type="dxa"/>
            <w:vAlign w:val="center"/>
          </w:tcPr>
          <w:p w14:paraId="20CE7AD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80-200</w:t>
            </w:r>
          </w:p>
        </w:tc>
        <w:tc>
          <w:tcPr>
            <w:tcW w:w="1086" w:type="dxa"/>
            <w:vAlign w:val="center"/>
          </w:tcPr>
          <w:p w14:paraId="2C4C8638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8-150</w:t>
            </w:r>
          </w:p>
        </w:tc>
        <w:tc>
          <w:tcPr>
            <w:tcW w:w="1086" w:type="dxa"/>
            <w:vAlign w:val="center"/>
          </w:tcPr>
          <w:p w14:paraId="0EC5D795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8-60</w:t>
            </w:r>
          </w:p>
        </w:tc>
        <w:tc>
          <w:tcPr>
            <w:tcW w:w="1087" w:type="dxa"/>
            <w:vAlign w:val="center"/>
          </w:tcPr>
          <w:p w14:paraId="56EC1C4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20-200</w:t>
            </w:r>
          </w:p>
        </w:tc>
        <w:tc>
          <w:tcPr>
            <w:tcW w:w="1086" w:type="dxa"/>
            <w:vAlign w:val="center"/>
          </w:tcPr>
          <w:p w14:paraId="3B06F0D8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30-200</w:t>
            </w:r>
          </w:p>
        </w:tc>
        <w:tc>
          <w:tcPr>
            <w:tcW w:w="1086" w:type="dxa"/>
            <w:vAlign w:val="center"/>
          </w:tcPr>
          <w:p w14:paraId="145268C3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0.4-1.8</w:t>
            </w:r>
          </w:p>
        </w:tc>
        <w:tc>
          <w:tcPr>
            <w:tcW w:w="1087" w:type="dxa"/>
            <w:vAlign w:val="center"/>
          </w:tcPr>
          <w:p w14:paraId="3889AF99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0.2-1.5</w:t>
            </w:r>
          </w:p>
        </w:tc>
      </w:tr>
      <w:tr w:rsidR="00710593" w:rsidRPr="007C1234" w14:paraId="14BC3BAD" w14:textId="77777777" w:rsidTr="001B6AB6">
        <w:trPr>
          <w:trHeight w:val="305"/>
        </w:trPr>
        <w:tc>
          <w:tcPr>
            <w:tcW w:w="1414" w:type="dxa"/>
            <w:vAlign w:val="center"/>
          </w:tcPr>
          <w:p w14:paraId="5E2DDE5C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15+ years</w:t>
            </w:r>
          </w:p>
        </w:tc>
        <w:tc>
          <w:tcPr>
            <w:tcW w:w="1086" w:type="dxa"/>
            <w:vAlign w:val="center"/>
          </w:tcPr>
          <w:p w14:paraId="20B84C69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100-250</w:t>
            </w:r>
          </w:p>
        </w:tc>
        <w:tc>
          <w:tcPr>
            <w:tcW w:w="1086" w:type="dxa"/>
            <w:vAlign w:val="center"/>
          </w:tcPr>
          <w:p w14:paraId="59581B94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12-300</w:t>
            </w:r>
          </w:p>
        </w:tc>
        <w:tc>
          <w:tcPr>
            <w:tcW w:w="1086" w:type="dxa"/>
            <w:vAlign w:val="center"/>
          </w:tcPr>
          <w:p w14:paraId="2426E8E4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10-80</w:t>
            </w:r>
          </w:p>
        </w:tc>
        <w:tc>
          <w:tcPr>
            <w:tcW w:w="1087" w:type="dxa"/>
            <w:vAlign w:val="center"/>
          </w:tcPr>
          <w:p w14:paraId="03C12A6E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30-300</w:t>
            </w:r>
          </w:p>
        </w:tc>
        <w:tc>
          <w:tcPr>
            <w:tcW w:w="1086" w:type="dxa"/>
            <w:vAlign w:val="center"/>
          </w:tcPr>
          <w:p w14:paraId="248568E6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40-300</w:t>
            </w:r>
          </w:p>
        </w:tc>
        <w:tc>
          <w:tcPr>
            <w:tcW w:w="1086" w:type="dxa"/>
            <w:vAlign w:val="center"/>
          </w:tcPr>
          <w:p w14:paraId="2D15F61B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0.4-2.0</w:t>
            </w:r>
          </w:p>
        </w:tc>
        <w:tc>
          <w:tcPr>
            <w:tcW w:w="1087" w:type="dxa"/>
            <w:vAlign w:val="center"/>
          </w:tcPr>
          <w:p w14:paraId="3E8F2647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0.2-2.0</w:t>
            </w:r>
          </w:p>
        </w:tc>
      </w:tr>
    </w:tbl>
    <w:p w14:paraId="1B202605" w14:textId="5702304E" w:rsidR="005F3DDC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BMI: body-mass index</w:t>
      </w:r>
    </w:p>
    <w:p w14:paraId="0A0413A7" w14:textId="77777777" w:rsidR="001F70C8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</w:p>
    <w:p w14:paraId="144A1313" w14:textId="3E5D44AB" w:rsidR="00710593" w:rsidRPr="007D0CE3" w:rsidRDefault="00710593" w:rsidP="007D0CE3">
      <w:pPr>
        <w:spacing w:after="0" w:line="240" w:lineRule="auto"/>
        <w:rPr>
          <w:rFonts w:ascii="Arial" w:hAnsi="Arial" w:cs="Arial"/>
          <w:i/>
          <w:iCs/>
          <w:sz w:val="22"/>
          <w:lang w:eastAsia="en-GB"/>
        </w:rPr>
      </w:pPr>
      <w:r w:rsidRPr="007D0CE3">
        <w:rPr>
          <w:rFonts w:ascii="Arial" w:hAnsi="Arial" w:cs="Arial"/>
          <w:i/>
          <w:iCs/>
          <w:sz w:val="22"/>
          <w:lang w:eastAsia="en-GB"/>
        </w:rPr>
        <w:t xml:space="preserve">Blood pressure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219"/>
        <w:gridCol w:w="1219"/>
        <w:gridCol w:w="1219"/>
      </w:tblGrid>
      <w:tr w:rsidR="00CF7530" w:rsidRPr="007C1234" w14:paraId="244226C8" w14:textId="76EF9817" w:rsidTr="00C22B43">
        <w:trPr>
          <w:trHeight w:val="289"/>
        </w:trPr>
        <w:tc>
          <w:tcPr>
            <w:tcW w:w="1582" w:type="dxa"/>
            <w:vAlign w:val="center"/>
          </w:tcPr>
          <w:p w14:paraId="78CA6E5B" w14:textId="1F0DB496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</w:p>
        </w:tc>
        <w:tc>
          <w:tcPr>
            <w:tcW w:w="1219" w:type="dxa"/>
            <w:vAlign w:val="center"/>
          </w:tcPr>
          <w:p w14:paraId="76B98F40" w14:textId="77777777" w:rsidR="00CF7530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 xml:space="preserve">SBP </w:t>
            </w:r>
          </w:p>
          <w:p w14:paraId="08F88A94" w14:textId="16BE95C5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(mmHg)</w:t>
            </w:r>
          </w:p>
        </w:tc>
        <w:tc>
          <w:tcPr>
            <w:tcW w:w="1219" w:type="dxa"/>
            <w:vAlign w:val="center"/>
          </w:tcPr>
          <w:p w14:paraId="5D55D5B6" w14:textId="77777777" w:rsidR="00CF7530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DBP</w:t>
            </w:r>
          </w:p>
          <w:p w14:paraId="41E90A6F" w14:textId="7BA57062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(mmHg)</w:t>
            </w:r>
          </w:p>
        </w:tc>
        <w:tc>
          <w:tcPr>
            <w:tcW w:w="1219" w:type="dxa"/>
          </w:tcPr>
          <w:p w14:paraId="60AA8F22" w14:textId="266F9337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lang w:eastAsia="en-GB"/>
              </w:rPr>
              <w:t>Pulse (beats/s)</w:t>
            </w:r>
          </w:p>
        </w:tc>
      </w:tr>
      <w:tr w:rsidR="00CF7530" w:rsidRPr="007C1234" w14:paraId="18F29480" w14:textId="0A41F108" w:rsidTr="00C22B43">
        <w:trPr>
          <w:trHeight w:val="289"/>
        </w:trPr>
        <w:tc>
          <w:tcPr>
            <w:tcW w:w="1582" w:type="dxa"/>
            <w:vAlign w:val="center"/>
          </w:tcPr>
          <w:p w14:paraId="18D6940F" w14:textId="77777777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All ages</w:t>
            </w:r>
          </w:p>
        </w:tc>
        <w:tc>
          <w:tcPr>
            <w:tcW w:w="1219" w:type="dxa"/>
            <w:vAlign w:val="center"/>
          </w:tcPr>
          <w:p w14:paraId="7AFACF46" w14:textId="77777777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70-270</w:t>
            </w:r>
          </w:p>
        </w:tc>
        <w:tc>
          <w:tcPr>
            <w:tcW w:w="1219" w:type="dxa"/>
            <w:vAlign w:val="center"/>
          </w:tcPr>
          <w:p w14:paraId="02EEA9BE" w14:textId="77777777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30-150</w:t>
            </w:r>
          </w:p>
        </w:tc>
        <w:tc>
          <w:tcPr>
            <w:tcW w:w="1219" w:type="dxa"/>
          </w:tcPr>
          <w:p w14:paraId="1EC8860B" w14:textId="789FC0F8" w:rsidR="00CF7530" w:rsidRPr="007C1234" w:rsidRDefault="00CF7530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lang w:eastAsia="en-GB"/>
              </w:rPr>
              <w:t>30-220</w:t>
            </w:r>
          </w:p>
        </w:tc>
      </w:tr>
    </w:tbl>
    <w:p w14:paraId="5369689C" w14:textId="1D2D2444" w:rsidR="005F3DDC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SBP: systolic blood pressure; DBP: diastolic blood pressure</w:t>
      </w:r>
    </w:p>
    <w:p w14:paraId="67D50D75" w14:textId="77777777" w:rsidR="001F70C8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</w:p>
    <w:p w14:paraId="2D37A801" w14:textId="3B5F55C0" w:rsidR="00710593" w:rsidRPr="007D0CE3" w:rsidRDefault="00710593" w:rsidP="007D0CE3">
      <w:pPr>
        <w:spacing w:after="0" w:line="240" w:lineRule="auto"/>
        <w:rPr>
          <w:rFonts w:ascii="Arial" w:hAnsi="Arial" w:cs="Arial"/>
          <w:i/>
          <w:iCs/>
          <w:sz w:val="22"/>
          <w:lang w:eastAsia="en-GB"/>
        </w:rPr>
      </w:pPr>
      <w:r w:rsidRPr="007D0CE3">
        <w:rPr>
          <w:rFonts w:ascii="Arial" w:hAnsi="Arial" w:cs="Arial"/>
          <w:i/>
          <w:iCs/>
          <w:sz w:val="22"/>
          <w:lang w:eastAsia="en-GB"/>
        </w:rPr>
        <w:t>Lipids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219"/>
        <w:gridCol w:w="1219"/>
        <w:gridCol w:w="1219"/>
        <w:gridCol w:w="1463"/>
      </w:tblGrid>
      <w:tr w:rsidR="00710593" w:rsidRPr="007C1234" w14:paraId="0DD1DE1C" w14:textId="77777777" w:rsidTr="005F3DDC">
        <w:trPr>
          <w:trHeight w:val="321"/>
        </w:trPr>
        <w:tc>
          <w:tcPr>
            <w:tcW w:w="1582" w:type="dxa"/>
            <w:vAlign w:val="center"/>
          </w:tcPr>
          <w:p w14:paraId="4B34ED01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(mmol/L)</w:t>
            </w:r>
          </w:p>
        </w:tc>
        <w:tc>
          <w:tcPr>
            <w:tcW w:w="1219" w:type="dxa"/>
            <w:vAlign w:val="center"/>
          </w:tcPr>
          <w:p w14:paraId="48751382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TC</w:t>
            </w:r>
          </w:p>
        </w:tc>
        <w:tc>
          <w:tcPr>
            <w:tcW w:w="1219" w:type="dxa"/>
            <w:vAlign w:val="center"/>
          </w:tcPr>
          <w:p w14:paraId="4E7A3B64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LDL</w:t>
            </w:r>
          </w:p>
        </w:tc>
        <w:tc>
          <w:tcPr>
            <w:tcW w:w="1219" w:type="dxa"/>
            <w:vAlign w:val="center"/>
          </w:tcPr>
          <w:p w14:paraId="42454B03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HDL</w:t>
            </w:r>
          </w:p>
        </w:tc>
        <w:tc>
          <w:tcPr>
            <w:tcW w:w="1219" w:type="dxa"/>
            <w:vAlign w:val="center"/>
          </w:tcPr>
          <w:p w14:paraId="775B8A34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Triglycerides</w:t>
            </w:r>
          </w:p>
        </w:tc>
      </w:tr>
      <w:tr w:rsidR="00710593" w:rsidRPr="007C1234" w14:paraId="039EEA9D" w14:textId="77777777" w:rsidTr="005F3DDC">
        <w:trPr>
          <w:trHeight w:val="321"/>
        </w:trPr>
        <w:tc>
          <w:tcPr>
            <w:tcW w:w="1582" w:type="dxa"/>
            <w:vAlign w:val="center"/>
          </w:tcPr>
          <w:p w14:paraId="47429D55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All ages</w:t>
            </w:r>
          </w:p>
        </w:tc>
        <w:tc>
          <w:tcPr>
            <w:tcW w:w="1219" w:type="dxa"/>
            <w:vAlign w:val="center"/>
          </w:tcPr>
          <w:p w14:paraId="619A9274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1.75-20</w:t>
            </w:r>
          </w:p>
        </w:tc>
        <w:tc>
          <w:tcPr>
            <w:tcW w:w="1219" w:type="dxa"/>
            <w:vAlign w:val="center"/>
          </w:tcPr>
          <w:p w14:paraId="01F15E69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0.5-10</w:t>
            </w:r>
          </w:p>
        </w:tc>
        <w:tc>
          <w:tcPr>
            <w:tcW w:w="1219" w:type="dxa"/>
            <w:vAlign w:val="center"/>
          </w:tcPr>
          <w:p w14:paraId="23BF95B2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0.4-5</w:t>
            </w:r>
          </w:p>
        </w:tc>
        <w:tc>
          <w:tcPr>
            <w:tcW w:w="1219" w:type="dxa"/>
            <w:vAlign w:val="center"/>
          </w:tcPr>
          <w:p w14:paraId="07DEA64F" w14:textId="77777777" w:rsidR="00710593" w:rsidRPr="007C1234" w:rsidRDefault="00710593" w:rsidP="005F3DD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0.2-20</w:t>
            </w:r>
          </w:p>
        </w:tc>
      </w:tr>
    </w:tbl>
    <w:p w14:paraId="433EA16C" w14:textId="3CE64AC3" w:rsidR="005F3DDC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TC: total cholesterol; LDL: low-density lipoprotein cholesterol; HDL: high-density lipoprotein cholesterol</w:t>
      </w:r>
    </w:p>
    <w:p w14:paraId="7EE16E38" w14:textId="77777777" w:rsidR="001F70C8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</w:p>
    <w:p w14:paraId="029B2836" w14:textId="0DDF1BEA" w:rsidR="00710593" w:rsidRPr="007D0CE3" w:rsidRDefault="00710593" w:rsidP="007D0CE3">
      <w:pPr>
        <w:spacing w:after="0" w:line="240" w:lineRule="auto"/>
        <w:rPr>
          <w:rFonts w:ascii="Arial" w:hAnsi="Arial" w:cs="Arial"/>
          <w:i/>
          <w:iCs/>
          <w:sz w:val="22"/>
          <w:lang w:eastAsia="en-GB"/>
        </w:rPr>
      </w:pPr>
      <w:r w:rsidRPr="007D0CE3">
        <w:rPr>
          <w:rFonts w:ascii="Arial" w:hAnsi="Arial" w:cs="Arial"/>
          <w:i/>
          <w:iCs/>
          <w:sz w:val="22"/>
          <w:lang w:eastAsia="en-GB"/>
        </w:rPr>
        <w:t>Glucose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219"/>
        <w:gridCol w:w="1219"/>
        <w:gridCol w:w="1219"/>
      </w:tblGrid>
      <w:tr w:rsidR="00710593" w:rsidRPr="007C1234" w14:paraId="45BD5712" w14:textId="77777777" w:rsidTr="005F3DDC">
        <w:trPr>
          <w:trHeight w:val="335"/>
        </w:trPr>
        <w:tc>
          <w:tcPr>
            <w:tcW w:w="1582" w:type="dxa"/>
            <w:vAlign w:val="center"/>
          </w:tcPr>
          <w:p w14:paraId="15624250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</w:p>
        </w:tc>
        <w:tc>
          <w:tcPr>
            <w:tcW w:w="1219" w:type="dxa"/>
            <w:vAlign w:val="center"/>
          </w:tcPr>
          <w:p w14:paraId="7596AE5C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FPG (mmol/L)</w:t>
            </w:r>
          </w:p>
        </w:tc>
        <w:tc>
          <w:tcPr>
            <w:tcW w:w="1219" w:type="dxa"/>
            <w:vAlign w:val="center"/>
          </w:tcPr>
          <w:p w14:paraId="30ABF237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OGTT (mmol/L)</w:t>
            </w:r>
          </w:p>
        </w:tc>
        <w:tc>
          <w:tcPr>
            <w:tcW w:w="1219" w:type="dxa"/>
            <w:vAlign w:val="center"/>
          </w:tcPr>
          <w:p w14:paraId="4F77E5F2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HbA1c (%)</w:t>
            </w:r>
          </w:p>
        </w:tc>
      </w:tr>
      <w:tr w:rsidR="00710593" w:rsidRPr="007C1234" w14:paraId="5FF89C72" w14:textId="77777777" w:rsidTr="005F3DDC">
        <w:trPr>
          <w:trHeight w:val="335"/>
        </w:trPr>
        <w:tc>
          <w:tcPr>
            <w:tcW w:w="1582" w:type="dxa"/>
            <w:vAlign w:val="center"/>
          </w:tcPr>
          <w:p w14:paraId="0BC2256F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All ages</w:t>
            </w:r>
          </w:p>
        </w:tc>
        <w:tc>
          <w:tcPr>
            <w:tcW w:w="1219" w:type="dxa"/>
            <w:vAlign w:val="center"/>
          </w:tcPr>
          <w:p w14:paraId="3222C946" w14:textId="6C033111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2-30</w:t>
            </w:r>
          </w:p>
        </w:tc>
        <w:tc>
          <w:tcPr>
            <w:tcW w:w="1219" w:type="dxa"/>
            <w:vAlign w:val="center"/>
          </w:tcPr>
          <w:p w14:paraId="7B9053E0" w14:textId="6C298779" w:rsidR="00710593" w:rsidRPr="007C1234" w:rsidRDefault="00967576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lang w:eastAsia="en-GB"/>
              </w:rPr>
              <w:t>2-</w:t>
            </w:r>
            <w:r w:rsidR="00710593" w:rsidRPr="007C1234">
              <w:rPr>
                <w:rFonts w:ascii="Arial" w:eastAsia="Times New Roman" w:hAnsi="Arial" w:cs="Arial"/>
                <w:sz w:val="22"/>
                <w:lang w:eastAsia="en-GB"/>
              </w:rPr>
              <w:t>30</w:t>
            </w:r>
          </w:p>
        </w:tc>
        <w:tc>
          <w:tcPr>
            <w:tcW w:w="1219" w:type="dxa"/>
            <w:vAlign w:val="center"/>
          </w:tcPr>
          <w:p w14:paraId="6AEEA338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3-18</w:t>
            </w:r>
          </w:p>
        </w:tc>
      </w:tr>
    </w:tbl>
    <w:p w14:paraId="6985D4E5" w14:textId="4E236129" w:rsidR="005F3DDC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FPG: fasting plasma glucose; OGTT: 2hour oral glucose tolerance test</w:t>
      </w:r>
    </w:p>
    <w:p w14:paraId="3E534F11" w14:textId="77777777" w:rsidR="001F70C8" w:rsidRDefault="001F70C8" w:rsidP="00383E21">
      <w:pPr>
        <w:spacing w:after="0" w:line="240" w:lineRule="auto"/>
        <w:rPr>
          <w:rFonts w:ascii="Arial" w:hAnsi="Arial" w:cs="Arial"/>
          <w:sz w:val="22"/>
          <w:lang w:eastAsia="en-GB"/>
        </w:rPr>
      </w:pPr>
    </w:p>
    <w:p w14:paraId="5F969A0D" w14:textId="0192DA10" w:rsidR="00710593" w:rsidRPr="007D0CE3" w:rsidRDefault="00710593" w:rsidP="007D0CE3">
      <w:pPr>
        <w:spacing w:after="0" w:line="240" w:lineRule="auto"/>
        <w:rPr>
          <w:rFonts w:ascii="Arial" w:hAnsi="Arial" w:cs="Arial"/>
          <w:i/>
          <w:iCs/>
          <w:sz w:val="22"/>
          <w:lang w:eastAsia="en-GB"/>
        </w:rPr>
      </w:pPr>
      <w:r w:rsidRPr="007D0CE3">
        <w:rPr>
          <w:rFonts w:ascii="Arial" w:hAnsi="Arial" w:cs="Arial"/>
          <w:i/>
          <w:iCs/>
          <w:sz w:val="22"/>
          <w:lang w:eastAsia="en-GB"/>
        </w:rPr>
        <w:t xml:space="preserve">Kidney </w:t>
      </w:r>
      <w:r w:rsidR="00A979CD">
        <w:rPr>
          <w:rFonts w:ascii="Arial" w:hAnsi="Arial" w:cs="Arial"/>
          <w:i/>
          <w:iCs/>
          <w:sz w:val="22"/>
          <w:lang w:eastAsia="en-GB"/>
        </w:rPr>
        <w:t xml:space="preserve">function </w:t>
      </w:r>
      <w:r w:rsidRPr="007D0CE3">
        <w:rPr>
          <w:rFonts w:ascii="Arial" w:hAnsi="Arial" w:cs="Arial"/>
          <w:i/>
          <w:iCs/>
          <w:sz w:val="22"/>
          <w:lang w:eastAsia="en-GB"/>
        </w:rPr>
        <w:t>related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2"/>
        <w:gridCol w:w="1871"/>
        <w:gridCol w:w="1843"/>
      </w:tblGrid>
      <w:tr w:rsidR="00710593" w:rsidRPr="007C1234" w14:paraId="2325FF46" w14:textId="77777777" w:rsidTr="005F3DDC">
        <w:trPr>
          <w:trHeight w:val="289"/>
        </w:trPr>
        <w:tc>
          <w:tcPr>
            <w:tcW w:w="1582" w:type="dxa"/>
            <w:vAlign w:val="center"/>
          </w:tcPr>
          <w:p w14:paraId="2FA0E05B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</w:p>
        </w:tc>
        <w:tc>
          <w:tcPr>
            <w:tcW w:w="1871" w:type="dxa"/>
            <w:vAlign w:val="center"/>
          </w:tcPr>
          <w:p w14:paraId="49CBD1A8" w14:textId="09BD105E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Serum</w:t>
            </w:r>
            <w:r w:rsidR="005F3DDC">
              <w:rPr>
                <w:rFonts w:ascii="Arial" w:eastAsia="Times New Roman" w:hAnsi="Arial" w:cs="Arial"/>
                <w:sz w:val="22"/>
                <w:lang w:eastAsia="en-GB"/>
              </w:rPr>
              <w:t xml:space="preserve"> </w:t>
            </w: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creatinine</w:t>
            </w:r>
          </w:p>
          <w:p w14:paraId="2B3708A1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(µmol/L)</w:t>
            </w:r>
          </w:p>
        </w:tc>
        <w:tc>
          <w:tcPr>
            <w:tcW w:w="1843" w:type="dxa"/>
            <w:vAlign w:val="center"/>
          </w:tcPr>
          <w:p w14:paraId="7952BFDB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eGFR</w:t>
            </w:r>
          </w:p>
          <w:p w14:paraId="76973DAD" w14:textId="607CFC3A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(mL/min/1.73m</w:t>
            </w:r>
            <w:r w:rsidRPr="005F3DDC">
              <w:rPr>
                <w:rFonts w:ascii="Arial" w:eastAsia="Times New Roman" w:hAnsi="Arial" w:cs="Arial"/>
                <w:sz w:val="22"/>
                <w:vertAlign w:val="superscript"/>
                <w:lang w:eastAsia="en-GB"/>
              </w:rPr>
              <w:t>2</w:t>
            </w: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)</w:t>
            </w:r>
          </w:p>
        </w:tc>
      </w:tr>
      <w:tr w:rsidR="00710593" w:rsidRPr="007C1234" w14:paraId="49B81A57" w14:textId="77777777" w:rsidTr="005F3DDC">
        <w:trPr>
          <w:trHeight w:val="289"/>
        </w:trPr>
        <w:tc>
          <w:tcPr>
            <w:tcW w:w="1582" w:type="dxa"/>
            <w:vAlign w:val="center"/>
          </w:tcPr>
          <w:p w14:paraId="03BEE9CA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All ages</w:t>
            </w:r>
          </w:p>
        </w:tc>
        <w:tc>
          <w:tcPr>
            <w:tcW w:w="1871" w:type="dxa"/>
            <w:vAlign w:val="center"/>
          </w:tcPr>
          <w:p w14:paraId="4E1B9730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8-1800</w:t>
            </w:r>
          </w:p>
        </w:tc>
        <w:tc>
          <w:tcPr>
            <w:tcW w:w="1843" w:type="dxa"/>
            <w:vAlign w:val="center"/>
          </w:tcPr>
          <w:p w14:paraId="1383FE1B" w14:textId="77777777" w:rsidR="00710593" w:rsidRPr="007C1234" w:rsidRDefault="00710593" w:rsidP="005F3DDC">
            <w:pPr>
              <w:spacing w:after="0" w:line="240" w:lineRule="auto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5-250</w:t>
            </w:r>
          </w:p>
        </w:tc>
      </w:tr>
    </w:tbl>
    <w:p w14:paraId="018FF406" w14:textId="0F86F633" w:rsidR="00710593" w:rsidRDefault="001F70C8" w:rsidP="005F3DDC">
      <w:p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eGFR: estimated glomerular filtration rate</w:t>
      </w:r>
    </w:p>
    <w:p w14:paraId="479FCB22" w14:textId="77777777" w:rsidR="00A979CD" w:rsidRDefault="00A979CD" w:rsidP="005F3DDC">
      <w:pPr>
        <w:spacing w:after="0"/>
        <w:rPr>
          <w:rFonts w:ascii="Arial" w:hAnsi="Arial" w:cs="Arial"/>
          <w:sz w:val="22"/>
        </w:rPr>
      </w:pPr>
    </w:p>
    <w:p w14:paraId="0A9630A2" w14:textId="7979B5CE" w:rsidR="00710593" w:rsidRPr="007D0CE3" w:rsidRDefault="00C7339A" w:rsidP="007D0CE3">
      <w:pPr>
        <w:spacing w:after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Applying m</w:t>
      </w:r>
      <w:r w:rsidRPr="007D0CE3">
        <w:rPr>
          <w:rFonts w:ascii="Arial" w:hAnsi="Arial" w:cs="Arial"/>
          <w:b/>
          <w:bCs/>
          <w:sz w:val="22"/>
        </w:rPr>
        <w:t xml:space="preserve">ultivariate </w:t>
      </w:r>
      <w:r w:rsidR="00077A90">
        <w:rPr>
          <w:rFonts w:ascii="Arial" w:hAnsi="Arial" w:cs="Arial"/>
          <w:b/>
          <w:bCs/>
          <w:sz w:val="22"/>
        </w:rPr>
        <w:t>cleaning criteria</w:t>
      </w:r>
    </w:p>
    <w:p w14:paraId="4CD5B797" w14:textId="4D4097B9" w:rsidR="00710593" w:rsidRPr="007C1234" w:rsidRDefault="00710593" w:rsidP="005F3DDC">
      <w:pPr>
        <w:spacing w:after="0"/>
        <w:rPr>
          <w:rFonts w:ascii="Arial" w:hAnsi="Arial" w:cs="Arial"/>
          <w:sz w:val="22"/>
        </w:rPr>
      </w:pPr>
      <w:r w:rsidRPr="007C1234">
        <w:rPr>
          <w:rFonts w:ascii="Arial" w:hAnsi="Arial" w:cs="Arial"/>
          <w:sz w:val="22"/>
        </w:rPr>
        <w:t xml:space="preserve">The following constraints are applied after </w:t>
      </w:r>
      <w:r w:rsidR="00077A90">
        <w:rPr>
          <w:rFonts w:ascii="Arial" w:hAnsi="Arial" w:cs="Arial"/>
          <w:sz w:val="22"/>
        </w:rPr>
        <w:t>applying univariate cleaning criteria</w:t>
      </w:r>
      <w:r w:rsidRPr="007C1234">
        <w:rPr>
          <w:rFonts w:ascii="Arial" w:hAnsi="Arial" w:cs="Arial"/>
          <w:sz w:val="22"/>
        </w:rPr>
        <w:t xml:space="preserve"> listed above:</w:t>
      </w:r>
    </w:p>
    <w:p w14:paraId="3DF0FFBC" w14:textId="2D919984" w:rsidR="00710593" w:rsidRPr="00A6622C" w:rsidRDefault="00710593" w:rsidP="00A6622C">
      <w:pPr>
        <w:pStyle w:val="ListParagraph"/>
        <w:numPr>
          <w:ilvl w:val="0"/>
          <w:numId w:val="12"/>
        </w:numPr>
        <w:spacing w:after="0"/>
        <w:rPr>
          <w:rFonts w:ascii="Arial" w:eastAsia="Times New Roman" w:hAnsi="Arial" w:cs="Arial"/>
          <w:sz w:val="22"/>
          <w:lang w:eastAsia="en-GB"/>
        </w:rPr>
      </w:pPr>
      <w:r w:rsidRPr="00A6622C">
        <w:rPr>
          <w:rFonts w:ascii="Arial" w:eastAsia="Times New Roman" w:hAnsi="Arial" w:cs="Arial"/>
          <w:sz w:val="22"/>
          <w:lang w:eastAsia="en-GB"/>
        </w:rPr>
        <w:t xml:space="preserve">SBP &gt; DBP </w:t>
      </w:r>
    </w:p>
    <w:p w14:paraId="45BB2170" w14:textId="5F8DCBBB" w:rsidR="00D27110" w:rsidRPr="007C1234" w:rsidRDefault="00D27110" w:rsidP="00E841DE">
      <w:pPr>
        <w:spacing w:after="0"/>
        <w:ind w:left="360"/>
        <w:contextualSpacing/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hAnsi="Arial" w:cs="Arial"/>
          <w:sz w:val="22"/>
        </w:rPr>
        <w:t>I</w:t>
      </w:r>
      <w:r w:rsidRPr="007C1234">
        <w:rPr>
          <w:rFonts w:ascii="Arial" w:hAnsi="Arial" w:cs="Arial"/>
          <w:sz w:val="22"/>
        </w:rPr>
        <w:t xml:space="preserve">f multiple measurements </w:t>
      </w:r>
      <w:r>
        <w:rPr>
          <w:rFonts w:ascii="Arial" w:hAnsi="Arial" w:cs="Arial"/>
          <w:sz w:val="22"/>
        </w:rPr>
        <w:t xml:space="preserve">of blood pressure </w:t>
      </w:r>
      <w:r w:rsidRPr="007C1234">
        <w:rPr>
          <w:rFonts w:ascii="Arial" w:hAnsi="Arial" w:cs="Arial"/>
          <w:sz w:val="22"/>
        </w:rPr>
        <w:t>are taken, the average SBP and DBP are calculated by discarding the first measurement and averaging the remain</w:t>
      </w:r>
      <w:r>
        <w:rPr>
          <w:rFonts w:ascii="Arial" w:hAnsi="Arial" w:cs="Arial"/>
          <w:sz w:val="22"/>
        </w:rPr>
        <w:t>der</w:t>
      </w:r>
      <w:r w:rsidRPr="007C1234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. </w:t>
      </w:r>
      <w:r w:rsidR="00077A90">
        <w:rPr>
          <w:rFonts w:ascii="Arial" w:hAnsi="Arial" w:cs="Arial"/>
          <w:sz w:val="22"/>
        </w:rPr>
        <w:t xml:space="preserve">The constraint is applied to the average SBP and DBP. </w:t>
      </w:r>
      <w:r>
        <w:rPr>
          <w:rFonts w:ascii="Arial" w:hAnsi="Arial" w:cs="Arial"/>
          <w:sz w:val="22"/>
        </w:rPr>
        <w:t xml:space="preserve">The averaging should be done </w:t>
      </w:r>
      <w:r w:rsidRPr="007C1234">
        <w:rPr>
          <w:rFonts w:ascii="Arial" w:hAnsi="Arial" w:cs="Arial"/>
          <w:sz w:val="22"/>
        </w:rPr>
        <w:t xml:space="preserve">after excluding measurements outside of </w:t>
      </w:r>
      <w:r w:rsidR="00077A90">
        <w:rPr>
          <w:rFonts w:ascii="Arial" w:hAnsi="Arial" w:cs="Arial"/>
          <w:sz w:val="22"/>
        </w:rPr>
        <w:t xml:space="preserve">the ranges in the </w:t>
      </w:r>
      <w:r>
        <w:rPr>
          <w:rFonts w:ascii="Arial" w:hAnsi="Arial" w:cs="Arial"/>
          <w:sz w:val="22"/>
        </w:rPr>
        <w:t xml:space="preserve">univariate </w:t>
      </w:r>
      <w:r w:rsidR="00077A90">
        <w:rPr>
          <w:rFonts w:ascii="Arial" w:hAnsi="Arial" w:cs="Arial"/>
          <w:sz w:val="22"/>
        </w:rPr>
        <w:t>cleaning criteria</w:t>
      </w:r>
      <w:r>
        <w:rPr>
          <w:rFonts w:ascii="Arial" w:hAnsi="Arial" w:cs="Arial"/>
          <w:sz w:val="22"/>
        </w:rPr>
        <w:t xml:space="preserve"> noted in the first section</w:t>
      </w:r>
      <w:r w:rsidR="00077A90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</w:p>
    <w:p w14:paraId="618FAE01" w14:textId="77777777" w:rsidR="00710593" w:rsidRPr="007C1234" w:rsidRDefault="00710593" w:rsidP="007D0CE3">
      <w:pPr>
        <w:numPr>
          <w:ilvl w:val="0"/>
          <w:numId w:val="9"/>
        </w:numPr>
        <w:spacing w:after="0"/>
        <w:contextualSpacing/>
        <w:rPr>
          <w:rFonts w:ascii="Arial" w:eastAsia="Times New Roman" w:hAnsi="Arial" w:cs="Arial"/>
          <w:sz w:val="22"/>
          <w:lang w:eastAsia="en-GB"/>
        </w:rPr>
      </w:pPr>
      <w:r w:rsidRPr="007C1234">
        <w:rPr>
          <w:rFonts w:ascii="Arial" w:eastAsia="Times New Roman" w:hAnsi="Arial" w:cs="Arial"/>
          <w:sz w:val="22"/>
          <w:lang w:eastAsia="en-GB"/>
        </w:rPr>
        <w:t>TC &gt; LDL</w:t>
      </w:r>
    </w:p>
    <w:p w14:paraId="60134CFB" w14:textId="77777777" w:rsidR="00710593" w:rsidRPr="007C1234" w:rsidRDefault="00710593" w:rsidP="007D0CE3">
      <w:pPr>
        <w:numPr>
          <w:ilvl w:val="0"/>
          <w:numId w:val="9"/>
        </w:numPr>
        <w:spacing w:after="0"/>
        <w:contextualSpacing/>
        <w:rPr>
          <w:rFonts w:ascii="Arial" w:eastAsia="Times New Roman" w:hAnsi="Arial" w:cs="Arial"/>
          <w:sz w:val="22"/>
          <w:lang w:eastAsia="en-GB"/>
        </w:rPr>
      </w:pPr>
      <w:r w:rsidRPr="007C1234">
        <w:rPr>
          <w:rFonts w:ascii="Arial" w:eastAsia="Times New Roman" w:hAnsi="Arial" w:cs="Arial"/>
          <w:sz w:val="22"/>
          <w:lang w:eastAsia="en-GB"/>
        </w:rPr>
        <w:t>TC &gt; HDL</w:t>
      </w:r>
    </w:p>
    <w:p w14:paraId="0E886C15" w14:textId="412A1E96" w:rsidR="00C7339A" w:rsidRPr="00A6622C" w:rsidRDefault="00710593" w:rsidP="00383E21">
      <w:pPr>
        <w:numPr>
          <w:ilvl w:val="0"/>
          <w:numId w:val="9"/>
        </w:numPr>
        <w:spacing w:after="0"/>
        <w:contextualSpacing/>
        <w:rPr>
          <w:rFonts w:ascii="Arial" w:eastAsia="Times New Roman" w:hAnsi="Arial" w:cs="Arial"/>
          <w:sz w:val="22"/>
          <w:lang w:eastAsia="en-GB"/>
        </w:rPr>
      </w:pPr>
      <w:r w:rsidRPr="007C1234">
        <w:rPr>
          <w:rFonts w:ascii="Arial" w:eastAsia="Times New Roman" w:hAnsi="Arial" w:cs="Arial"/>
          <w:sz w:val="22"/>
          <w:lang w:eastAsia="en-GB"/>
        </w:rPr>
        <w:t xml:space="preserve">TC – (LDL + HDL) </w:t>
      </w:r>
      <w:r w:rsidRPr="007C1234">
        <w:rPr>
          <w:rFonts w:ascii="Arial" w:eastAsia="Times New Roman" w:hAnsi="Arial" w:cs="Arial"/>
          <w:sz w:val="22"/>
          <w:lang w:eastAsia="en-GB"/>
        </w:rPr>
        <w:sym w:font="Symbol" w:char="F0B3"/>
      </w:r>
      <w:r w:rsidRPr="007C1234">
        <w:rPr>
          <w:rFonts w:ascii="Arial" w:eastAsia="Times New Roman" w:hAnsi="Arial" w:cs="Arial"/>
          <w:sz w:val="22"/>
          <w:lang w:eastAsia="en-GB"/>
        </w:rPr>
        <w:t xml:space="preserve"> margin of error</w:t>
      </w:r>
    </w:p>
    <w:p w14:paraId="5C583E76" w14:textId="2502E999" w:rsidR="00710593" w:rsidRPr="00383E21" w:rsidRDefault="007D0CE3" w:rsidP="00383E21">
      <w:pPr>
        <w:spacing w:after="0"/>
        <w:rPr>
          <w:rFonts w:ascii="Arial" w:hAnsi="Arial" w:cs="Arial"/>
          <w:sz w:val="22"/>
        </w:rPr>
      </w:pPr>
      <w:r w:rsidRPr="00383E21">
        <w:rPr>
          <w:rFonts w:ascii="Arial" w:hAnsi="Arial" w:cs="Arial"/>
          <w:sz w:val="22"/>
        </w:rPr>
        <w:t xml:space="preserve">The </w:t>
      </w:r>
      <w:r w:rsidR="00710593" w:rsidRPr="00383E21">
        <w:rPr>
          <w:rFonts w:ascii="Arial" w:hAnsi="Arial" w:cs="Arial"/>
          <w:sz w:val="22"/>
        </w:rPr>
        <w:t xml:space="preserve">“margin of error” is determined by using the Cholesterol Reference Method Laboratory </w:t>
      </w:r>
      <w:r w:rsidR="004C4D50" w:rsidRPr="00383E21">
        <w:rPr>
          <w:rFonts w:ascii="Arial" w:hAnsi="Arial" w:cs="Arial"/>
          <w:sz w:val="22"/>
        </w:rPr>
        <w:t>Network permitted</w:t>
      </w:r>
      <w:r w:rsidR="00710593" w:rsidRPr="00383E21">
        <w:rPr>
          <w:rFonts w:ascii="Arial" w:hAnsi="Arial" w:cs="Arial"/>
          <w:sz w:val="22"/>
        </w:rPr>
        <w:t xml:space="preserve"> measurement error limits for TC (8.9%), HDL (13%) and LDL (12%) as follows:</w:t>
      </w:r>
    </w:p>
    <w:p w14:paraId="40612842" w14:textId="351A3693" w:rsidR="00710593" w:rsidRPr="00383E21" w:rsidRDefault="00710593" w:rsidP="00383E21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2"/>
        </w:rPr>
      </w:pPr>
      <w:r w:rsidRPr="00383E21">
        <w:rPr>
          <w:rFonts w:ascii="Arial" w:hAnsi="Arial" w:cs="Arial"/>
          <w:sz w:val="22"/>
        </w:rPr>
        <w:t xml:space="preserve">Calculate errors in worst case scenario, </w:t>
      </w:r>
      <w:proofErr w:type="gramStart"/>
      <w:r w:rsidRPr="00383E21">
        <w:rPr>
          <w:rFonts w:ascii="Arial" w:hAnsi="Arial" w:cs="Arial"/>
          <w:sz w:val="22"/>
        </w:rPr>
        <w:t>i.e.</w:t>
      </w:r>
      <w:proofErr w:type="gramEnd"/>
      <w:r w:rsidRPr="00383E21">
        <w:rPr>
          <w:rFonts w:ascii="Arial" w:hAnsi="Arial" w:cs="Arial"/>
          <w:sz w:val="22"/>
        </w:rPr>
        <w:t xml:space="preserve"> TC </w:t>
      </w:r>
      <w:r w:rsidR="007D0CE3" w:rsidRPr="00383E21">
        <w:rPr>
          <w:rFonts w:ascii="Arial" w:hAnsi="Arial" w:cs="Arial"/>
          <w:sz w:val="22"/>
        </w:rPr>
        <w:t xml:space="preserve">is </w:t>
      </w:r>
      <w:r w:rsidRPr="00383E21">
        <w:rPr>
          <w:rFonts w:ascii="Arial" w:hAnsi="Arial" w:cs="Arial"/>
          <w:sz w:val="22"/>
        </w:rPr>
        <w:t>underestimated and HDL/LDL overestimated, each by the largest error permitted;</w:t>
      </w:r>
    </w:p>
    <w:p w14:paraId="6A523B53" w14:textId="302220BA" w:rsidR="00710593" w:rsidRPr="00383E21" w:rsidRDefault="00B16D27" w:rsidP="00383E21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simplification t</w:t>
      </w:r>
      <w:r w:rsidR="00710593" w:rsidRPr="00383E21">
        <w:rPr>
          <w:rFonts w:ascii="Arial" w:hAnsi="Arial" w:cs="Arial"/>
          <w:sz w:val="22"/>
        </w:rPr>
        <w:t>he limit of errors by quartiles of TC using US NHANES data:</w:t>
      </w:r>
    </w:p>
    <w:tbl>
      <w:tblPr>
        <w:tblStyle w:val="TableGrid"/>
        <w:tblW w:w="8715" w:type="dxa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3"/>
      </w:tblGrid>
      <w:tr w:rsidR="00710593" w:rsidRPr="007C1234" w14:paraId="5A644E20" w14:textId="77777777" w:rsidTr="00383E21">
        <w:trPr>
          <w:trHeight w:val="284"/>
          <w:jc w:val="center"/>
        </w:trPr>
        <w:tc>
          <w:tcPr>
            <w:tcW w:w="1743" w:type="dxa"/>
            <w:vAlign w:val="center"/>
          </w:tcPr>
          <w:p w14:paraId="6FBAC6B3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TC range (mmol/L)</w:t>
            </w:r>
          </w:p>
        </w:tc>
        <w:tc>
          <w:tcPr>
            <w:tcW w:w="1743" w:type="dxa"/>
            <w:vAlign w:val="center"/>
          </w:tcPr>
          <w:p w14:paraId="6B65C247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&lt;4.040</w:t>
            </w:r>
          </w:p>
        </w:tc>
        <w:tc>
          <w:tcPr>
            <w:tcW w:w="1743" w:type="dxa"/>
            <w:vAlign w:val="center"/>
          </w:tcPr>
          <w:p w14:paraId="39DB045F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4.040 to &lt;4.714</w:t>
            </w:r>
          </w:p>
        </w:tc>
        <w:tc>
          <w:tcPr>
            <w:tcW w:w="1743" w:type="dxa"/>
            <w:vAlign w:val="center"/>
          </w:tcPr>
          <w:p w14:paraId="22437D9D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4.714 to &lt;5.465</w:t>
            </w:r>
          </w:p>
        </w:tc>
        <w:tc>
          <w:tcPr>
            <w:tcW w:w="1743" w:type="dxa"/>
            <w:vAlign w:val="center"/>
          </w:tcPr>
          <w:p w14:paraId="1236C65B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sym w:font="Symbol" w:char="F0B3"/>
            </w: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5.465</w:t>
            </w:r>
          </w:p>
        </w:tc>
      </w:tr>
      <w:tr w:rsidR="00710593" w:rsidRPr="007C1234" w14:paraId="48DCFD44" w14:textId="77777777" w:rsidTr="00383E21">
        <w:trPr>
          <w:trHeight w:val="284"/>
          <w:jc w:val="center"/>
        </w:trPr>
        <w:tc>
          <w:tcPr>
            <w:tcW w:w="1743" w:type="dxa"/>
            <w:vAlign w:val="center"/>
          </w:tcPr>
          <w:p w14:paraId="5515FCE3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Margin of error (mmol/L)</w:t>
            </w:r>
          </w:p>
        </w:tc>
        <w:tc>
          <w:tcPr>
            <w:tcW w:w="1743" w:type="dxa"/>
            <w:vAlign w:val="center"/>
          </w:tcPr>
          <w:p w14:paraId="47937372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-0.7125</w:t>
            </w:r>
          </w:p>
        </w:tc>
        <w:tc>
          <w:tcPr>
            <w:tcW w:w="1743" w:type="dxa"/>
            <w:vAlign w:val="center"/>
          </w:tcPr>
          <w:p w14:paraId="7EC0B43A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-0.8821</w:t>
            </w:r>
          </w:p>
        </w:tc>
        <w:tc>
          <w:tcPr>
            <w:tcW w:w="1743" w:type="dxa"/>
            <w:vAlign w:val="center"/>
          </w:tcPr>
          <w:p w14:paraId="41CF10C7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-0.9700</w:t>
            </w:r>
          </w:p>
        </w:tc>
        <w:tc>
          <w:tcPr>
            <w:tcW w:w="1743" w:type="dxa"/>
            <w:vAlign w:val="center"/>
          </w:tcPr>
          <w:p w14:paraId="3FC377F0" w14:textId="77777777" w:rsidR="00710593" w:rsidRPr="007C1234" w:rsidRDefault="00710593" w:rsidP="007D0C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lang w:eastAsia="en-GB"/>
              </w:rPr>
            </w:pPr>
            <w:r w:rsidRPr="007C1234">
              <w:rPr>
                <w:rFonts w:ascii="Arial" w:eastAsia="Times New Roman" w:hAnsi="Arial" w:cs="Arial"/>
                <w:sz w:val="22"/>
                <w:lang w:eastAsia="en-GB"/>
              </w:rPr>
              <w:t>-1.7520</w:t>
            </w:r>
          </w:p>
        </w:tc>
      </w:tr>
    </w:tbl>
    <w:p w14:paraId="4878E729" w14:textId="77777777" w:rsidR="00BB4961" w:rsidRDefault="00BB4961" w:rsidP="005F3DDC">
      <w:pPr>
        <w:spacing w:after="0"/>
        <w:rPr>
          <w:rFonts w:ascii="Arial" w:hAnsi="Arial" w:cs="Arial"/>
          <w:b/>
          <w:bCs/>
          <w:sz w:val="22"/>
        </w:rPr>
      </w:pPr>
    </w:p>
    <w:p w14:paraId="7D4DACE8" w14:textId="431CF1E6" w:rsidR="00710593" w:rsidRPr="007D0CE3" w:rsidRDefault="00710593" w:rsidP="007D0CE3">
      <w:pPr>
        <w:spacing w:after="0"/>
        <w:rPr>
          <w:rFonts w:ascii="Arial" w:hAnsi="Arial" w:cs="Arial"/>
          <w:b/>
          <w:bCs/>
          <w:sz w:val="22"/>
        </w:rPr>
      </w:pPr>
      <w:r w:rsidRPr="007D0CE3">
        <w:rPr>
          <w:rFonts w:ascii="Arial" w:hAnsi="Arial" w:cs="Arial"/>
          <w:b/>
          <w:bCs/>
          <w:sz w:val="22"/>
        </w:rPr>
        <w:t>Multivariate outlier detection</w:t>
      </w:r>
    </w:p>
    <w:p w14:paraId="06A65587" w14:textId="7A84E014" w:rsidR="00710593" w:rsidRDefault="00710593" w:rsidP="005F3DDC">
      <w:pPr>
        <w:spacing w:after="0"/>
        <w:rPr>
          <w:rFonts w:ascii="Arial" w:hAnsi="Arial" w:cs="Arial"/>
          <w:color w:val="24292F"/>
          <w:sz w:val="22"/>
          <w:shd w:val="clear" w:color="auto" w:fill="FFFFFF"/>
        </w:rPr>
      </w:pPr>
      <w:r w:rsidRPr="007C1234">
        <w:rPr>
          <w:rFonts w:ascii="Arial" w:hAnsi="Arial" w:cs="Arial"/>
          <w:color w:val="24292F"/>
          <w:sz w:val="22"/>
          <w:shd w:val="clear" w:color="auto" w:fill="FFFFFF"/>
        </w:rPr>
        <w:t xml:space="preserve">After applying both univariate and multivariate </w:t>
      </w:r>
      <w:r w:rsidR="00077A90">
        <w:rPr>
          <w:rFonts w:ascii="Arial" w:hAnsi="Arial" w:cs="Arial"/>
          <w:color w:val="24292F"/>
          <w:sz w:val="22"/>
          <w:shd w:val="clear" w:color="auto" w:fill="FFFFFF"/>
        </w:rPr>
        <w:t>cleaning criteria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 xml:space="preserve">, multivariate outlier detection is carried out on </w:t>
      </w:r>
      <w:r w:rsidR="00324BE4">
        <w:rPr>
          <w:rFonts w:ascii="Arial" w:hAnsi="Arial" w:cs="Arial"/>
          <w:color w:val="24292F"/>
          <w:sz w:val="22"/>
          <w:shd w:val="clear" w:color="auto" w:fill="FFFFFF"/>
        </w:rPr>
        <w:t xml:space="preserve">all 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 xml:space="preserve">pairs of variables within the same risk factor family (see lists </w:t>
      </w:r>
      <w:r w:rsidR="00D23517">
        <w:rPr>
          <w:rFonts w:ascii="Arial" w:hAnsi="Arial" w:cs="Arial"/>
          <w:color w:val="24292F"/>
          <w:sz w:val="22"/>
          <w:shd w:val="clear" w:color="auto" w:fill="FFFFFF"/>
        </w:rPr>
        <w:t>in the first section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>).</w:t>
      </w:r>
      <w:r w:rsidR="00383E21">
        <w:rPr>
          <w:rFonts w:ascii="Arial" w:hAnsi="Arial" w:cs="Arial"/>
          <w:color w:val="24292F"/>
          <w:sz w:val="22"/>
          <w:shd w:val="clear" w:color="auto" w:fill="FFFFFF"/>
        </w:rPr>
        <w:t xml:space="preserve"> 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>In each pair, a method based on Mahalanobis distance</w:t>
      </w:r>
      <w:r w:rsidR="00DC18F4">
        <w:rPr>
          <w:rFonts w:ascii="Arial" w:hAnsi="Arial" w:cs="Arial"/>
          <w:color w:val="24292F"/>
          <w:sz w:val="22"/>
          <w:shd w:val="clear" w:color="auto" w:fill="FFFFFF"/>
        </w:rPr>
        <w:fldChar w:fldCharType="begin"/>
      </w:r>
      <w:r w:rsidR="00DC18F4">
        <w:rPr>
          <w:rFonts w:ascii="Arial" w:hAnsi="Arial" w:cs="Arial"/>
          <w:color w:val="24292F"/>
          <w:sz w:val="22"/>
          <w:shd w:val="clear" w:color="auto" w:fill="FFFFFF"/>
        </w:rPr>
        <w:instrText xml:space="preserve"> ADDIN EN.CITE &lt;EndNote&gt;&lt;Cite&gt;&lt;Author&gt;Filzmoser&lt;/Author&gt;&lt;Year&gt;2004&lt;/Year&gt;&lt;RecNum&gt;2&lt;/RecNum&gt;&lt;DisplayText&gt;&lt;style face="superscript"&gt;1&lt;/style&gt;&lt;/DisplayText&gt;&lt;record&gt;&lt;rec-number&gt;2&lt;/rec-number&gt;&lt;foreign-keys&gt;&lt;key app="EN" db-id="zwavwrptsp2rt6e005v5txe7exfwsedsax2p" timestamp="1638104366"&gt;2&lt;/key&gt;&lt;/foreign-keys&gt;&lt;ref-type name="Book"&gt;6&lt;/ref-type&gt;&lt;contributors&gt;&lt;authors&gt;&lt;author&gt;Filzmoser, Peter&lt;/author&gt;&lt;/authors&gt;&lt;/contributors&gt;&lt;titles&gt;&lt;title&gt;A multivariate outlier detection method&lt;/title&gt;&lt;/titles&gt;&lt;dates&gt;&lt;year&gt;2004&lt;/year&gt;&lt;/dates&gt;&lt;publisher&gt;Citeseer&lt;/publisher&gt;&lt;urls&gt;&lt;/urls&gt;&lt;/record&gt;&lt;/Cite&gt;&lt;/EndNote&gt;</w:instrText>
      </w:r>
      <w:r w:rsidR="00DC18F4">
        <w:rPr>
          <w:rFonts w:ascii="Arial" w:hAnsi="Arial" w:cs="Arial"/>
          <w:color w:val="24292F"/>
          <w:sz w:val="22"/>
          <w:shd w:val="clear" w:color="auto" w:fill="FFFFFF"/>
        </w:rPr>
        <w:fldChar w:fldCharType="separate"/>
      </w:r>
      <w:r w:rsidR="00DC18F4" w:rsidRPr="00DC18F4">
        <w:rPr>
          <w:rFonts w:ascii="Arial" w:hAnsi="Arial" w:cs="Arial"/>
          <w:noProof/>
          <w:color w:val="24292F"/>
          <w:sz w:val="22"/>
          <w:shd w:val="clear" w:color="auto" w:fill="FFFFFF"/>
          <w:vertAlign w:val="superscript"/>
        </w:rPr>
        <w:t>1</w:t>
      </w:r>
      <w:r w:rsidR="00DC18F4">
        <w:rPr>
          <w:rFonts w:ascii="Arial" w:hAnsi="Arial" w:cs="Arial"/>
          <w:color w:val="24292F"/>
          <w:sz w:val="22"/>
          <w:shd w:val="clear" w:color="auto" w:fill="FFFFFF"/>
        </w:rPr>
        <w:fldChar w:fldCharType="end"/>
      </w:r>
      <w:r w:rsidR="00DC18F4">
        <w:rPr>
          <w:rFonts w:ascii="Arial" w:hAnsi="Arial" w:cs="Arial"/>
          <w:color w:val="24292F"/>
          <w:sz w:val="22"/>
          <w:shd w:val="clear" w:color="auto" w:fill="FFFFFF"/>
        </w:rPr>
        <w:t xml:space="preserve"> 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>is used to calculate the distance of the data points to the centre of all available data, and those that lie outside a certain threshold will be removed</w:t>
      </w:r>
      <w:r w:rsidR="007A441A">
        <w:rPr>
          <w:rFonts w:ascii="Arial" w:hAnsi="Arial" w:cs="Arial"/>
          <w:color w:val="24292F"/>
          <w:sz w:val="22"/>
          <w:shd w:val="clear" w:color="auto" w:fill="FFFFFF"/>
        </w:rPr>
        <w:t xml:space="preserve"> (both variables) 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t xml:space="preserve">. Although called “outlier detection”, the threshold </w:t>
      </w:r>
      <w:r w:rsidRPr="007C1234">
        <w:rPr>
          <w:rFonts w:ascii="Arial" w:hAnsi="Arial" w:cs="Arial"/>
          <w:color w:val="24292F"/>
          <w:sz w:val="22"/>
          <w:shd w:val="clear" w:color="auto" w:fill="FFFFFF"/>
        </w:rPr>
        <w:lastRenderedPageBreak/>
        <w:t>is chosen to catch only extreme values that are implausible. The points detected and removed should be examined in scatter plots.</w:t>
      </w:r>
    </w:p>
    <w:p w14:paraId="76A3B706" w14:textId="77777777" w:rsidR="00581B30" w:rsidRDefault="00581B30" w:rsidP="005F3DDC">
      <w:pPr>
        <w:spacing w:after="0"/>
        <w:rPr>
          <w:rFonts w:ascii="Arial" w:hAnsi="Arial" w:cs="Arial"/>
          <w:color w:val="24292F"/>
          <w:sz w:val="22"/>
          <w:shd w:val="clear" w:color="auto" w:fill="FFFFFF"/>
        </w:rPr>
      </w:pPr>
    </w:p>
    <w:p w14:paraId="2C00EC33" w14:textId="47A7AB52" w:rsidR="00710593" w:rsidRPr="00710593" w:rsidRDefault="00710593" w:rsidP="005F3DDC">
      <w:pPr>
        <w:spacing w:after="0"/>
        <w:rPr>
          <w:rFonts w:ascii="Arial" w:hAnsi="Arial" w:cs="Arial"/>
          <w:i/>
          <w:iCs/>
          <w:sz w:val="22"/>
        </w:rPr>
      </w:pPr>
      <w:r w:rsidRPr="00710593">
        <w:rPr>
          <w:rFonts w:ascii="Arial" w:hAnsi="Arial" w:cs="Arial"/>
          <w:i/>
          <w:iCs/>
          <w:sz w:val="22"/>
        </w:rPr>
        <w:t>Data normalization</w:t>
      </w:r>
    </w:p>
    <w:p w14:paraId="53AF50AE" w14:textId="2CD29C54" w:rsidR="00B54A77" w:rsidRDefault="00710593" w:rsidP="005F3DDC">
      <w:pPr>
        <w:spacing w:after="0"/>
        <w:rPr>
          <w:rFonts w:ascii="Arial" w:hAnsi="Arial" w:cs="Arial"/>
          <w:sz w:val="22"/>
        </w:rPr>
      </w:pPr>
      <w:r w:rsidRPr="007C1234">
        <w:rPr>
          <w:rFonts w:ascii="Arial" w:hAnsi="Arial" w:cs="Arial"/>
          <w:sz w:val="22"/>
        </w:rPr>
        <w:t xml:space="preserve">Mahalanobis outlier detection method assumes the data to be </w:t>
      </w:r>
      <w:r w:rsidR="00CC2C15">
        <w:rPr>
          <w:rFonts w:ascii="Arial" w:hAnsi="Arial" w:cs="Arial"/>
          <w:sz w:val="22"/>
        </w:rPr>
        <w:t>N</w:t>
      </w:r>
      <w:r w:rsidRPr="007C1234">
        <w:rPr>
          <w:rFonts w:ascii="Arial" w:hAnsi="Arial" w:cs="Arial"/>
          <w:sz w:val="22"/>
        </w:rPr>
        <w:t xml:space="preserve">ormally distributed. We suggest </w:t>
      </w:r>
      <w:r w:rsidR="00383E21" w:rsidRPr="007C1234">
        <w:rPr>
          <w:rFonts w:ascii="Arial" w:hAnsi="Arial" w:cs="Arial"/>
          <w:sz w:val="22"/>
        </w:rPr>
        <w:t>comparing</w:t>
      </w:r>
      <w:r w:rsidRPr="007C1234">
        <w:rPr>
          <w:rFonts w:ascii="Arial" w:hAnsi="Arial" w:cs="Arial"/>
          <w:sz w:val="22"/>
        </w:rPr>
        <w:t xml:space="preserve"> the distribution of each variable to </w:t>
      </w:r>
      <w:r w:rsidR="00383E21">
        <w:rPr>
          <w:rFonts w:ascii="Arial" w:hAnsi="Arial" w:cs="Arial"/>
          <w:sz w:val="22"/>
        </w:rPr>
        <w:t>its</w:t>
      </w:r>
      <w:r w:rsidRPr="007C1234">
        <w:rPr>
          <w:rFonts w:ascii="Arial" w:hAnsi="Arial" w:cs="Arial"/>
          <w:sz w:val="22"/>
        </w:rPr>
        <w:t xml:space="preserve"> log</w:t>
      </w:r>
      <w:r w:rsidR="00383E21">
        <w:rPr>
          <w:rFonts w:ascii="Arial" w:hAnsi="Arial" w:cs="Arial"/>
          <w:sz w:val="22"/>
        </w:rPr>
        <w:t>-</w:t>
      </w:r>
      <w:r w:rsidRPr="007C1234">
        <w:rPr>
          <w:rFonts w:ascii="Arial" w:hAnsi="Arial" w:cs="Arial"/>
          <w:sz w:val="22"/>
        </w:rPr>
        <w:t>transformed</w:t>
      </w:r>
      <w:r w:rsidR="00383E21" w:rsidRPr="00383E21">
        <w:rPr>
          <w:rFonts w:ascii="Arial" w:hAnsi="Arial" w:cs="Arial"/>
          <w:sz w:val="22"/>
        </w:rPr>
        <w:t xml:space="preserve"> </w:t>
      </w:r>
      <w:proofErr w:type="gramStart"/>
      <w:r w:rsidR="00383E21">
        <w:rPr>
          <w:rFonts w:ascii="Arial" w:hAnsi="Arial" w:cs="Arial"/>
          <w:sz w:val="22"/>
        </w:rPr>
        <w:t>form</w:t>
      </w:r>
      <w:r w:rsidRPr="007C1234">
        <w:rPr>
          <w:rFonts w:ascii="Arial" w:hAnsi="Arial" w:cs="Arial"/>
          <w:sz w:val="22"/>
        </w:rPr>
        <w:t>, and</w:t>
      </w:r>
      <w:proofErr w:type="gramEnd"/>
      <w:r w:rsidRPr="007C1234">
        <w:rPr>
          <w:rFonts w:ascii="Arial" w:hAnsi="Arial" w:cs="Arial"/>
          <w:sz w:val="22"/>
        </w:rPr>
        <w:t xml:space="preserve"> pick the </w:t>
      </w:r>
      <w:r w:rsidR="00383E21">
        <w:rPr>
          <w:rFonts w:ascii="Arial" w:hAnsi="Arial" w:cs="Arial"/>
          <w:sz w:val="22"/>
        </w:rPr>
        <w:t xml:space="preserve">one </w:t>
      </w:r>
      <w:r w:rsidRPr="007C1234">
        <w:rPr>
          <w:rFonts w:ascii="Arial" w:hAnsi="Arial" w:cs="Arial"/>
          <w:sz w:val="22"/>
        </w:rPr>
        <w:t>close</w:t>
      </w:r>
      <w:r w:rsidR="00383E21">
        <w:rPr>
          <w:rFonts w:ascii="Arial" w:hAnsi="Arial" w:cs="Arial"/>
          <w:sz w:val="22"/>
        </w:rPr>
        <w:t>r</w:t>
      </w:r>
      <w:r w:rsidRPr="007C1234">
        <w:rPr>
          <w:rFonts w:ascii="Arial" w:hAnsi="Arial" w:cs="Arial"/>
          <w:sz w:val="22"/>
        </w:rPr>
        <w:t xml:space="preserve"> to </w:t>
      </w:r>
      <w:r w:rsidR="00CC2C15">
        <w:rPr>
          <w:rFonts w:ascii="Arial" w:hAnsi="Arial" w:cs="Arial"/>
          <w:sz w:val="22"/>
        </w:rPr>
        <w:t>N</w:t>
      </w:r>
      <w:r w:rsidRPr="007C1234">
        <w:rPr>
          <w:rFonts w:ascii="Arial" w:hAnsi="Arial" w:cs="Arial"/>
          <w:sz w:val="22"/>
        </w:rPr>
        <w:t>ormal distribution.</w:t>
      </w:r>
      <w:r w:rsidR="00B54A77">
        <w:rPr>
          <w:rFonts w:ascii="Arial" w:hAnsi="Arial" w:cs="Arial"/>
          <w:sz w:val="22"/>
        </w:rPr>
        <w:t xml:space="preserve"> For reference, based on the data in NCD-RisC database, all variables are log-transformed except height and DBP.</w:t>
      </w:r>
    </w:p>
    <w:p w14:paraId="0005A87C" w14:textId="77777777" w:rsidR="00B54A77" w:rsidRDefault="00B54A77" w:rsidP="005F3DDC">
      <w:pPr>
        <w:spacing w:after="0"/>
        <w:rPr>
          <w:rFonts w:ascii="Arial" w:hAnsi="Arial" w:cs="Arial"/>
          <w:sz w:val="22"/>
        </w:rPr>
      </w:pPr>
    </w:p>
    <w:p w14:paraId="3C30B42D" w14:textId="26C3FE63" w:rsidR="00581B30" w:rsidRDefault="00710593" w:rsidP="005F3DDC">
      <w:pPr>
        <w:spacing w:after="0"/>
        <w:rPr>
          <w:rFonts w:ascii="Arial" w:hAnsi="Arial" w:cs="Arial"/>
          <w:sz w:val="22"/>
        </w:rPr>
      </w:pPr>
      <w:r w:rsidRPr="007C1234">
        <w:rPr>
          <w:rFonts w:ascii="Arial" w:hAnsi="Arial" w:cs="Arial"/>
          <w:sz w:val="22"/>
        </w:rPr>
        <w:t xml:space="preserve">In case neither the variable nor its log transformation </w:t>
      </w:r>
      <w:r w:rsidR="00060160" w:rsidRPr="007C1234">
        <w:rPr>
          <w:rFonts w:ascii="Arial" w:hAnsi="Arial" w:cs="Arial"/>
          <w:sz w:val="22"/>
        </w:rPr>
        <w:t>is</w:t>
      </w:r>
      <w:r w:rsidR="00581B30">
        <w:rPr>
          <w:rFonts w:ascii="Arial" w:hAnsi="Arial" w:cs="Arial"/>
          <w:sz w:val="22"/>
        </w:rPr>
        <w:t xml:space="preserve"> </w:t>
      </w:r>
      <w:r w:rsidRPr="007C1234">
        <w:rPr>
          <w:rFonts w:ascii="Arial" w:hAnsi="Arial" w:cs="Arial"/>
          <w:sz w:val="22"/>
        </w:rPr>
        <w:t xml:space="preserve">close to be </w:t>
      </w:r>
      <w:r w:rsidR="00CC2C15">
        <w:rPr>
          <w:rFonts w:ascii="Arial" w:hAnsi="Arial" w:cs="Arial"/>
          <w:sz w:val="22"/>
        </w:rPr>
        <w:t>N</w:t>
      </w:r>
      <w:r w:rsidRPr="007C1234">
        <w:rPr>
          <w:rFonts w:ascii="Arial" w:hAnsi="Arial" w:cs="Arial"/>
          <w:sz w:val="22"/>
        </w:rPr>
        <w:t>ormally distributed, alternative non-parametric methods should be used.</w:t>
      </w:r>
      <w:r w:rsidR="009A7B18">
        <w:rPr>
          <w:rFonts w:ascii="Arial" w:hAnsi="Arial" w:cs="Arial"/>
          <w:sz w:val="22"/>
        </w:rPr>
        <w:t xml:space="preserve"> Such methods are being tested </w:t>
      </w:r>
      <w:r w:rsidR="00B54A77">
        <w:rPr>
          <w:rFonts w:ascii="Arial" w:hAnsi="Arial" w:cs="Arial"/>
          <w:sz w:val="22"/>
        </w:rPr>
        <w:t xml:space="preserve">as of March 2022 </w:t>
      </w:r>
      <w:r w:rsidR="009A7B18">
        <w:rPr>
          <w:rFonts w:ascii="Arial" w:hAnsi="Arial" w:cs="Arial"/>
          <w:sz w:val="22"/>
        </w:rPr>
        <w:t>and will be added to this document once finalised.</w:t>
      </w:r>
    </w:p>
    <w:p w14:paraId="3968234C" w14:textId="77777777" w:rsidR="00BB4961" w:rsidRPr="007C1234" w:rsidRDefault="00BB4961" w:rsidP="005F3DDC">
      <w:pPr>
        <w:spacing w:after="0"/>
        <w:rPr>
          <w:rFonts w:ascii="Arial" w:hAnsi="Arial" w:cs="Arial"/>
          <w:sz w:val="22"/>
        </w:rPr>
      </w:pPr>
    </w:p>
    <w:p w14:paraId="06643C7D" w14:textId="6D09E088" w:rsidR="00710593" w:rsidRPr="00710593" w:rsidRDefault="00710593" w:rsidP="005F3DDC">
      <w:pPr>
        <w:spacing w:after="0"/>
        <w:rPr>
          <w:rFonts w:ascii="Arial" w:hAnsi="Arial" w:cs="Arial"/>
          <w:i/>
          <w:iCs/>
          <w:sz w:val="22"/>
        </w:rPr>
      </w:pPr>
      <w:r w:rsidRPr="00710593">
        <w:rPr>
          <w:rFonts w:ascii="Arial" w:hAnsi="Arial" w:cs="Arial"/>
          <w:i/>
          <w:iCs/>
          <w:sz w:val="22"/>
        </w:rPr>
        <w:t xml:space="preserve">Pairs of variables considered </w:t>
      </w:r>
    </w:p>
    <w:p w14:paraId="28DC2B4B" w14:textId="56955607" w:rsidR="007D0CE3" w:rsidRDefault="00710593" w:rsidP="00B54A77">
      <w:pPr>
        <w:spacing w:after="0"/>
        <w:contextualSpacing/>
        <w:rPr>
          <w:rFonts w:ascii="Arial" w:hAnsi="Arial" w:cs="Arial"/>
          <w:sz w:val="22"/>
        </w:rPr>
      </w:pPr>
      <w:r w:rsidRPr="007C1234">
        <w:rPr>
          <w:rFonts w:ascii="Arial" w:hAnsi="Arial" w:cs="Arial"/>
          <w:sz w:val="22"/>
        </w:rPr>
        <w:t xml:space="preserve">All pairs of variables </w:t>
      </w:r>
      <w:r w:rsidR="00D23517">
        <w:rPr>
          <w:rFonts w:ascii="Arial" w:hAnsi="Arial" w:cs="Arial"/>
          <w:sz w:val="22"/>
        </w:rPr>
        <w:t xml:space="preserve">of interest </w:t>
      </w:r>
      <w:r w:rsidRPr="007C1234">
        <w:rPr>
          <w:rFonts w:ascii="Arial" w:hAnsi="Arial" w:cs="Arial"/>
          <w:sz w:val="22"/>
        </w:rPr>
        <w:t xml:space="preserve">from the same </w:t>
      </w:r>
      <w:r w:rsidR="00B844EB">
        <w:rPr>
          <w:rFonts w:ascii="Arial" w:hAnsi="Arial" w:cs="Arial"/>
          <w:sz w:val="22"/>
        </w:rPr>
        <w:t>risk factor</w:t>
      </w:r>
      <w:r w:rsidR="009A7B18">
        <w:rPr>
          <w:rFonts w:ascii="Arial" w:hAnsi="Arial" w:cs="Arial"/>
          <w:sz w:val="22"/>
        </w:rPr>
        <w:t xml:space="preserve"> </w:t>
      </w:r>
      <w:r w:rsidR="00B54A77" w:rsidRPr="007C1234">
        <w:rPr>
          <w:rFonts w:ascii="Arial" w:hAnsi="Arial" w:cs="Arial"/>
          <w:sz w:val="22"/>
        </w:rPr>
        <w:t>family</w:t>
      </w:r>
      <w:r w:rsidR="00B54A77">
        <w:rPr>
          <w:rFonts w:ascii="Arial" w:hAnsi="Arial" w:cs="Arial"/>
          <w:sz w:val="22"/>
        </w:rPr>
        <w:t xml:space="preserve"> </w:t>
      </w:r>
      <w:r w:rsidR="00A979CD">
        <w:rPr>
          <w:rFonts w:ascii="Arial" w:hAnsi="Arial" w:cs="Arial"/>
          <w:sz w:val="22"/>
        </w:rPr>
        <w:t>are</w:t>
      </w:r>
      <w:r w:rsidR="009A7B18">
        <w:rPr>
          <w:rFonts w:ascii="Arial" w:hAnsi="Arial" w:cs="Arial"/>
          <w:sz w:val="22"/>
        </w:rPr>
        <w:t xml:space="preserve"> examined</w:t>
      </w:r>
      <w:r w:rsidR="00B54A77">
        <w:rPr>
          <w:rFonts w:ascii="Arial" w:hAnsi="Arial" w:cs="Arial"/>
          <w:sz w:val="22"/>
        </w:rPr>
        <w:t xml:space="preserve"> </w:t>
      </w:r>
      <w:r w:rsidR="00B54A77" w:rsidRPr="007C1234">
        <w:rPr>
          <w:rFonts w:ascii="Arial" w:hAnsi="Arial" w:cs="Arial"/>
          <w:color w:val="24292F"/>
          <w:sz w:val="22"/>
          <w:shd w:val="clear" w:color="auto" w:fill="FFFFFF"/>
        </w:rPr>
        <w:t xml:space="preserve">(see lists </w:t>
      </w:r>
      <w:r w:rsidR="00B54A77">
        <w:rPr>
          <w:rFonts w:ascii="Arial" w:hAnsi="Arial" w:cs="Arial"/>
          <w:color w:val="24292F"/>
          <w:sz w:val="22"/>
          <w:shd w:val="clear" w:color="auto" w:fill="FFFFFF"/>
        </w:rPr>
        <w:t>in the first section</w:t>
      </w:r>
      <w:r w:rsidR="00A979CD">
        <w:rPr>
          <w:rFonts w:ascii="Arial" w:hAnsi="Arial" w:cs="Arial"/>
          <w:color w:val="24292F"/>
          <w:sz w:val="22"/>
          <w:shd w:val="clear" w:color="auto" w:fill="FFFFFF"/>
        </w:rPr>
        <w:t xml:space="preserve"> of this document</w:t>
      </w:r>
      <w:r w:rsidR="00B54A77" w:rsidRPr="007C1234">
        <w:rPr>
          <w:rFonts w:ascii="Arial" w:hAnsi="Arial" w:cs="Arial"/>
          <w:color w:val="24292F"/>
          <w:sz w:val="22"/>
          <w:shd w:val="clear" w:color="auto" w:fill="FFFFFF"/>
        </w:rPr>
        <w:t>)</w:t>
      </w:r>
      <w:r w:rsidR="009A7B18">
        <w:rPr>
          <w:rFonts w:ascii="Arial" w:hAnsi="Arial" w:cs="Arial"/>
          <w:sz w:val="22"/>
        </w:rPr>
        <w:t>.</w:t>
      </w:r>
      <w:r w:rsidR="00B54A77">
        <w:rPr>
          <w:rFonts w:ascii="Arial" w:hAnsi="Arial" w:cs="Arial"/>
          <w:sz w:val="22"/>
        </w:rPr>
        <w:t xml:space="preserve"> Exceptions are noted below.</w:t>
      </w:r>
    </w:p>
    <w:p w14:paraId="060461CB" w14:textId="43869B91" w:rsidR="00F27298" w:rsidRPr="0088259F" w:rsidRDefault="00D23517" w:rsidP="0088259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2"/>
        </w:rPr>
      </w:pPr>
      <w:r w:rsidRPr="0088259F">
        <w:rPr>
          <w:rFonts w:ascii="Arial" w:hAnsi="Arial" w:cs="Arial"/>
          <w:sz w:val="22"/>
        </w:rPr>
        <w:t xml:space="preserve">Some variables, e.g., FPG, OGTT, </w:t>
      </w:r>
      <w:r w:rsidR="00710593" w:rsidRPr="0088259F">
        <w:rPr>
          <w:rFonts w:ascii="Arial" w:hAnsi="Arial" w:cs="Arial"/>
          <w:sz w:val="22"/>
        </w:rPr>
        <w:t xml:space="preserve">LDL </w:t>
      </w:r>
      <w:r w:rsidRPr="0088259F">
        <w:rPr>
          <w:rFonts w:ascii="Arial" w:hAnsi="Arial" w:cs="Arial"/>
          <w:sz w:val="22"/>
        </w:rPr>
        <w:t>and</w:t>
      </w:r>
      <w:r w:rsidR="00710593" w:rsidRPr="0088259F">
        <w:rPr>
          <w:rFonts w:ascii="Arial" w:hAnsi="Arial" w:cs="Arial"/>
          <w:sz w:val="22"/>
        </w:rPr>
        <w:t xml:space="preserve"> non-HDL</w:t>
      </w:r>
      <w:r w:rsidRPr="0088259F">
        <w:rPr>
          <w:rFonts w:ascii="Arial" w:hAnsi="Arial" w:cs="Arial"/>
          <w:sz w:val="22"/>
        </w:rPr>
        <w:t xml:space="preserve"> cholesterol,</w:t>
      </w:r>
      <w:r w:rsidR="00710593" w:rsidRPr="0088259F">
        <w:rPr>
          <w:rFonts w:ascii="Arial" w:hAnsi="Arial" w:cs="Arial"/>
          <w:sz w:val="22"/>
        </w:rPr>
        <w:t xml:space="preserve"> </w:t>
      </w:r>
      <w:r w:rsidRPr="0088259F">
        <w:rPr>
          <w:rFonts w:ascii="Arial" w:hAnsi="Arial" w:cs="Arial"/>
          <w:sz w:val="22"/>
        </w:rPr>
        <w:t>are</w:t>
      </w:r>
      <w:r w:rsidR="00710593" w:rsidRPr="0088259F">
        <w:rPr>
          <w:rFonts w:ascii="Arial" w:hAnsi="Arial" w:cs="Arial"/>
          <w:sz w:val="22"/>
        </w:rPr>
        <w:t xml:space="preserve"> very </w:t>
      </w:r>
      <w:r w:rsidR="00F27298" w:rsidRPr="0088259F">
        <w:rPr>
          <w:rFonts w:ascii="Arial" w:hAnsi="Arial" w:cs="Arial"/>
          <w:sz w:val="22"/>
        </w:rPr>
        <w:t>skewed</w:t>
      </w:r>
      <w:r w:rsidR="00B719C3" w:rsidRPr="0088259F">
        <w:rPr>
          <w:rFonts w:ascii="Arial" w:hAnsi="Arial" w:cs="Arial"/>
          <w:sz w:val="22"/>
        </w:rPr>
        <w:t xml:space="preserve"> even after log-transformation</w:t>
      </w:r>
      <w:r w:rsidR="00F27298" w:rsidRPr="0088259F">
        <w:rPr>
          <w:rFonts w:ascii="Arial" w:hAnsi="Arial" w:cs="Arial"/>
          <w:sz w:val="22"/>
        </w:rPr>
        <w:t>,</w:t>
      </w:r>
      <w:r w:rsidRPr="0088259F">
        <w:rPr>
          <w:rFonts w:ascii="Arial" w:hAnsi="Arial" w:cs="Arial"/>
          <w:sz w:val="22"/>
        </w:rPr>
        <w:t xml:space="preserve"> therefore</w:t>
      </w:r>
      <w:r w:rsidR="00F27298" w:rsidRPr="0088259F">
        <w:rPr>
          <w:rFonts w:ascii="Arial" w:hAnsi="Arial" w:cs="Arial"/>
          <w:sz w:val="22"/>
        </w:rPr>
        <w:t xml:space="preserve"> </w:t>
      </w:r>
      <w:r w:rsidR="00581B30" w:rsidRPr="0088259F">
        <w:rPr>
          <w:rFonts w:ascii="Arial" w:hAnsi="Arial" w:cs="Arial"/>
          <w:sz w:val="22"/>
        </w:rPr>
        <w:t xml:space="preserve">we do </w:t>
      </w:r>
      <w:r w:rsidR="00710593" w:rsidRPr="0088259F">
        <w:rPr>
          <w:rFonts w:ascii="Arial" w:hAnsi="Arial" w:cs="Arial"/>
          <w:sz w:val="22"/>
        </w:rPr>
        <w:t xml:space="preserve">not </w:t>
      </w:r>
      <w:r w:rsidRPr="0088259F">
        <w:rPr>
          <w:rFonts w:ascii="Arial" w:hAnsi="Arial" w:cs="Arial"/>
          <w:sz w:val="22"/>
        </w:rPr>
        <w:t xml:space="preserve">recommend </w:t>
      </w:r>
      <w:r w:rsidR="00710593" w:rsidRPr="0088259F">
        <w:rPr>
          <w:rFonts w:ascii="Arial" w:hAnsi="Arial" w:cs="Arial"/>
          <w:sz w:val="22"/>
        </w:rPr>
        <w:t>clean</w:t>
      </w:r>
      <w:r w:rsidRPr="0088259F">
        <w:rPr>
          <w:rFonts w:ascii="Arial" w:hAnsi="Arial" w:cs="Arial"/>
          <w:sz w:val="22"/>
        </w:rPr>
        <w:t>ing</w:t>
      </w:r>
      <w:r w:rsidR="00710593" w:rsidRPr="0088259F">
        <w:rPr>
          <w:rFonts w:ascii="Arial" w:hAnsi="Arial" w:cs="Arial"/>
          <w:sz w:val="22"/>
        </w:rPr>
        <w:t xml:space="preserve"> </w:t>
      </w:r>
      <w:r w:rsidRPr="0088259F">
        <w:rPr>
          <w:rFonts w:ascii="Arial" w:hAnsi="Arial" w:cs="Arial"/>
          <w:sz w:val="22"/>
        </w:rPr>
        <w:t>any pair that includes any of them</w:t>
      </w:r>
      <w:r w:rsidR="00710593" w:rsidRPr="0088259F">
        <w:rPr>
          <w:rFonts w:ascii="Arial" w:hAnsi="Arial" w:cs="Arial"/>
          <w:sz w:val="22"/>
        </w:rPr>
        <w:t xml:space="preserve"> using </w:t>
      </w:r>
      <w:r w:rsidRPr="0088259F">
        <w:rPr>
          <w:rFonts w:ascii="Arial" w:hAnsi="Arial" w:cs="Arial"/>
          <w:sz w:val="22"/>
        </w:rPr>
        <w:t>the method based on Mahalanobis distance</w:t>
      </w:r>
      <w:r w:rsidR="007D0CE3" w:rsidRPr="0088259F">
        <w:rPr>
          <w:rFonts w:ascii="Arial" w:hAnsi="Arial" w:cs="Arial"/>
          <w:sz w:val="22"/>
        </w:rPr>
        <w:t>.</w:t>
      </w:r>
      <w:r w:rsidRPr="0088259F">
        <w:rPr>
          <w:rFonts w:ascii="Arial" w:hAnsi="Arial" w:cs="Arial"/>
          <w:sz w:val="22"/>
        </w:rPr>
        <w:t xml:space="preserve"> </w:t>
      </w:r>
      <w:r w:rsidR="00D0206E" w:rsidRPr="0088259F">
        <w:rPr>
          <w:rFonts w:ascii="Arial" w:hAnsi="Arial" w:cs="Arial"/>
          <w:sz w:val="22"/>
        </w:rPr>
        <w:t>Alternative outlier detection methods are currently being explored for NCD-RisC work.</w:t>
      </w:r>
    </w:p>
    <w:p w14:paraId="15FF041F" w14:textId="0C04B773" w:rsidR="00767AE3" w:rsidRPr="0088259F" w:rsidRDefault="00767AE3" w:rsidP="0088259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2"/>
        </w:rPr>
      </w:pPr>
      <w:r w:rsidRPr="0088259F">
        <w:rPr>
          <w:rFonts w:ascii="Arial" w:hAnsi="Arial" w:cs="Arial"/>
          <w:sz w:val="22"/>
        </w:rPr>
        <w:t xml:space="preserve">For anthropometrics variables, the procedure should be applied </w:t>
      </w:r>
      <w:r w:rsidR="009455E9" w:rsidRPr="0088259F">
        <w:rPr>
          <w:rFonts w:ascii="Arial" w:hAnsi="Arial" w:cs="Arial"/>
          <w:sz w:val="22"/>
        </w:rPr>
        <w:t>separately</w:t>
      </w:r>
      <w:r w:rsidRPr="0088259F">
        <w:rPr>
          <w:rFonts w:ascii="Arial" w:hAnsi="Arial" w:cs="Arial"/>
          <w:sz w:val="22"/>
        </w:rPr>
        <w:t xml:space="preserve"> for children (5-9 y</w:t>
      </w:r>
      <w:r w:rsidR="009455E9" w:rsidRPr="0088259F">
        <w:rPr>
          <w:rFonts w:ascii="Arial" w:hAnsi="Arial" w:cs="Arial"/>
          <w:sz w:val="22"/>
        </w:rPr>
        <w:t>ears</w:t>
      </w:r>
      <w:r w:rsidRPr="0088259F">
        <w:rPr>
          <w:rFonts w:ascii="Arial" w:hAnsi="Arial" w:cs="Arial"/>
          <w:sz w:val="22"/>
        </w:rPr>
        <w:t>), adolescents (10-14 y</w:t>
      </w:r>
      <w:r w:rsidR="009455E9" w:rsidRPr="0088259F">
        <w:rPr>
          <w:rFonts w:ascii="Arial" w:hAnsi="Arial" w:cs="Arial"/>
          <w:sz w:val="22"/>
        </w:rPr>
        <w:t>ears</w:t>
      </w:r>
      <w:r w:rsidRPr="0088259F">
        <w:rPr>
          <w:rFonts w:ascii="Arial" w:hAnsi="Arial" w:cs="Arial"/>
          <w:sz w:val="22"/>
        </w:rPr>
        <w:t>), and adults (15+</w:t>
      </w:r>
      <w:r w:rsidR="009455E9" w:rsidRPr="0088259F">
        <w:rPr>
          <w:rFonts w:ascii="Arial" w:hAnsi="Arial" w:cs="Arial"/>
          <w:sz w:val="22"/>
        </w:rPr>
        <w:t xml:space="preserve"> years</w:t>
      </w:r>
      <w:r w:rsidRPr="0088259F">
        <w:rPr>
          <w:rFonts w:ascii="Arial" w:hAnsi="Arial" w:cs="Arial"/>
          <w:sz w:val="22"/>
        </w:rPr>
        <w:t>).</w:t>
      </w:r>
    </w:p>
    <w:p w14:paraId="2EF7BBFE" w14:textId="7D5180EA" w:rsidR="00710593" w:rsidRPr="0088259F" w:rsidRDefault="00710593" w:rsidP="0088259F">
      <w:pPr>
        <w:pStyle w:val="ListParagraph"/>
        <w:numPr>
          <w:ilvl w:val="0"/>
          <w:numId w:val="15"/>
        </w:numPr>
        <w:adjustRightInd w:val="0"/>
        <w:spacing w:after="0"/>
        <w:rPr>
          <w:rFonts w:ascii="Arial" w:hAnsi="Arial" w:cs="Arial"/>
          <w:sz w:val="22"/>
        </w:rPr>
      </w:pPr>
      <w:r w:rsidRPr="0088259F">
        <w:rPr>
          <w:rFonts w:ascii="Arial" w:hAnsi="Arial" w:cs="Arial"/>
          <w:sz w:val="22"/>
        </w:rPr>
        <w:t>eGFR is calculated from serum creatinine using a regression-based model (</w:t>
      </w:r>
      <w:proofErr w:type="spellStart"/>
      <w:r w:rsidRPr="0088259F">
        <w:rPr>
          <w:rFonts w:ascii="Arial" w:hAnsi="Arial" w:cs="Arial"/>
          <w:sz w:val="22"/>
        </w:rPr>
        <w:t>eg.</w:t>
      </w:r>
      <w:proofErr w:type="spellEnd"/>
      <w:r w:rsidRPr="0088259F">
        <w:rPr>
          <w:rFonts w:ascii="Arial" w:hAnsi="Arial" w:cs="Arial"/>
          <w:sz w:val="22"/>
        </w:rPr>
        <w:t xml:space="preserve"> CKD-EPI) hence multivariate cleaning is not needed.</w:t>
      </w:r>
    </w:p>
    <w:p w14:paraId="78E3009E" w14:textId="3ACB8E5D" w:rsidR="007D0CE3" w:rsidRDefault="007D0CE3" w:rsidP="005F3DDC">
      <w:pPr>
        <w:adjustRightInd w:val="0"/>
        <w:spacing w:after="0"/>
        <w:contextualSpacing/>
        <w:rPr>
          <w:rFonts w:ascii="Arial" w:hAnsi="Arial" w:cs="Arial"/>
          <w:sz w:val="22"/>
        </w:rPr>
      </w:pPr>
    </w:p>
    <w:p w14:paraId="2E215B48" w14:textId="0059E7A4" w:rsidR="000E1CC0" w:rsidRPr="000E1CC0" w:rsidRDefault="000E1CC0" w:rsidP="005F3DDC">
      <w:pPr>
        <w:adjustRightInd w:val="0"/>
        <w:spacing w:after="0"/>
        <w:contextualSpacing/>
        <w:rPr>
          <w:rFonts w:ascii="Arial" w:hAnsi="Arial" w:cs="Arial"/>
          <w:i/>
          <w:iCs/>
          <w:sz w:val="22"/>
        </w:rPr>
      </w:pPr>
      <w:r w:rsidRPr="000E1CC0">
        <w:rPr>
          <w:rFonts w:ascii="Arial" w:hAnsi="Arial" w:cs="Arial"/>
          <w:i/>
          <w:iCs/>
          <w:sz w:val="22"/>
        </w:rPr>
        <w:t>Cleaning process</w:t>
      </w:r>
    </w:p>
    <w:p w14:paraId="46BEA9E5" w14:textId="0DB6FEF2" w:rsidR="00710593" w:rsidRPr="007C1234" w:rsidRDefault="00710593" w:rsidP="005F3DDC">
      <w:pPr>
        <w:pStyle w:val="NormalWeb"/>
        <w:adjustRightInd w:val="0"/>
        <w:spacing w:before="0" w:beforeAutospacing="0" w:after="0" w:afterAutospacing="0" w:line="480" w:lineRule="auto"/>
        <w:contextualSpacing/>
        <w:rPr>
          <w:rFonts w:ascii="Arial" w:hAnsi="Arial" w:cs="Arial"/>
          <w:color w:val="24292F"/>
          <w:sz w:val="22"/>
          <w:szCs w:val="22"/>
        </w:rPr>
      </w:pPr>
      <w:r w:rsidRPr="007C1234">
        <w:rPr>
          <w:rFonts w:ascii="Arial" w:hAnsi="Arial" w:cs="Arial"/>
          <w:color w:val="24292F"/>
          <w:sz w:val="22"/>
          <w:szCs w:val="22"/>
        </w:rPr>
        <w:t xml:space="preserve">For </w:t>
      </w:r>
      <w:r w:rsidR="000E1CC0">
        <w:rPr>
          <w:rFonts w:ascii="Arial" w:hAnsi="Arial" w:cs="Arial"/>
          <w:color w:val="24292F"/>
          <w:sz w:val="22"/>
          <w:szCs w:val="22"/>
        </w:rPr>
        <w:t>all pairs</w:t>
      </w:r>
      <w:r w:rsidR="00B54A77">
        <w:rPr>
          <w:rFonts w:ascii="Arial" w:hAnsi="Arial" w:cs="Arial"/>
          <w:color w:val="24292F"/>
          <w:sz w:val="22"/>
          <w:szCs w:val="22"/>
        </w:rPr>
        <w:t xml:space="preserve"> that multivariate cleaning </w:t>
      </w:r>
      <w:proofErr w:type="gramStart"/>
      <w:r w:rsidR="00A979CD">
        <w:rPr>
          <w:rFonts w:ascii="Arial" w:hAnsi="Arial" w:cs="Arial"/>
          <w:color w:val="24292F"/>
          <w:sz w:val="22"/>
          <w:szCs w:val="22"/>
        </w:rPr>
        <w:t>are</w:t>
      </w:r>
      <w:proofErr w:type="gramEnd"/>
      <w:r w:rsidR="00B54A77">
        <w:rPr>
          <w:rFonts w:ascii="Arial" w:hAnsi="Arial" w:cs="Arial"/>
          <w:color w:val="24292F"/>
          <w:sz w:val="22"/>
          <w:szCs w:val="22"/>
        </w:rPr>
        <w:t xml:space="preserve"> applied to</w:t>
      </w:r>
      <w:r w:rsidR="000E1CC0">
        <w:rPr>
          <w:rFonts w:ascii="Arial" w:hAnsi="Arial" w:cs="Arial"/>
          <w:color w:val="24292F"/>
          <w:sz w:val="22"/>
          <w:szCs w:val="22"/>
        </w:rPr>
        <w:t xml:space="preserve">, the cleaning process </w:t>
      </w:r>
      <w:r w:rsidR="00A979CD">
        <w:rPr>
          <w:rFonts w:ascii="Arial" w:hAnsi="Arial" w:cs="Arial"/>
          <w:color w:val="24292F"/>
          <w:sz w:val="22"/>
          <w:szCs w:val="22"/>
        </w:rPr>
        <w:t>is to</w:t>
      </w:r>
      <w:r w:rsidR="000E1CC0">
        <w:rPr>
          <w:rFonts w:ascii="Arial" w:hAnsi="Arial" w:cs="Arial"/>
          <w:color w:val="24292F"/>
          <w:sz w:val="22"/>
          <w:szCs w:val="22"/>
        </w:rPr>
        <w:t>:</w:t>
      </w:r>
    </w:p>
    <w:p w14:paraId="1B8898BA" w14:textId="77777777" w:rsidR="00710593" w:rsidRPr="007C1234" w:rsidRDefault="00710593" w:rsidP="005F3DDC">
      <w:pPr>
        <w:numPr>
          <w:ilvl w:val="0"/>
          <w:numId w:val="3"/>
        </w:numPr>
        <w:adjustRightInd w:val="0"/>
        <w:spacing w:after="0"/>
        <w:contextualSpacing/>
        <w:rPr>
          <w:rFonts w:ascii="Arial" w:hAnsi="Arial" w:cs="Arial"/>
          <w:color w:val="24292F"/>
          <w:sz w:val="22"/>
        </w:rPr>
      </w:pPr>
      <w:r w:rsidRPr="007C1234">
        <w:rPr>
          <w:rFonts w:ascii="Arial" w:hAnsi="Arial" w:cs="Arial"/>
          <w:color w:val="24292F"/>
          <w:sz w:val="22"/>
        </w:rPr>
        <w:lastRenderedPageBreak/>
        <w:t>Compute the Mahalanobis of distance of all the data points after normalisation</w:t>
      </w:r>
    </w:p>
    <w:p w14:paraId="6257C593" w14:textId="1475F9CC" w:rsidR="00710593" w:rsidRDefault="00710593" w:rsidP="005F3DDC">
      <w:pPr>
        <w:numPr>
          <w:ilvl w:val="0"/>
          <w:numId w:val="3"/>
        </w:numPr>
        <w:adjustRightInd w:val="0"/>
        <w:spacing w:after="0"/>
        <w:contextualSpacing/>
        <w:rPr>
          <w:rFonts w:ascii="Arial" w:hAnsi="Arial" w:cs="Arial"/>
          <w:color w:val="24292F"/>
          <w:sz w:val="22"/>
        </w:rPr>
      </w:pPr>
      <w:r w:rsidRPr="007C1234">
        <w:rPr>
          <w:rFonts w:ascii="Arial" w:hAnsi="Arial" w:cs="Arial"/>
          <w:color w:val="24292F"/>
          <w:sz w:val="22"/>
        </w:rPr>
        <w:t xml:space="preserve">Exclude points with distance larger than </w:t>
      </w:r>
      <w:r w:rsidR="00883ABD">
        <w:rPr>
          <w:rFonts w:ascii="Arial" w:hAnsi="Arial" w:cs="Arial"/>
          <w:color w:val="24292F"/>
          <w:sz w:val="22"/>
        </w:rPr>
        <w:t>68.5</w:t>
      </w:r>
      <w:r w:rsidRPr="007C1234">
        <w:rPr>
          <w:rFonts w:ascii="Arial" w:hAnsi="Arial" w:cs="Arial"/>
          <w:color w:val="24292F"/>
          <w:sz w:val="22"/>
        </w:rPr>
        <w:t xml:space="preserve"> (quantile of chi2 distribution equivalent to </w:t>
      </w:r>
      <w:r w:rsidR="00945A23">
        <w:rPr>
          <w:rFonts w:ascii="Arial" w:hAnsi="Arial" w:cs="Arial"/>
          <w:color w:val="24292F"/>
          <w:sz w:val="22"/>
        </w:rPr>
        <w:t>8</w:t>
      </w:r>
      <w:r w:rsidRPr="007C1234">
        <w:rPr>
          <w:rFonts w:ascii="Arial" w:hAnsi="Arial" w:cs="Arial"/>
          <w:color w:val="24292F"/>
          <w:sz w:val="22"/>
        </w:rPr>
        <w:t>SD for normal distribution)</w:t>
      </w:r>
    </w:p>
    <w:p w14:paraId="74A4FA3E" w14:textId="2AD74A3C" w:rsidR="00DC18F4" w:rsidRDefault="00DC18F4" w:rsidP="005F3DDC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4292F"/>
          <w:sz w:val="22"/>
          <w:szCs w:val="22"/>
        </w:rPr>
      </w:pPr>
    </w:p>
    <w:p w14:paraId="79A6858C" w14:textId="27C6FA07" w:rsidR="00B844EB" w:rsidRDefault="00B844EB" w:rsidP="00B844EB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4292F"/>
          <w:sz w:val="22"/>
          <w:szCs w:val="22"/>
        </w:rPr>
        <w:t>C</w:t>
      </w:r>
      <w:r w:rsidRPr="007C1234">
        <w:rPr>
          <w:rFonts w:ascii="Arial" w:hAnsi="Arial" w:cs="Arial"/>
          <w:color w:val="24292F"/>
          <w:sz w:val="22"/>
          <w:szCs w:val="22"/>
        </w:rPr>
        <w:t xml:space="preserve">ode and an example of the multivariate outlier detection procedure </w:t>
      </w:r>
      <w:r>
        <w:rPr>
          <w:rFonts w:ascii="Arial" w:hAnsi="Arial" w:cs="Arial"/>
          <w:color w:val="24292F"/>
          <w:sz w:val="22"/>
          <w:szCs w:val="22"/>
        </w:rPr>
        <w:t xml:space="preserve">are available at </w:t>
      </w:r>
    </w:p>
    <w:p w14:paraId="38C5C01F" w14:textId="7CF11FE4" w:rsidR="007C6265" w:rsidRPr="007C1234" w:rsidRDefault="00000000" w:rsidP="005F3DDC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4292F"/>
          <w:sz w:val="22"/>
          <w:szCs w:val="22"/>
        </w:rPr>
      </w:pPr>
      <w:hyperlink r:id="rId5" w:history="1">
        <w:r w:rsidR="0092335E" w:rsidRPr="001C1485">
          <w:rPr>
            <w:rStyle w:val="Hyperlink"/>
            <w:rFonts w:ascii="Arial" w:hAnsi="Arial" w:cs="Arial"/>
            <w:sz w:val="22"/>
            <w:szCs w:val="22"/>
          </w:rPr>
          <w:t>https://github.com/NCD-RisC/Data-cleaning-protocol</w:t>
        </w:r>
      </w:hyperlink>
      <w:r w:rsidR="0092335E">
        <w:rPr>
          <w:rFonts w:ascii="Arial" w:hAnsi="Arial" w:cs="Arial"/>
          <w:color w:val="24292F"/>
          <w:sz w:val="22"/>
          <w:szCs w:val="22"/>
        </w:rPr>
        <w:t xml:space="preserve"> </w:t>
      </w:r>
    </w:p>
    <w:p w14:paraId="2503C9BB" w14:textId="77777777" w:rsidR="0092335E" w:rsidRDefault="0092335E" w:rsidP="005F3DDC">
      <w:pPr>
        <w:spacing w:after="0"/>
        <w:rPr>
          <w:rFonts w:ascii="Arial" w:hAnsi="Arial" w:cs="Arial"/>
          <w:i/>
          <w:iCs/>
          <w:sz w:val="22"/>
        </w:rPr>
      </w:pPr>
    </w:p>
    <w:p w14:paraId="1482A111" w14:textId="25BED526" w:rsidR="00DC18F4" w:rsidRPr="00FC4D2E" w:rsidRDefault="00710593" w:rsidP="005F3DDC">
      <w:pPr>
        <w:spacing w:after="0"/>
        <w:rPr>
          <w:rFonts w:ascii="Arial" w:hAnsi="Arial" w:cs="Arial"/>
          <w:i/>
          <w:iCs/>
          <w:sz w:val="22"/>
        </w:rPr>
      </w:pPr>
      <w:r w:rsidRPr="00FC4D2E">
        <w:rPr>
          <w:rFonts w:ascii="Arial" w:hAnsi="Arial" w:cs="Arial"/>
          <w:i/>
          <w:iCs/>
          <w:sz w:val="22"/>
        </w:rPr>
        <w:t xml:space="preserve">References: </w:t>
      </w:r>
    </w:p>
    <w:p w14:paraId="5C9888CE" w14:textId="77777777" w:rsidR="00DC18F4" w:rsidRPr="00FC4D2E" w:rsidRDefault="00DC18F4" w:rsidP="005F3DDC">
      <w:pPr>
        <w:pStyle w:val="EndNoteBibliography"/>
        <w:spacing w:after="0" w:line="480" w:lineRule="auto"/>
        <w:rPr>
          <w:rFonts w:ascii="Arial" w:hAnsi="Arial" w:cs="Arial"/>
          <w:noProof/>
          <w:sz w:val="22"/>
        </w:rPr>
      </w:pPr>
      <w:r w:rsidRPr="00FC4D2E">
        <w:rPr>
          <w:rFonts w:ascii="Arial" w:hAnsi="Arial" w:cs="Arial"/>
          <w:sz w:val="22"/>
        </w:rPr>
        <w:fldChar w:fldCharType="begin"/>
      </w:r>
      <w:r w:rsidRPr="00FC4D2E">
        <w:rPr>
          <w:rFonts w:ascii="Arial" w:hAnsi="Arial" w:cs="Arial"/>
          <w:sz w:val="22"/>
        </w:rPr>
        <w:instrText xml:space="preserve"> ADDIN EN.REFLIST </w:instrText>
      </w:r>
      <w:r w:rsidRPr="00FC4D2E">
        <w:rPr>
          <w:rFonts w:ascii="Arial" w:hAnsi="Arial" w:cs="Arial"/>
          <w:sz w:val="22"/>
        </w:rPr>
        <w:fldChar w:fldCharType="separate"/>
      </w:r>
      <w:r w:rsidRPr="00FC4D2E">
        <w:rPr>
          <w:rFonts w:ascii="Arial" w:hAnsi="Arial" w:cs="Arial"/>
          <w:noProof/>
          <w:sz w:val="22"/>
        </w:rPr>
        <w:t>1</w:t>
      </w:r>
      <w:r w:rsidRPr="00FC4D2E">
        <w:rPr>
          <w:rFonts w:ascii="Arial" w:hAnsi="Arial" w:cs="Arial"/>
          <w:noProof/>
          <w:sz w:val="22"/>
        </w:rPr>
        <w:tab/>
        <w:t xml:space="preserve">Filzmoser, P. </w:t>
      </w:r>
      <w:r w:rsidRPr="00FC4D2E">
        <w:rPr>
          <w:rFonts w:ascii="Arial" w:hAnsi="Arial" w:cs="Arial"/>
          <w:i/>
          <w:noProof/>
          <w:sz w:val="22"/>
        </w:rPr>
        <w:t>A multivariate outlier detection method</w:t>
      </w:r>
      <w:r w:rsidRPr="00FC4D2E">
        <w:rPr>
          <w:rFonts w:ascii="Arial" w:hAnsi="Arial" w:cs="Arial"/>
          <w:noProof/>
          <w:sz w:val="22"/>
        </w:rPr>
        <w:t>.  (Citeseer, 2004).</w:t>
      </w:r>
    </w:p>
    <w:p w14:paraId="3B56A6CA" w14:textId="1F6D8CCF" w:rsidR="00710593" w:rsidRPr="00710593" w:rsidRDefault="00DC18F4" w:rsidP="005F3DDC">
      <w:pPr>
        <w:spacing w:after="0"/>
        <w:rPr>
          <w:rFonts w:ascii="Arial" w:hAnsi="Arial" w:cs="Arial"/>
          <w:sz w:val="22"/>
        </w:rPr>
      </w:pPr>
      <w:r w:rsidRPr="00FC4D2E">
        <w:rPr>
          <w:rFonts w:ascii="Arial" w:hAnsi="Arial" w:cs="Arial"/>
          <w:sz w:val="22"/>
        </w:rPr>
        <w:fldChar w:fldCharType="end"/>
      </w:r>
    </w:p>
    <w:sectPr w:rsidR="00710593" w:rsidRPr="0071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1D3"/>
    <w:multiLevelType w:val="hybridMultilevel"/>
    <w:tmpl w:val="DA0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7688"/>
    <w:multiLevelType w:val="hybridMultilevel"/>
    <w:tmpl w:val="081433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15A8D"/>
    <w:multiLevelType w:val="hybridMultilevel"/>
    <w:tmpl w:val="2390C0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95E5D"/>
    <w:multiLevelType w:val="hybridMultilevel"/>
    <w:tmpl w:val="5F52546E"/>
    <w:lvl w:ilvl="0" w:tplc="AE6A9A9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06EF"/>
    <w:multiLevelType w:val="hybridMultilevel"/>
    <w:tmpl w:val="517C7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386E"/>
    <w:multiLevelType w:val="hybridMultilevel"/>
    <w:tmpl w:val="F26EEC74"/>
    <w:lvl w:ilvl="0" w:tplc="FD1A91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35E"/>
    <w:multiLevelType w:val="multilevel"/>
    <w:tmpl w:val="539A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12BCB"/>
    <w:multiLevelType w:val="hybridMultilevel"/>
    <w:tmpl w:val="7C3A4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583D"/>
    <w:multiLevelType w:val="hybridMultilevel"/>
    <w:tmpl w:val="CD70F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1693A"/>
    <w:multiLevelType w:val="hybridMultilevel"/>
    <w:tmpl w:val="08143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045B"/>
    <w:multiLevelType w:val="multilevel"/>
    <w:tmpl w:val="7E40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05F49"/>
    <w:multiLevelType w:val="hybridMultilevel"/>
    <w:tmpl w:val="76F06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4CE0"/>
    <w:multiLevelType w:val="hybridMultilevel"/>
    <w:tmpl w:val="FD2AB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6A6DDC"/>
    <w:multiLevelType w:val="hybridMultilevel"/>
    <w:tmpl w:val="B87A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E4B98"/>
    <w:multiLevelType w:val="hybridMultilevel"/>
    <w:tmpl w:val="9E64076A"/>
    <w:lvl w:ilvl="0" w:tplc="91E6A0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6309060">
    <w:abstractNumId w:val="5"/>
  </w:num>
  <w:num w:numId="2" w16cid:durableId="1869684495">
    <w:abstractNumId w:val="14"/>
  </w:num>
  <w:num w:numId="3" w16cid:durableId="405883666">
    <w:abstractNumId w:val="10"/>
  </w:num>
  <w:num w:numId="4" w16cid:durableId="858422843">
    <w:abstractNumId w:val="6"/>
  </w:num>
  <w:num w:numId="5" w16cid:durableId="1782609552">
    <w:abstractNumId w:val="3"/>
  </w:num>
  <w:num w:numId="6" w16cid:durableId="874124249">
    <w:abstractNumId w:val="9"/>
  </w:num>
  <w:num w:numId="7" w16cid:durableId="961157899">
    <w:abstractNumId w:val="1"/>
  </w:num>
  <w:num w:numId="8" w16cid:durableId="1422221872">
    <w:abstractNumId w:val="2"/>
  </w:num>
  <w:num w:numId="9" w16cid:durableId="2065398516">
    <w:abstractNumId w:val="7"/>
  </w:num>
  <w:num w:numId="10" w16cid:durableId="1355882248">
    <w:abstractNumId w:val="11"/>
  </w:num>
  <w:num w:numId="11" w16cid:durableId="984819588">
    <w:abstractNumId w:val="12"/>
  </w:num>
  <w:num w:numId="12" w16cid:durableId="1226838934">
    <w:abstractNumId w:val="0"/>
  </w:num>
  <w:num w:numId="13" w16cid:durableId="595600279">
    <w:abstractNumId w:val="4"/>
  </w:num>
  <w:num w:numId="14" w16cid:durableId="509952185">
    <w:abstractNumId w:val="13"/>
  </w:num>
  <w:num w:numId="15" w16cid:durableId="912937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avwrptsp2rt6e005v5txe7exfwsedsax2p&quot;&gt;Library&lt;record-ids&gt;&lt;item&gt;2&lt;/item&gt;&lt;/record-ids&gt;&lt;/item&gt;&lt;/Libraries&gt;"/>
  </w:docVars>
  <w:rsids>
    <w:rsidRoot w:val="00710593"/>
    <w:rsid w:val="00016CE9"/>
    <w:rsid w:val="00037321"/>
    <w:rsid w:val="00060160"/>
    <w:rsid w:val="00077A90"/>
    <w:rsid w:val="000924E9"/>
    <w:rsid w:val="000D1134"/>
    <w:rsid w:val="000E1CC0"/>
    <w:rsid w:val="00103B50"/>
    <w:rsid w:val="001166E9"/>
    <w:rsid w:val="00120FDB"/>
    <w:rsid w:val="00122AED"/>
    <w:rsid w:val="00132218"/>
    <w:rsid w:val="00133B5A"/>
    <w:rsid w:val="00145DCD"/>
    <w:rsid w:val="001823F8"/>
    <w:rsid w:val="001A6920"/>
    <w:rsid w:val="001A7725"/>
    <w:rsid w:val="001B6AB6"/>
    <w:rsid w:val="001C67C4"/>
    <w:rsid w:val="001F70C8"/>
    <w:rsid w:val="002310EE"/>
    <w:rsid w:val="0024162B"/>
    <w:rsid w:val="00272888"/>
    <w:rsid w:val="002E5276"/>
    <w:rsid w:val="002E534C"/>
    <w:rsid w:val="002F0E3E"/>
    <w:rsid w:val="00324BE4"/>
    <w:rsid w:val="00333065"/>
    <w:rsid w:val="00346F74"/>
    <w:rsid w:val="003645CE"/>
    <w:rsid w:val="00365E31"/>
    <w:rsid w:val="00381A28"/>
    <w:rsid w:val="00383E21"/>
    <w:rsid w:val="003E1791"/>
    <w:rsid w:val="00410EBE"/>
    <w:rsid w:val="0042690B"/>
    <w:rsid w:val="00427085"/>
    <w:rsid w:val="00482A48"/>
    <w:rsid w:val="004A686D"/>
    <w:rsid w:val="004B7A44"/>
    <w:rsid w:val="004C4D50"/>
    <w:rsid w:val="004C7CAF"/>
    <w:rsid w:val="004D08EF"/>
    <w:rsid w:val="004E0D3E"/>
    <w:rsid w:val="004F3C9B"/>
    <w:rsid w:val="005377C6"/>
    <w:rsid w:val="00572E36"/>
    <w:rsid w:val="00581B30"/>
    <w:rsid w:val="00590E1E"/>
    <w:rsid w:val="005B4576"/>
    <w:rsid w:val="005D4F71"/>
    <w:rsid w:val="005E004E"/>
    <w:rsid w:val="005E0A23"/>
    <w:rsid w:val="005E0BD3"/>
    <w:rsid w:val="005F165C"/>
    <w:rsid w:val="005F3DDC"/>
    <w:rsid w:val="005F46B4"/>
    <w:rsid w:val="0061490C"/>
    <w:rsid w:val="00653D28"/>
    <w:rsid w:val="006812AE"/>
    <w:rsid w:val="006944F4"/>
    <w:rsid w:val="006A53D3"/>
    <w:rsid w:val="006D0B76"/>
    <w:rsid w:val="007012D8"/>
    <w:rsid w:val="007020F3"/>
    <w:rsid w:val="00710593"/>
    <w:rsid w:val="00713AB1"/>
    <w:rsid w:val="00722D5A"/>
    <w:rsid w:val="00727A41"/>
    <w:rsid w:val="007506E3"/>
    <w:rsid w:val="00756E99"/>
    <w:rsid w:val="00761A2D"/>
    <w:rsid w:val="00767AE3"/>
    <w:rsid w:val="007A15B8"/>
    <w:rsid w:val="007A441A"/>
    <w:rsid w:val="007C2FF0"/>
    <w:rsid w:val="007C6265"/>
    <w:rsid w:val="007D0CE3"/>
    <w:rsid w:val="007D1631"/>
    <w:rsid w:val="007D6A8D"/>
    <w:rsid w:val="007E1363"/>
    <w:rsid w:val="007F62F2"/>
    <w:rsid w:val="008164E4"/>
    <w:rsid w:val="0088259F"/>
    <w:rsid w:val="00883ABD"/>
    <w:rsid w:val="008B309A"/>
    <w:rsid w:val="008B30B7"/>
    <w:rsid w:val="00902137"/>
    <w:rsid w:val="0090332D"/>
    <w:rsid w:val="009036E8"/>
    <w:rsid w:val="00910F7B"/>
    <w:rsid w:val="0092335E"/>
    <w:rsid w:val="00933BF4"/>
    <w:rsid w:val="00935482"/>
    <w:rsid w:val="00937112"/>
    <w:rsid w:val="009455E9"/>
    <w:rsid w:val="00945A23"/>
    <w:rsid w:val="00967576"/>
    <w:rsid w:val="00987372"/>
    <w:rsid w:val="009944DB"/>
    <w:rsid w:val="00996051"/>
    <w:rsid w:val="009A170C"/>
    <w:rsid w:val="009A3CAB"/>
    <w:rsid w:val="009A7B18"/>
    <w:rsid w:val="009B3BBD"/>
    <w:rsid w:val="009B4595"/>
    <w:rsid w:val="009E18A6"/>
    <w:rsid w:val="009E335D"/>
    <w:rsid w:val="009E67F0"/>
    <w:rsid w:val="009E7113"/>
    <w:rsid w:val="00A51E74"/>
    <w:rsid w:val="00A5258E"/>
    <w:rsid w:val="00A6622C"/>
    <w:rsid w:val="00A8169C"/>
    <w:rsid w:val="00A979CD"/>
    <w:rsid w:val="00AC3F38"/>
    <w:rsid w:val="00B04E96"/>
    <w:rsid w:val="00B16D27"/>
    <w:rsid w:val="00B32908"/>
    <w:rsid w:val="00B541CC"/>
    <w:rsid w:val="00B54A77"/>
    <w:rsid w:val="00B719C3"/>
    <w:rsid w:val="00B844EB"/>
    <w:rsid w:val="00BA1A00"/>
    <w:rsid w:val="00BA4BFE"/>
    <w:rsid w:val="00BA7F53"/>
    <w:rsid w:val="00BB0792"/>
    <w:rsid w:val="00BB4961"/>
    <w:rsid w:val="00BD5D4E"/>
    <w:rsid w:val="00BF2569"/>
    <w:rsid w:val="00BF3FA5"/>
    <w:rsid w:val="00BF449F"/>
    <w:rsid w:val="00C055BA"/>
    <w:rsid w:val="00C0590B"/>
    <w:rsid w:val="00C25DCE"/>
    <w:rsid w:val="00C300D2"/>
    <w:rsid w:val="00C44D81"/>
    <w:rsid w:val="00C7339A"/>
    <w:rsid w:val="00C739BD"/>
    <w:rsid w:val="00C91C33"/>
    <w:rsid w:val="00CC2C15"/>
    <w:rsid w:val="00CE5284"/>
    <w:rsid w:val="00CF7530"/>
    <w:rsid w:val="00D01C69"/>
    <w:rsid w:val="00D0206E"/>
    <w:rsid w:val="00D227F2"/>
    <w:rsid w:val="00D22819"/>
    <w:rsid w:val="00D23517"/>
    <w:rsid w:val="00D27110"/>
    <w:rsid w:val="00D27302"/>
    <w:rsid w:val="00D80EA2"/>
    <w:rsid w:val="00D80F28"/>
    <w:rsid w:val="00DB7040"/>
    <w:rsid w:val="00DC04DC"/>
    <w:rsid w:val="00DC18F4"/>
    <w:rsid w:val="00DC7262"/>
    <w:rsid w:val="00DD6BA9"/>
    <w:rsid w:val="00DF70D2"/>
    <w:rsid w:val="00E00C38"/>
    <w:rsid w:val="00E02588"/>
    <w:rsid w:val="00E05A73"/>
    <w:rsid w:val="00E05F4F"/>
    <w:rsid w:val="00E06B3D"/>
    <w:rsid w:val="00E14613"/>
    <w:rsid w:val="00E54EE1"/>
    <w:rsid w:val="00E841DE"/>
    <w:rsid w:val="00EA76D0"/>
    <w:rsid w:val="00EC2B90"/>
    <w:rsid w:val="00EC5E2D"/>
    <w:rsid w:val="00ED3F33"/>
    <w:rsid w:val="00EE6BA1"/>
    <w:rsid w:val="00F0278C"/>
    <w:rsid w:val="00F04C02"/>
    <w:rsid w:val="00F25890"/>
    <w:rsid w:val="00F27298"/>
    <w:rsid w:val="00F554F0"/>
    <w:rsid w:val="00F622D4"/>
    <w:rsid w:val="00F64AC5"/>
    <w:rsid w:val="00F700EF"/>
    <w:rsid w:val="00F864B7"/>
    <w:rsid w:val="00F87815"/>
    <w:rsid w:val="00F901ED"/>
    <w:rsid w:val="00FC4D2E"/>
    <w:rsid w:val="00FC4DF3"/>
    <w:rsid w:val="00FD2055"/>
    <w:rsid w:val="00FF40F8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DAF1"/>
  <w15:chartTrackingRefBased/>
  <w15:docId w15:val="{026342EA-5B72-3744-A920-87339A11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93"/>
    <w:rPr>
      <w:rFonts w:ascii="Times New Roman" w:hAnsi="Times New Roman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59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10593"/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7105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05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5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10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1B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B30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8F4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DC18F4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18F4"/>
    <w:rPr>
      <w:rFonts w:ascii="Times New Roman" w:hAnsi="Times New Roman" w:cs="Times New Roman"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C18F4"/>
    <w:pPr>
      <w:spacing w:line="240" w:lineRule="auto"/>
    </w:pPr>
    <w:rPr>
      <w:rFonts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C18F4"/>
    <w:rPr>
      <w:rFonts w:ascii="Times New Roman" w:hAnsi="Times New Roman" w:cs="Times New Roman"/>
      <w:szCs w:val="22"/>
      <w:lang w:val="en-US"/>
    </w:rPr>
  </w:style>
  <w:style w:type="paragraph" w:styleId="Revision">
    <w:name w:val="Revision"/>
    <w:hidden/>
    <w:uiPriority w:val="99"/>
    <w:semiHidden/>
    <w:rsid w:val="00383E21"/>
    <w:pPr>
      <w:spacing w:after="0" w:line="240" w:lineRule="auto"/>
      <w:jc w:val="left"/>
    </w:pPr>
    <w:rPr>
      <w:rFonts w:ascii="Times New Roman" w:hAnsi="Times New Roman"/>
      <w:szCs w:val="22"/>
    </w:rPr>
  </w:style>
  <w:style w:type="character" w:customStyle="1" w:styleId="searchhighlight">
    <w:name w:val="searchhighlight"/>
    <w:basedOn w:val="DefaultParagraphFont"/>
    <w:rsid w:val="00EC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CD-RisC/Data-cleaning-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Lhoste, Victor P F</dc:creator>
  <cp:keywords/>
  <dc:description/>
  <cp:lastModifiedBy>Lhoste, Victor P F</cp:lastModifiedBy>
  <cp:revision>3</cp:revision>
  <dcterms:created xsi:type="dcterms:W3CDTF">2022-08-23T10:55:00Z</dcterms:created>
  <dcterms:modified xsi:type="dcterms:W3CDTF">2023-05-09T11:14:00Z</dcterms:modified>
</cp:coreProperties>
</file>