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扩散模型语义水印黑盒伪造研究讨论</w:t>
      </w:r>
    </w:p>
    <w:p>
      <w:pPr>
        <w:widowControl/>
      </w:pPr>
      <w:r>
        <w:t>导师讨论材料　2026 年 10 月 16 日</w:t>
      </w:r>
    </w:p>
    <w:p>
      <w:pPr>
        <w:pStyle w:val="Heading1"/>
      </w:pPr>
      <w:r>
        <w:t>1 我们准备研究什么</w:t>
      </w:r>
    </w:p>
    <w:p>
      <w:pPr>
        <w:widowControl/>
      </w:pPr>
      <w:r>
        <w:t>我们希望研究：攻击者只有一张合法水印参考图、指定的输出内容和自己的代理模型，既拿不到目标水印密钥，也不利用目标验证分数选择候选时，能否生成内容已经改变、却仍被目标系统接受或错误归属的图像。重点是水印验证所支持的“来源声明”是否可靠，以及失败究竟来自代理误差、语义改变，还是评估参考和协议的选择。</w:t>
      </w:r>
    </w:p>
    <w:p>
      <w:pPr>
        <w:widowControl/>
      </w:pPr>
      <w:r>
        <w:t>起点是 Müller 等人的 CVPR 2025 论文 Black-Box Forgery Attacks on Semantic Watermarks for Diffusion Models。它证明，一张参考图和一个不同的扩散模型就能迁移部分语义水印。ICML 2026 的几何验证与 SemBind 分别从潜变量几何和图像语义绑定补强验证，因此成为我们必须了解的评估对象。[1–3]</w:t>
      </w:r>
    </w:p>
    <w:p>
      <w:pPr>
        <w:widowControl/>
      </w:pPr>
      <w:r>
        <w:t>目前已完成官方 Reprompting 的小规模复现和真实目标潜变量留存。固定茶壶到帆船的提示词、固定模型与水印配置下，八个开发种子的攻击图全部通过原 GS 判定；攻击图与原始目标噪声的余弦相似度明显低于参考图。它说明“原水印通过”和“几何一致”是不同问题，尚不能证明绕过几何防御，更不能当作总体成功率。</w:t>
      </w:r>
    </w:p>
    <w:p>
      <w:pPr>
        <w:widowControl/>
      </w:pPr>
      <w:r>
        <w:t>我们的当前定位是有条件可行的攻击安全性研究。顶会级贡献仍需一个与已有方法有实质区别、在严格信息边界下成立的机制，以及跨提示词、跨密钥和模型的独立测试。现阶段已有可靠的复现基础，但还没有足以宣布新攻击或顶会结果的证据。</w:t>
      </w:r>
    </w:p>
    <w:p>
      <w:pPr>
        <w:pStyle w:val="Heading1"/>
      </w:pPr>
      <w:r>
        <w:t>明天可以先这样向老师介绍</w:t>
      </w:r>
    </w:p>
    <w:p>
      <w:pPr>
        <w:widowControl/>
      </w:pPr>
      <w:r>
        <w:t>“我想做扩散模型语义水印的黑盒伪造安全性。已有 CVPR 工作发现，不知道目标密钥也能从一张水印图片迁移水印。新的 ICML 防御开始检查潜变量几何，或把水印与语义绑定。我想研究这些验证信号到底约束了什么，以及在不查询目标分数的条件下，能否产生真正改变内容且仍通过完整验证的候选。我们已复现旧攻击，但正在先把新防御的参考来源、判定规则和信息权限查清，避免把一个分数变化误当作攻击成功。”</w:t>
      </w:r>
    </w:p>
    <w:p>
      <w:pPr>
        <w:widowControl/>
      </w:pPr>
      <w:r>
        <w:t>本文的数字分别标明“作者报告”或“本项目实测”。论文表格之间的模型、分布、候选预算和 FPR 不完全相同，不能横向直接排名。文末给出原文定位和代码版本。</w:t>
      </w:r>
    </w:p>
    <w:p>
      <w:r>
        <w:br w:type="page"/>
      </w:r>
    </w:p>
    <w:p>
      <w:pPr>
        <w:pStyle w:val="Heading1"/>
      </w:pPr>
      <w:r>
        <w:t>2 基础概念与原论文的方法</w:t>
      </w:r>
    </w:p>
    <w:p>
      <w:pPr>
        <w:widowControl/>
      </w:pPr>
      <w:r>
        <w:t>所谓语义水印，在这些论文中通常指嵌入扩散初始潜噪声、再通过图像反演恢复的水印；它不必然绑定图像中的物体或含义。生成时，服务方把密钥或消息编码进初始噪声 zT，扩散模型按提示词生成图片。验证时，目标模型把图片编码并反演为估计噪声，再提取或匹配水印。[1，§2]</w:t>
      </w:r>
    </w:p>
    <w:p>
      <w:pPr>
        <w:widowControl/>
      </w:pPr>
      <w:r>
        <w:t>Tree-Ring 在噪声的傅里叶空间写入环状结构，按恢复图案的统计匹配判定。Gaussian Shading（GS）将消息加密、重复并映射到高斯分布分区；在我们使用的二分区设置里，符号携带比特，幅值仍具有随机性。反演并聚合后计算消息位匹配率。位准确率是单张图恢复多少比特正确，与一组攻击中有多少图成功是两个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592"/>
      </w:tblGrid>
      <w:tr>
        <w:trPr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攻击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输入与操作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输出目标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主要限制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Reprompting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代理模型反演参考图，再用新提示词生成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新内容仍携带可验证水印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内容和水印能否同时迁移依赖代理与目标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Imprint Forgery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参考图和任意载体图；优化载体的代理潜表示，使其反演结果接近参考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尽量保留载体外观并植入水印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优化成本高；VAE 可损坏文字和人脸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Imprint Removal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将优化目标改为参考噪声的反方向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原图水印不再通过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属于移除，不能混入伪造成功率</w:t>
            </w:r>
          </w:p>
        </w:tc>
      </w:tr>
    </w:tbl>
    <w:p>
      <w:pPr>
        <w:spacing w:after="20"/>
      </w:pPr>
    </w:p>
    <w:p>
      <w:pPr>
        <w:widowControl/>
      </w:pPr>
      <w:r>
        <w:t>Reprompting 的关键是复用代理反演出的噪声，不需要恢复目标的真实密钥。Imprint 的关键是代理空间中的距离优化能迁移到目标空间。作者还通过局部遮罩和回贴原图像素保护人脸、文字等细节。这些机制是已有基线，后续不能把“换提示词”“潜表示匹配”或“加一个遮罩”直接作为创新。[1，§3]</w:t>
      </w:r>
    </w:p>
    <w:p>
      <w:pPr>
        <w:widowControl/>
      </w:pPr>
      <w:r>
        <w:t>原论文的“黑盒”不意味着所有报告阶段都看不到目标分数。攻击生成可只用代理；评估会调用目标验证。Imprint 正文描述了达到检测准确率后停止，但本项目固定源码是按预定步数循环并周期验证，没有按检测分数提前停止的活动分支。应区分正文描述、实际代码与评估规则。Reprompt+ 则采用多个候选的 any-success 统计，属于额外候选预算；不等于攻击者拥有不依赖目标反馈的候选择优器。[1，§3–4；4]</w:t>
      </w:r>
    </w:p>
    <w:p>
      <w:r>
        <w:br w:type="page"/>
      </w:r>
    </w:p>
    <w:p>
      <w:pPr>
        <w:pStyle w:val="Heading1"/>
      </w:pPr>
      <w:r>
        <w:t>3 原论文的实验与基线</w:t>
      </w:r>
    </w:p>
    <w:p>
      <w:pPr>
        <w:widowControl/>
      </w:pPr>
      <w:r>
        <w:t>作者以 SD 2.1 为主要代理，目标包括 SD2.1 Anime、SDXL、PixArt Σ 和 FLUX.1，图像为 512×512。主实验评估 Tree-Ring 与 GS。Tree-Ring 报告固定 1% FPR 的检测率；GS 报告固定 10⁻⁶ FPR 下的检测和十万用户归属结果。这里的 FPR 是其水印评估设定，不是新几何防御的误报率。[1，§4.1]</w:t>
      </w:r>
    </w:p>
    <w:p>
      <w:pPr>
        <w:pStyle w:val="Heading2"/>
      </w:pPr>
      <w:r>
        <w:t>Reprompting 的作者结果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980"/>
        <w:gridCol w:w="1980"/>
        <w:gridCol w:w="1980"/>
        <w:gridCol w:w="1980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目标模型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GS 单候选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GS Reprompt加号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TR 单候选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TR Reprompt加号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SD2.1 Anime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98.3%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89.6%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100.0%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SDXL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99.5%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96.8%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100.0%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PixArt Σ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93.4%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87.5%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99.0%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FLUX.1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65.6%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88.0%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12.8%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35.0%</w:t>
            </w:r>
          </w:p>
        </w:tc>
      </w:tr>
    </w:tbl>
    <w:p>
      <w:pPr>
        <w:spacing w:after="20"/>
      </w:pPr>
    </w:p>
    <w:p>
      <w:pPr>
        <w:pStyle w:val="Caption"/>
        <w:widowControl/>
      </w:pPr>
      <w:r>
        <w:t>来源：作者 Table 3。单候选每目标 1000 张参考图；增强版每目标 100 张，TR 每图 3 个提示词候选，GS 再结合 3 次同分区重采样，共 9 个候选，任一通过计成功。GS 表中检测与归属数值相同。尤其不能将 FLUX 的单候选结果概括为“所有模型接近百分之百”。</w:t>
      </w:r>
    </w:p>
    <w:p>
      <w:pPr>
        <w:widowControl/>
      </w:pPr>
      <w:r>
        <w:t>Imprint Forgery 使用 100 对水印图与自然载体图，学习率 0.01，优化至 150 步。Table 1 中，SDXL 的 GS 检测/归属率为 100%，TR 为 99%；FLUX.1 的 GS 为 95%，TR 仅 23%。它与 Reprompting 的任务不同：前者保留一张既有载体，后者生成新内容。</w:t>
      </w:r>
    </w:p>
    <w:p>
      <w:pPr>
        <w:widowControl/>
      </w:pPr>
      <w:r>
        <w:t>主要伪造对照是 Averaging，包括 Avg-5000：从 5000 张水印样本估计模式，再移植到载体。Table 1 中它对 TR 有效，对 GS 的检测/归属均为 0；单图 Imprint 对 GS 有效。补充材料 C 的移除对照另有 Regeneration（200 步加噪）、AdvEmb（代理编码器优化）和 Surrogate（ResNet 18 分类器）。作者特别指出，共享 GS 密钥与 nonce 会改变旧攻击表现，因此比较还须核对密钥配置、参考数量和视觉代价；移除成绩不能当作伪造成绩。</w:t>
      </w:r>
    </w:p>
    <w:p>
      <w:pPr>
        <w:widowControl/>
      </w:pPr>
      <w:r>
        <w:t>作者通过跨模型组合和 VAE 相似性分析解释迁移现象，并展示攻击分数与正常图像经过 JPEG、噪声等处理后的分数重叠。因此，仅收紧旧水印阈值会牺牲正常图像鲁棒性；这项结论是所测设置下的经验结果。[1，§4.5–4.6]</w:t>
      </w:r>
    </w:p>
    <w:p>
      <w:r>
        <w:br w:type="page"/>
      </w:r>
    </w:p>
    <w:p>
      <w:pPr>
        <w:pStyle w:val="Heading1"/>
      </w:pPr>
      <w:r>
        <w:t>4 视觉效果应该怎样理解</w:t>
      </w:r>
    </w:p>
    <w:p>
      <w:pPr>
        <w:widowControl/>
      </w:pPr>
      <w:r>
        <w:t>原论文 Figure 4 展示 Imprint 对汽车街景和历史人物合影的修改：整体场景基本保留，但不保护局部时，小文字、人脸等细节会受损；加入遮罩后这些区域更接近载体。视觉上“看起来没变”不是无损证明。建议与老师讨论时同时打开原论文第 4 页的 Figure 4，比较 Cover、No Masking、Mask、With Masking 四列。[1]</w:t>
      </w:r>
    </w:p>
    <w:p>
      <w:pPr>
        <w:widowControl/>
      </w:pPr>
      <w:r>
        <w:t>质量指标有一个必须说明的历史问题：官方 README 明确指出早期 commit 43eec7e 的 PSNR 计算错误。我们固定版本的 psnr_PIL 先将 RGB 数组转 float32 并除以 255，再以 data_range=1.0 计算；指标在内存中的 PIL 图像上计算，随后保存，并非重新读 PNG 后计算。Imprint 比较的是载体，Reprompting 换了内容，参考图与输出图的 PSNR 不应被当作同一种“内容保真”。[4]</w:t>
      </w:r>
    </w:p>
    <w:p>
      <w:pPr>
        <w:widowControl/>
      </w:pPr>
      <w:r>
        <w:t>因此，原 Table 1 的约 30 dB 只能注明为论文出版值，不能宣称已经由修正版复核。我们的 Reprompting 运行关闭了 PSNR、SSIM、MS-SSIM、LPIPS，CSV 中的 −1 是占位。本项目尚无这些质量指标的复现实测值。</w:t>
      </w:r>
    </w:p>
    <w:p>
      <w:pPr>
        <w:pStyle w:val="Heading2"/>
      </w:pPr>
      <w:r>
        <w:t>本项目的真实单样本输出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6032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instance_step=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6032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instance_step=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图 1　左为目标生成的黄色茶壶，右为代理 Reprompting 生成的红帆船。均为阶段 02 原始 512×512 PNG，实际查看确认主体与画风不同；右图不是左图的复制。参考位准确率 1.000000，攻击图 0.953125，均超过本配置 GS 阈值 0.70703125。该结果只证明这对样本通过原 GS 判定，不证明任何新防御被突破。</w:t>
      </w:r>
    </w:p>
    <w:p>
      <w:pPr>
        <w:widowControl/>
      </w:pPr>
      <w:r>
        <w:t>这里的视觉目标是“新内容符合指定提示词”，应同时检查红帆船、水面与水彩风格。仅有水印通过但图像仍是茶壶，不能算完成内容变更攻击；反过来，画面已改变但水印不通过，也不能算伪造成功。</w:t>
      </w:r>
    </w:p>
    <w:p>
      <w:r>
        <w:br w:type="page"/>
      </w:r>
    </w:p>
    <w:p>
      <w:pPr>
        <w:pStyle w:val="Heading1"/>
      </w:pPr>
      <w:r>
        <w:t>5 几何验证论文在做什么</w:t>
      </w:r>
    </w:p>
    <w:p>
      <w:pPr>
        <w:widowControl/>
      </w:pPr>
      <w:r>
        <w:t>Lee 等人的 ICML 2026 论文 Rethinking Forgery Attacks on Semantic Watermarks in Black Box Settings A Geometric Distortion Perspective 提出：旧水印分数可能通过，但代理反演和再生成会留下额外潜空间误差，目标模型再反演时可以观察其几何偏移。它把已有水印之外的几何信息作为防伪造信号。[2]</w:t>
      </w:r>
    </w:p>
    <w:p>
      <w:pPr>
        <w:widowControl/>
      </w:pPr>
      <w:r>
        <w:t>G-Cos 将目标原始水印潜变量与候选的目标反演潜变量展平后比较方向。余弦越高通常越接近正常对应关系；论文用 arccos 将余弦转为球面角距离，角距离越大越可疑。原始目标噪声、参考图反演噪声、代理反演噪声是三个不同对象，不能互换。[2，定义 4.5，Remark 4.7]</w:t>
      </w:r>
    </w:p>
    <w:p>
      <w:pPr>
        <w:widowControl/>
      </w:pPr>
      <w:r>
        <w:t>L-SPD 比较局部统计结构：局部 token 中心化后计算协方差，加正则项 εI，使用 SPD 矩阵上的仿射不变黎曼距离。论文 §5.1 写明采用 16×16 空间网格、对局部差异取 top 5 的均值；距离更大意味着结构差异更大。但 ε 数值、token 轴与代码对应、退化矩阵处理等仍需完整实现确认。[2，定义 4.8，§5.1]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592"/>
      </w:tblGrid>
      <w:tr>
        <w:trPr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作者报告的 GS 设置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原 GS 攻击图通过率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G-Cos AUC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L-SPD AUC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SD2.1 代理到 SDXL 目标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99.9%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1.000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0.995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SD2.1 代理到 SD2.1 目标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99.9%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0.975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0.948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SD3 代理到 SD3 目标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99.6%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0.993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0.935</w:t>
            </w:r>
          </w:p>
        </w:tc>
      </w:tr>
    </w:tbl>
    <w:p>
      <w:pPr>
        <w:spacing w:after="20"/>
      </w:pPr>
    </w:p>
    <w:p>
      <w:pPr>
        <w:pStyle w:val="Caption"/>
        <w:widowControl/>
      </w:pPr>
      <w:r>
        <w:t>来源：会议版 Tables 1–2，guidance based 攻击，论文报告 1000 样本设置。AUC 衡量两类分数的排序可分性；AUC=1.000 不代表已经给出可部署阈值，也不等于在某个固定正常误拒率下攻击接受率为零。</w:t>
      </w:r>
    </w:p>
    <w:p>
      <w:pPr>
        <w:widowControl/>
      </w:pPr>
      <w:r>
        <w:t>理论部分以高斯近似和模型后验不匹配建立率失真分析，再讨论角向与局部结构偏移。它是有假设的分析，不能概括为“任何黑盒攻击都不可能成功”。正文也承认有限维重叠、高保真代理和正常失真会影响区分。附录 C.3 讨论 Reforge 的清洗再重印策略，但明确未纳入比较实验。[2，§4，C.3]</w:t>
      </w:r>
    </w:p>
    <w:p>
      <w:pPr>
        <w:widowControl/>
      </w:pPr>
      <w:r>
        <w:t>关键部署问题仍未闭合：§4.1 不希望逐图保存原始生成特征，而 §4.3.1 与 C.4 又要用参考原始 zT。谁提供参考、如何关联候选、如何精确重建仍待澄清。公开固定代码缺少几何模块，活动判定只有旧水印；目前不能把独立余弦诊断包装成完整官方验证器。</w:t>
      </w:r>
    </w:p>
    <w:p>
      <w:r>
        <w:br w:type="page"/>
      </w:r>
    </w:p>
    <w:p>
      <w:pPr>
        <w:pStyle w:val="Heading1"/>
      </w:pPr>
      <w:r>
        <w:t>6 SemBind 的机制与实际结果</w:t>
      </w:r>
    </w:p>
    <w:p>
      <w:pPr>
        <w:widowControl/>
      </w:pPr>
      <w:r>
        <w:t>Zhang 等人的 SemBind 同为 ICML 2026。它在嵌入端改变水印与内容的关系：先按目标提示词生成辅助干净图，用 DINOv2 和训练好的 semantic masker 得到 1024 位语义码；扩展为与潜变量同形状的符号掩码，经过秘密置换，再逐元素乘到原水印噪声上。验证时从候选图重新提取语义掩码，对目标反演噪声解除调制，再交给原水印解码器。[3，§3]</w:t>
      </w:r>
    </w:p>
    <w:p>
      <w:pPr>
        <w:widowControl/>
      </w:pPr>
      <w:r>
        <w:t>直观地说，复制噪声但大幅换内容会导致“嵌入时的语义码”和“检测时的语义码”不一致，解除调制后消息被破坏。它与几何防御的区别是：SemBind 需要训练好的额外网络和新的嵌入过程；几何方法希望检查已有生成过程的潜变量关系。旧 GS 图像不能直接当作 SemBind 正常水印样本。</w:t>
      </w:r>
    </w:p>
    <w:p>
      <w:pPr>
        <w:widowControl/>
      </w:pPr>
      <w:r>
        <w:t>主实验使用 SD2.1、512×512、生成 50 步、CFG 7.5、DPMSolver，并采用 Hong 等人的 exact inversion、50 步、inverse order 0。其攻击代理包括 SD2.1 和 SD1.5。GS 和 TR 的 mask ratio 为 1，PRC 与 GS++ 为 0.5。它与我们当前 SDXL/DDIM 配置并非同一个评估对象。[3，§4.1]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592"/>
      </w:tblGrid>
      <w:tr>
        <w:trPr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Reprompting 作者结果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原 GS 检测率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GS 加 SemBind 检测率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后者位准确率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SD2.1 代理　SDP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60%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0.7054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SD2.1 代理　COCO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99%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6%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0.4894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SD1.5 代理　SDP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56%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0.6867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SD1.5 代理　COCO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  <w:jc w:val="center"/>
            </w:pPr>
            <w:r>
              <w:rPr>
                <w:b w:val="0"/>
                <w:sz w:val="19"/>
              </w:rPr>
              <w:t>0.5025</w:t>
            </w:r>
          </w:p>
        </w:tc>
      </w:tr>
    </w:tbl>
    <w:p>
      <w:pPr>
        <w:spacing w:after="20"/>
      </w:pPr>
    </w:p>
    <w:p>
      <w:pPr>
        <w:pStyle w:val="Caption"/>
        <w:widowControl/>
      </w:pPr>
      <w:r>
        <w:t>来源：会议版 Table 4；每个提示词集 100 个参考提示词，另取 100 个不匹配攻击提示词。检测率越低表示防御越强。结果显示明显数据分布差异，不能将 SemBind 描述为“完全阻止 Reprompting”，也不能用平均位准确率代替逐图是否过阈值。</w:t>
      </w:r>
    </w:p>
    <w:p>
      <w:pPr>
        <w:widowControl/>
      </w:pPr>
      <w:r>
        <w:t>视觉与质量方面，Figure 3 比较同提示词下基础水印及增强版本；作者 Table 1 报告 GS 与 GS-S 的 FID 为 25.20±0.22 和 25.28±0.20，CLIP 为 0.3631±0.0005 和 0.3634±0.0011。FID 基于 5000 个 COCO 提示词，CLIP 基于 1000 个 SDP 提示词，10 次试验。它们是分布和语义指标，不是逐像素一致证明；论文中的显著性表述也不能替代严格等效性检验。[3，§4.2]</w:t>
      </w:r>
    </w:p>
    <w:p>
      <w:r>
        <w:br w:type="page"/>
      </w:r>
    </w:p>
    <w:p>
      <w:pPr>
        <w:pStyle w:val="Heading1"/>
      </w:pPr>
      <w:r>
        <w:t>7 新防御已经测试了哪些自适应策略</w:t>
      </w:r>
    </w:p>
    <w:p>
      <w:pPr>
        <w:widowControl/>
      </w:pPr>
      <w:r>
        <w:t>SemBind 最终会议版附录 E.1 假设攻击者掌握同训练数据、架构、损失和超参数，只改变训练随机性，训练五个代理 masker。先在 COCO 与 SDP 各 1000 个提示词上比较代码，发现独立 masker 的 1024 位代码平均约一半不同。随后，它还进行了端到端 GS-S 测试：100 个 COCO 提示词、五个代理 masker，Table 17 的检测率均为 0，位准确率在 0.4988–0.5104。[3]</w:t>
      </w:r>
    </w:p>
    <w:p>
      <w:pPr>
        <w:widowControl/>
      </w:pPr>
      <w:r>
        <w:t>因此，单纯重新训练相同架构以复制私有语义码，是已经测试过的策略。这个结果不等于覆盖了所有不需要复制私有码的攻击。该端到端设置文字称攻击者嵌入自己的 GS 水印，消息、密钥与目标验证身份的对应还需核对；目前不能把它直接等同于我们的一张参考图、目标消息迁移契约。</w:t>
      </w:r>
    </w:p>
    <w:p>
      <w:pPr>
        <w:widowControl/>
      </w:pPr>
      <w:r>
        <w:t>最终版还包含像素覆盖实验、更多提示词分布、FLUX 迁移，以及附录 G 的 WMCopier 比较。应按最终会议版定位，不能只沿用早期预印本附录编号或说“只有组件测试”。几何论文 C.3 的 Reforge 则仍是策略讨论，不能视为公开端到端基线成绩。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4608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相关方法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已有思想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我们必须区分的边界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Jain 等单图 LFA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代理 VAE 潜表示匹配与小扰动伪造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与旧 Imprint 的整条反演优化不同；简单 latent loss 已有先例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SEAL　ICCV 2025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把内容与水印绑定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SemBind 之前已有语义绑定防伪造，不能笼统声称空白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CSI　WWW 2026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保留全局语义锚点、修改局部属性、多级过滤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论文 Eq. 9 用 CSW 分数筛选；噪声编码器权限须核查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GS++ 与 PAI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不同密钥管理或轨迹绑定方式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改变水印目标，不能混入当前 GS 数字</w:t>
            </w:r>
          </w:p>
        </w:tc>
      </w:tr>
    </w:tbl>
    <w:p>
      <w:pPr>
        <w:spacing w:after="20"/>
      </w:pPr>
    </w:p>
    <w:p>
      <w:pPr>
        <w:widowControl/>
      </w:pPr>
      <w:r>
        <w:t>CSI 已报告对 SEAL 的语义编辑攻击，因此“保留主体、改变属性”本身也不是新想法。我们可能有价值的区别必须同时体现在可用信息、完整接受规则、方法机制和预算上。当前尚未证明这种区别已足够形成独立贡献。[5–8]</w:t>
      </w:r>
    </w:p>
    <w:p>
      <w:pPr>
        <w:widowControl/>
      </w:pPr>
      <w:r>
        <w:t>文献覆盖为截至 2026 年 10 月 16 日的定向原文与官方代码核查，不是穷尽式检索。IRIS 的当前 arXiv v2 已撤回，应仅作历史线索，不纳入有效 SOTA 成绩。[9]</w:t>
      </w:r>
    </w:p>
    <w:p>
      <w:r>
        <w:br w:type="page"/>
      </w:r>
    </w:p>
    <w:p>
      <w:pPr>
        <w:pStyle w:val="Heading1"/>
      </w:pPr>
      <w:r>
        <w:t>8 我们已有的证据与研究契约</w:t>
      </w:r>
    </w:p>
    <w:p>
      <w:pPr>
        <w:widowControl/>
      </w:pPr>
      <w:r>
        <w:t>阶段 05 固定提示词、模型和基础消息/密钥设置，seeds 2–9 每个只运行一次。八张参考图和八张攻击图均通过原 GS；独立全局余弦均值分别为 0.813845 与 0.347934。所有原图、CSV、运行配置、日志与真实潜变量已归档。阶段 02 与阶段 04 的 seed 1 图像相同，不能额外算作两个独立样本。</w:t>
      </w:r>
    </w:p>
    <w:p>
      <w:pPr>
        <w:widowControl/>
      </w:pPr>
      <w:r>
        <w:t>这些数据是开发集；在看过这些结果并据此选方法后，不能再将其称为未见测试集。已有 CPU 分解提示：消息位匹配、原始噪声符号吻合和幅值对齐不是同一个统计量；参考关联会影响余弦。但这是描述性诊断，不是因果分解或新攻击效果。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4608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攻击端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4"/>
          </w:tcPr>
          <w:p>
            <w:pPr>
              <w:spacing w:after="60" w:before="60" w:line="259" w:lineRule="auto"/>
            </w:pPr>
            <w:r>
              <w:rPr>
                <w:b/>
                <w:sz w:val="19"/>
              </w:rPr>
              <w:t>评估端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一张水印参考图与指定输出要求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可用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保存身份与哈希关联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自有代理模型及公开算法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可用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记录版本和预算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目标模型公开名称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可声明已知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与内部调用权限分开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目标密钥 消息 秘密置换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不可输入攻击算法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独有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目标原始噪声 RNG 内部反演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不可输入攻击算法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独有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目标水印或几何分数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不用于选候选或调参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9"/>
              </w:rPr>
              <w:t>候选冻结后才计算</w:t>
            </w:r>
          </w:p>
        </w:tc>
      </w:tr>
    </w:tbl>
    <w:p>
      <w:pPr>
        <w:spacing w:after="20"/>
      </w:pPr>
    </w:p>
    <w:p>
      <w:pPr>
        <w:widowControl/>
      </w:pPr>
      <w:r>
        <w:t>候选交付应是先固定 PNG 字节、SHA256、公开配置和种子，评估端再读取候选并产生报告。主设置每个任务一个预先规定的输出；如果以后比较多候选方法，必须单列预算、选择规则和是否使用目标反馈。这里描述的是接口契约；现有共享进程脚本尚未建立权限隔离。</w:t>
      </w:r>
    </w:p>
    <w:p>
      <w:pPr>
        <w:widowControl/>
      </w:pPr>
      <w:r>
        <w:t>完整成功必须同时包含：参考有效、指定内容变更成立、目标最终验证接受、候选由授权信息生成。几何评估若没有完整参考关联与阈值，就只能报告分数；SemBind 若没有真实绑定生成过程，就不能把普通 GS 图像算作正常样本。原水印检测、几何通过、语义目标达成和错误归属应分别记录，最后按已冻结的完整规则组合。</w:t>
      </w:r>
    </w:p>
    <w:p>
      <w:r>
        <w:br w:type="page"/>
      </w:r>
    </w:p>
    <w:p>
      <w:pPr>
        <w:pStyle w:val="Heading1"/>
      </w:pPr>
      <w:r>
        <w:t>9 可行性判断与向老师请教的问题</w:t>
      </w:r>
    </w:p>
    <w:p>
      <w:pPr>
        <w:widowControl/>
      </w:pPr>
      <w:r>
        <w:t>最有价值的问题不是重复证明旧 GS 可以伪造，而是确定新防御的验证信号是否真的约束来源：能否在严格的代理访问条件下改变任务相关内容，同时保留完整验证所要求的关系；如果不能，失败来自哪个不可获得的信息或哪个不可消除的误差。这需要以完整评估契约为前提。</w:t>
      </w:r>
    </w:p>
    <w:p>
      <w:pPr>
        <w:widowControl/>
      </w:pPr>
      <w:r>
        <w:t>当前风险有三点。第一，几何方法缺少可执行的官方判定和参考获取机制，贸然补写会变成评价自建防御。第二，SemBind 的公开代码主要是 masker 演示，完整 GS-S 与秘密置换协议仍未闭合，而且其样本需要重新嵌入生成。第三，邻近攻击已有潜表示优化与语义保留编辑，方法新颖性必须比“组合已有损失”更强。</w:t>
      </w:r>
    </w:p>
    <w:p>
      <w:pPr>
        <w:widowControl/>
      </w:pPr>
      <w:r>
        <w:t>下一阶段最小动作是完成并冻结可执行评估材料清单：优先向官方公开材料追查几何函数、正确参考来源及固定规则，并核对 SemBind 完整绑定/解绑与 GS-S 判定实现。缺项保持 unknown；在获得可信协议前不调整阈值、不自行补替代验证器。本轮仅做静态审查，没有新增生成、反演、训练或检测实验。</w:t>
      </w:r>
    </w:p>
    <w:p>
      <w:pPr>
        <w:widowControl/>
      </w:pPr>
      <w:r>
        <w:t>如果协议闭合，后续再由老师和我们确定是否恢复实验。合理证据链应包含固定预算的旧攻击、正常图及良性变换对照、独立提示词和密钥测试、语义达成与最终接受的联合统计、消融和失败案例。已看过的八种子只作开发诊断。新增实验的规模应由效应大小、置信区间与资源预算决定。</w:t>
      </w:r>
    </w:p>
    <w:p>
      <w:pPr>
        <w:pStyle w:val="Heading2"/>
      </w:pPr>
      <w:r>
        <w:t>老师可能会问的几个问题</w:t>
      </w:r>
    </w:p>
    <w:p>
      <w:pPr>
        <w:widowControl/>
      </w:pPr>
      <w:r>
        <w:t>“为什么选这个问题？”　来源水印能检测出来，不代表图像确由声明的服务或用户生成；伪造直接影响归属可信性。</w:t>
      </w:r>
    </w:p>
    <w:p>
      <w:pPr>
        <w:widowControl/>
      </w:pPr>
      <w:r>
        <w:t>“你们的新方法是什么？”　目前没有已证实的新方法。我们已锁定无目标反馈的安全性问题，先排除参考与判定协议混淆，再决定机制是否具有创新空间。</w:t>
      </w:r>
    </w:p>
    <w:p>
      <w:pPr>
        <w:widowControl/>
      </w:pPr>
      <w:r>
        <w:t>“8 次都成功说明什么？”　说明一个固定条件的官方基线可以重复执行；不能推出跨内容、模型、密钥的一般成功率，也没有突破几何或 SemBind 的证据。</w:t>
      </w:r>
    </w:p>
    <w:p>
      <w:pPr>
        <w:widowControl/>
      </w:pPr>
      <w:r>
        <w:t>“能发顶会吗？”　方向重要且有活跃竞争，但目前还只是复现与诊断。潜力取决于是否得到明确新机制和严格、广泛、可复核的证据；当前不能保证发表档次。</w:t>
      </w:r>
    </w:p>
    <w:p>
      <w:pPr>
        <w:widowControl/>
      </w:pPr>
      <w:r>
        <w:t>“希望老师给什么意见？”　请确认优先研究单参考图、单候选、零目标反馈是否有价值，以及评估对象优先选择完整几何协议还是 SemBind；如果官方协议长期不完整，是否应改选公开可忠实运行的目标，而不是自建防御后声称攻破原方法。</w:t>
      </w:r>
    </w:p>
    <w:p>
      <w:r>
        <w:br w:type="page"/>
      </w:r>
    </w:p>
    <w:p>
      <w:pPr>
        <w:pStyle w:val="Heading1"/>
      </w:pPr>
      <w:r>
        <w:t>10 参考材料与证据定位</w:t>
      </w:r>
    </w:p>
    <w:p>
      <w:pPr>
        <w:widowControl/>
        <w:spacing w:after="100" w:line="252" w:lineRule="auto"/>
      </w:pPr>
      <w:r>
        <w:rPr>
          <w:sz w:val="20"/>
        </w:rPr>
        <w:t>[1] Müller et al. Black-Box Forgery Attacks on Semantic Watermarks for Diffusion Models. CVPR 2025, pp. 20937–20946。方法 §3；设置 §4.1；Tables 1–3；视觉 Figure 4；阈值 §4.6；补充材料 C。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https://openaccess.thecvf.com/content/CVPR2025/papers/Muller_Black-Box_Forgery_Attacks_on_Semantic_Watermarks_for_Diffusion_Models_CVPR_2025_paper.pdf</w:t>
      </w:r>
    </w:p>
    <w:p>
      <w:pPr>
        <w:widowControl/>
        <w:spacing w:after="100" w:line="252" w:lineRule="auto"/>
      </w:pPr>
      <w:r>
        <w:rPr>
          <w:sz w:val="20"/>
        </w:rPr>
        <w:t>[2] Lee et al. Rethinking Forgery Attacks on Semantic Watermarks in Black-Box Settings: A Geometric Distortion Perspective. ICML 2026, PMLR 306。本文以出版社 PDF 为准，另与 arXiv 2606.29807v1 核对关键协议段落；不是全文逐字差分。§4.1、4.3、5.1；Tables 1–2；C.3–C.4。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https://proceedings.mlr.press/v306/lee26bm.html</w:t>
      </w:r>
    </w:p>
    <w:p>
      <w:pPr>
        <w:widowControl/>
        <w:spacing w:after="100" w:line="252" w:lineRule="auto"/>
      </w:pPr>
      <w:r>
        <w:rPr>
          <w:sz w:val="20"/>
        </w:rPr>
        <w:t>[3] Zhang et al. SemBind: Binding Diffusion Watermarks to Semantics Against Black-Box Forgery Attacks. ICML 2026, PMLR 306:159761–159784。本文采用最终会议 PDF；§3–4；Tables 1–4；附录 E.1、Table 17、附录 G。早期 arXiv 2601.20310v1 的附录编号与覆盖不同。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https://proceedings.mlr.press/v306/zhang26hj.html</w:t>
      </w:r>
    </w:p>
    <w:p>
      <w:pPr>
        <w:widowControl/>
        <w:spacing w:after="100" w:line="252" w:lineRule="auto"/>
      </w:pPr>
      <w:r>
        <w:rPr>
          <w:sz w:val="20"/>
        </w:rPr>
        <w:t>[4] 官方源码固定版本：semantic-forgery @ ca68950cd7b53b8438a49580f134b2a0db28d778；PSNR 见 README.md:72–73，utils/image_utils.py:495–520，utils/imprint_utils.py:352–409。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https://github.com/and-mill/semantic-forgery</w:t>
      </w:r>
    </w:p>
    <w:p>
      <w:pPr>
        <w:widowControl/>
        <w:spacing w:after="100" w:line="252" w:lineRule="auto"/>
      </w:pPr>
      <w:r>
        <w:rPr>
          <w:sz w:val="20"/>
        </w:rPr>
        <w:t>[5] Jain et al. Forging and Removing Latent-Noise Diffusion Watermarks Using a Single Image. arXiv:2504.20111v1。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https://arxiv.org/abs/2504.20111</w:t>
      </w:r>
    </w:p>
    <w:p>
      <w:pPr>
        <w:widowControl/>
        <w:spacing w:after="100" w:line="252" w:lineRule="auto"/>
      </w:pPr>
      <w:r>
        <w:rPr>
          <w:sz w:val="20"/>
        </w:rPr>
        <w:t>[6] Arabi et al. SEAL: Semantic Aware Image Watermarking. ICCV 2025。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https://github.com/Kasraarabi/SEAL</w:t>
      </w:r>
    </w:p>
    <w:p>
      <w:pPr>
        <w:widowControl/>
        <w:spacing w:after="100" w:line="252" w:lineRule="auto"/>
      </w:pPr>
      <w:r>
        <w:rPr>
          <w:sz w:val="20"/>
        </w:rPr>
        <w:t>[7] Gao et al. Breaking Semantic-Aware Watermarks via LLM-Guided Coherence-Preserving Semantic Injection. WWW 2026；arXiv:2602.21593v1，§2，Eq. 9。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https://arxiv.org/html/2602.21593v1</w:t>
      </w:r>
    </w:p>
    <w:p>
      <w:pPr>
        <w:widowControl/>
        <w:spacing w:after="100" w:line="252" w:lineRule="auto"/>
      </w:pPr>
      <w:r>
        <w:rPr>
          <w:sz w:val="20"/>
        </w:rPr>
        <w:t>[8] GS++ arXiv:2504.15026v2；PAI ICLR 2026。用于明确目标差异，本文未声称完整复现。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https://arxiv.org/abs/2504.15026</w:t>
      </w:r>
    </w:p>
    <w:p>
      <w:pPr>
        <w:widowControl/>
        <w:spacing w:after="100" w:line="252" w:lineRule="auto"/>
      </w:pPr>
      <w:r>
        <w:rPr>
          <w:sz w:val="20"/>
        </w:rPr>
        <w:t>[9] IRIS arXiv:2608.03539，v2 撤回状态。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https://arxiv.org/abs/2608.03539</w:t>
      </w:r>
    </w:p>
    <w:p>
      <w:pPr>
        <w:widowControl/>
        <w:spacing w:after="100" w:line="252" w:lineRule="auto"/>
      </w:pPr>
      <w:r>
        <w:rPr>
          <w:sz w:val="20"/>
        </w:rPr>
        <w:t>本项目实测证据：reports/02_smoke_report.md；reports/05_reprompt_seed_pilot_20261013T041832Z/05_report.md；reports/06_cpu_diagnostics/report.md。当前完整静态契约见 docs/EVALUATION_CONTRACT.md，原始实验不因本材料编写而改变。</w:t>
      </w:r>
    </w:p>
    <w:p>
      <w:pPr>
        <w:pStyle w:val="Caption"/>
        <w:widowControl/>
        <w:spacing w:after="100" w:line="252" w:lineRule="auto"/>
      </w:pPr>
      <w:r>
        <w:rPr>
          <w:sz w:val="17"/>
        </w:rPr>
        <w:t>https://github.com/liylei666-hub/watermark2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 年 10 月 16 日　 ·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扩散模型语义水印黑盒伪造研究　｜　导师讨论材料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rFonts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rFont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00000"/>
      <w:spacing w:val="5"/>
      <w:kern w:val="28"/>
      <w:sz w:val="4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Calibri" w:hAnsi="Calibri" w:eastAsia="Microsoft YaHei"/>
      <w:b w:val="0"/>
      <w:bCs/>
      <w:i w:val="0"/>
      <w:color w:val="000000"/>
      <w:sz w:val="19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扩散模型语义水印黑盒伪造研究讨论</dc:title>
  <dc:subject>基础论文 防御基线 研究问题 与评估契约</dc:subject>
  <dc:creator>Watermark Research</dc:creator>
  <cp:keywords>semantic watermark; forgery; Reprompting; SemBind; geometry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