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73026">
      <w:pPr>
        <w:spacing w:before="0" w:after="400" w:line="264" w:lineRule="auto"/>
      </w:pPr>
    </w:p>
    <w:p w14:paraId="77137202">
      <w:pPr>
        <w:spacing w:after="120"/>
        <w:jc w:val="center"/>
        <w:rPr>
          <w:rFonts w:hint="eastAsia" w:ascii="苹方" w:hAnsi="苹方" w:eastAsia="苹方" w:cs="苹方"/>
          <w:b/>
          <w:bCs w:val="0"/>
        </w:rPr>
      </w:pPr>
      <w:r>
        <w:rPr>
          <w:rFonts w:hint="eastAsia" w:ascii="苹方" w:hAnsi="苹方" w:eastAsia="苹方" w:cs="苹方"/>
          <w:b/>
          <w:bCs w:val="0"/>
          <w:color w:val="000000"/>
          <w:sz w:val="48"/>
        </w:rPr>
        <w:t>评估工具测试计划</w:t>
      </w:r>
    </w:p>
    <w:p w14:paraId="242893FE">
      <w:pPr>
        <w:spacing w:after="520"/>
        <w:jc w:val="center"/>
      </w:pPr>
      <w:r>
        <w:rPr>
          <w:rFonts w:ascii="Calibri" w:hAnsi="Calibri" w:eastAsia="宋体"/>
          <w:color w:val="595959"/>
          <w:sz w:val="28"/>
        </w:rPr>
        <w:t>系统计算结果与 Excel 人工计算结果一致性验证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F1D916A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54DD2417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1"/>
              </w:rPr>
              <w:t>文档版本</w:t>
            </w:r>
          </w:p>
        </w:tc>
        <w:tc>
          <w:tcPr>
            <w:tcW w:w="7560" w:type="dxa"/>
            <w:vAlign w:val="center"/>
          </w:tcPr>
          <w:p w14:paraId="73A4739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1"/>
              </w:rPr>
              <w:t>V1.0</w:t>
            </w:r>
          </w:p>
        </w:tc>
      </w:tr>
      <w:tr w14:paraId="55CD5C1A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4CEEC28A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1"/>
              </w:rPr>
              <w:t>适用对象</w:t>
            </w:r>
          </w:p>
        </w:tc>
        <w:tc>
          <w:tcPr>
            <w:tcW w:w="7560" w:type="dxa"/>
            <w:vAlign w:val="center"/>
          </w:tcPr>
          <w:p w14:paraId="1D60CFF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1"/>
              </w:rPr>
              <w:t>评估工具计算准确性测试、验收测试及回归测试</w:t>
            </w:r>
          </w:p>
        </w:tc>
      </w:tr>
      <w:tr w14:paraId="545D5FDD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7B3712E7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1"/>
              </w:rPr>
              <w:t>测试目标</w:t>
            </w:r>
          </w:p>
        </w:tc>
        <w:tc>
          <w:tcPr>
            <w:tcW w:w="7560" w:type="dxa"/>
            <w:vAlign w:val="center"/>
          </w:tcPr>
          <w:p w14:paraId="062165C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1"/>
              </w:rPr>
              <w:t>验证系统产出的评估结果与 Excel 严格按公式计算结果是否一致</w:t>
            </w:r>
          </w:p>
        </w:tc>
      </w:tr>
      <w:tr w14:paraId="2184989F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080A8A05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1"/>
              </w:rPr>
              <w:t>编制日期</w:t>
            </w:r>
          </w:p>
        </w:tc>
        <w:tc>
          <w:tcPr>
            <w:tcW w:w="7560" w:type="dxa"/>
            <w:vAlign w:val="center"/>
          </w:tcPr>
          <w:p w14:paraId="6D78B20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1"/>
              </w:rPr>
              <w:t>2026年05月06日</w:t>
            </w:r>
          </w:p>
        </w:tc>
      </w:tr>
      <w:tr w14:paraId="100E7481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3D01B0DB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1"/>
              </w:rPr>
              <w:t>编制单位</w:t>
            </w:r>
          </w:p>
        </w:tc>
        <w:tc>
          <w:tcPr>
            <w:tcW w:w="7560" w:type="dxa"/>
            <w:vAlign w:val="center"/>
          </w:tcPr>
          <w:p w14:paraId="20B0389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1"/>
              </w:rPr>
              <w:t>测试单位 / 承建单位</w:t>
            </w:r>
          </w:p>
        </w:tc>
      </w:tr>
    </w:tbl>
    <w:p w14:paraId="54DB4F72">
      <w:pPr>
        <w:pStyle w:val="3"/>
        <w:bidi w:val="0"/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p w14:paraId="7E51457F">
      <w:pPr>
        <w:pStyle w:val="3"/>
        <w:bidi w:val="0"/>
      </w:pPr>
      <w:r>
        <w:t>一、测试背景</w:t>
      </w:r>
    </w:p>
    <w:p w14:paraId="07BCE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64" w:lineRule="auto"/>
        <w:ind w:firstLine="440" w:firstLineChars="200"/>
        <w:textAlignment w:val="auto"/>
      </w:pPr>
      <w:r>
        <w:rPr>
          <w:rFonts w:ascii="Calibri" w:hAnsi="Calibri" w:eastAsia="宋体"/>
          <w:b w:val="0"/>
          <w:color w:val="0B2545"/>
          <w:sz w:val="22"/>
        </w:rPr>
        <w:t>为验证评估工具在实际业务数据下的计算准确性、结果一致性和过程可追溯性，需对系统自动计算结果与人工 Excel 计算结果开展一致性比对测试。测试通过选取具有代表性的历史数据或回流数据作为评估样本，分别由承建单位使用系统自动计算、测试单位使用 Excel 按公式独立核算，并对两类结果逐项核验。</w:t>
      </w:r>
    </w:p>
    <w:p w14:paraId="2F455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64" w:lineRule="auto"/>
        <w:ind w:firstLine="440" w:firstLineChars="200"/>
        <w:textAlignment w:val="auto"/>
      </w:pPr>
      <w:r>
        <w:rPr>
          <w:rFonts w:ascii="Calibri" w:hAnsi="Calibri" w:eastAsia="宋体"/>
          <w:b w:val="0"/>
          <w:color w:val="0B2545"/>
          <w:sz w:val="22"/>
        </w:rPr>
        <w:t>本测试计划用于规范测试数据选取、计算过程、结果比对、差异分析、问题整改及最终报告编制工作，确保测试结论客观、可复核、可追溯。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158EC5AF">
        <w:trPr>
          <w:jc w:val="center"/>
        </w:trPr>
        <w:tc>
          <w:tcPr>
            <w:tcW w:w="9360" w:type="dxa"/>
            <w:shd w:val="clear" w:color="auto" w:fill="F4F6F9"/>
            <w:vAlign w:val="center"/>
          </w:tcPr>
          <w:p w14:paraId="4B394EFB">
            <w:pPr>
              <w:spacing w:after="80"/>
            </w:pPr>
            <w:r>
              <w:rPr>
                <w:rFonts w:ascii="Calibri" w:hAnsi="Calibri" w:eastAsia="宋体"/>
                <w:b/>
                <w:color w:val="1F4D78"/>
                <w:sz w:val="22"/>
              </w:rPr>
              <w:t>核心验证口径</w:t>
            </w:r>
          </w:p>
          <w:p w14:paraId="69F12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64" w:lineRule="auto"/>
              <w:ind w:firstLine="420" w:firstLineChars="200"/>
              <w:textAlignment w:val="auto"/>
            </w:pPr>
            <w:r>
              <w:rPr>
                <w:rFonts w:ascii="Calibri" w:hAnsi="Calibri" w:eastAsia="宋体"/>
                <w:color w:val="0B2545"/>
                <w:sz w:val="21"/>
              </w:rPr>
              <w:t>系统计算和 Excel 计算必须使用同一批原始数据、同一套指标公式、同一套权重规则、同一套精度和四舍五入规则。</w:t>
            </w:r>
          </w:p>
        </w:tc>
      </w:tr>
    </w:tbl>
    <w:p w14:paraId="7FDAB3C6"/>
    <w:p w14:paraId="6C009655">
      <w:pPr>
        <w:pStyle w:val="3"/>
        <w:bidi w:val="0"/>
      </w:pPr>
      <w:r>
        <w:t>二、测试目标</w:t>
      </w:r>
    </w:p>
    <w:p w14:paraId="2927E56E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验证评估工具中各项指标计算公式是否正确实现。</w:t>
      </w:r>
    </w:p>
    <w:p w14:paraId="0E179CB2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验证系统对基础数据的读取、字段映射、数据转换、缺失值处理和异常值处理是否符合规则。</w:t>
      </w:r>
    </w:p>
    <w:p w14:paraId="45E2A807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验证系统计算结果与 Excel 人工计算结果在乡镇、区县、市州及汇总层级是否一致。</w:t>
      </w:r>
    </w:p>
    <w:p w14:paraId="482E6895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验证单项指标得分、权重得分、综合得分、评价等级或评价结论是否准确。</w:t>
      </w:r>
    </w:p>
    <w:p w14:paraId="26CBE760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验证系统结果导出文件是否完整、规范，并能够支撑后续复核和归档。</w:t>
      </w:r>
    </w:p>
    <w:p w14:paraId="399F17A4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对发现的差异进行定位、分类、整改和复测，为系统上线、验收或正式应用提供依据。</w:t>
      </w:r>
    </w:p>
    <w:p w14:paraId="51A16642">
      <w:pPr>
        <w:pStyle w:val="3"/>
        <w:bidi w:val="0"/>
      </w:pPr>
      <w:r>
        <w:t>三、测试范围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78"/>
        <w:gridCol w:w="4117"/>
        <w:gridCol w:w="3565"/>
      </w:tblGrid>
      <w:tr w14:paraId="7ECC6FF7">
        <w:trPr>
          <w:jc w:val="center"/>
        </w:trPr>
        <w:tc>
          <w:tcPr>
            <w:tcW w:w="1678" w:type="dxa"/>
            <w:shd w:val="clear" w:color="auto" w:fill="F2F4F7"/>
            <w:vAlign w:val="center"/>
          </w:tcPr>
          <w:p w14:paraId="48241138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测试模块</w:t>
            </w:r>
          </w:p>
        </w:tc>
        <w:tc>
          <w:tcPr>
            <w:tcW w:w="4117" w:type="dxa"/>
            <w:shd w:val="clear" w:color="auto" w:fill="F2F4F7"/>
            <w:vAlign w:val="center"/>
          </w:tcPr>
          <w:p w14:paraId="3E9F511D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测试内容</w:t>
            </w:r>
          </w:p>
        </w:tc>
        <w:tc>
          <w:tcPr>
            <w:tcW w:w="3565" w:type="dxa"/>
            <w:shd w:val="clear" w:color="auto" w:fill="F2F4F7"/>
            <w:vAlign w:val="center"/>
          </w:tcPr>
          <w:p w14:paraId="7BE3BF93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关注重点</w:t>
            </w:r>
          </w:p>
        </w:tc>
      </w:tr>
      <w:tr w14:paraId="0C060311">
        <w:trPr>
          <w:jc w:val="center"/>
        </w:trPr>
        <w:tc>
          <w:tcPr>
            <w:tcW w:w="1678" w:type="dxa"/>
            <w:vAlign w:val="center"/>
          </w:tcPr>
          <w:p w14:paraId="321467C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数据导入</w:t>
            </w:r>
          </w:p>
        </w:tc>
        <w:tc>
          <w:tcPr>
            <w:tcW w:w="4117" w:type="dxa"/>
            <w:vAlign w:val="center"/>
          </w:tcPr>
          <w:p w14:paraId="1EC766A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导入评估基础数据、行政区划数据、指标数据</w:t>
            </w:r>
          </w:p>
        </w:tc>
        <w:tc>
          <w:tcPr>
            <w:tcW w:w="3565" w:type="dxa"/>
            <w:vAlign w:val="center"/>
          </w:tcPr>
          <w:p w14:paraId="468FC62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数据条数、字段映射、数据类型、行政区划匹配</w:t>
            </w:r>
          </w:p>
        </w:tc>
      </w:tr>
      <w:tr w14:paraId="726F3C0D">
        <w:trPr>
          <w:jc w:val="center"/>
        </w:trPr>
        <w:tc>
          <w:tcPr>
            <w:tcW w:w="1678" w:type="dxa"/>
            <w:vAlign w:val="center"/>
          </w:tcPr>
          <w:p w14:paraId="0B4F168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指标计算</w:t>
            </w:r>
          </w:p>
        </w:tc>
        <w:tc>
          <w:tcPr>
            <w:tcW w:w="4117" w:type="dxa"/>
            <w:vAlign w:val="center"/>
          </w:tcPr>
          <w:p w14:paraId="35AB981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执行单项指标、标准化、权重和综合得分计算</w:t>
            </w:r>
          </w:p>
        </w:tc>
        <w:tc>
          <w:tcPr>
            <w:tcW w:w="3565" w:type="dxa"/>
            <w:vAlign w:val="center"/>
          </w:tcPr>
          <w:p w14:paraId="2EDBA26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公式一致性、精度规则、边界值处理</w:t>
            </w:r>
          </w:p>
        </w:tc>
      </w:tr>
      <w:tr w14:paraId="20CEE640">
        <w:trPr>
          <w:jc w:val="center"/>
        </w:trPr>
        <w:tc>
          <w:tcPr>
            <w:tcW w:w="1678" w:type="dxa"/>
            <w:vAlign w:val="center"/>
          </w:tcPr>
          <w:p w14:paraId="7C9A9FD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汇总计算</w:t>
            </w:r>
          </w:p>
        </w:tc>
        <w:tc>
          <w:tcPr>
            <w:tcW w:w="4117" w:type="dxa"/>
            <w:vAlign w:val="center"/>
          </w:tcPr>
          <w:p w14:paraId="0040FBC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按乡镇、区县、市州、省级等层级汇总</w:t>
            </w:r>
          </w:p>
        </w:tc>
        <w:tc>
          <w:tcPr>
            <w:tcW w:w="3565" w:type="dxa"/>
            <w:vAlign w:val="center"/>
          </w:tcPr>
          <w:p w14:paraId="491263B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分组口径、汇总范围、层级关系</w:t>
            </w:r>
          </w:p>
        </w:tc>
      </w:tr>
      <w:tr w14:paraId="32E352F4">
        <w:trPr>
          <w:jc w:val="center"/>
        </w:trPr>
        <w:tc>
          <w:tcPr>
            <w:tcW w:w="1678" w:type="dxa"/>
            <w:vAlign w:val="center"/>
          </w:tcPr>
          <w:p w14:paraId="373652D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结果导出</w:t>
            </w:r>
          </w:p>
        </w:tc>
        <w:tc>
          <w:tcPr>
            <w:tcW w:w="4117" w:type="dxa"/>
            <w:vAlign w:val="center"/>
          </w:tcPr>
          <w:p w14:paraId="2852BF6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导出系统计算结果和中间结果</w:t>
            </w:r>
          </w:p>
        </w:tc>
        <w:tc>
          <w:tcPr>
            <w:tcW w:w="3565" w:type="dxa"/>
            <w:vAlign w:val="center"/>
          </w:tcPr>
          <w:p w14:paraId="24D00D7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字段完整性、格式规范性、可追溯性</w:t>
            </w:r>
          </w:p>
        </w:tc>
      </w:tr>
      <w:tr w14:paraId="3E491F13">
        <w:trPr>
          <w:jc w:val="center"/>
        </w:trPr>
        <w:tc>
          <w:tcPr>
            <w:tcW w:w="1678" w:type="dxa"/>
            <w:vAlign w:val="center"/>
          </w:tcPr>
          <w:p w14:paraId="22851E7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结果比对</w:t>
            </w:r>
          </w:p>
        </w:tc>
        <w:tc>
          <w:tcPr>
            <w:tcW w:w="4117" w:type="dxa"/>
            <w:vAlign w:val="center"/>
          </w:tcPr>
          <w:p w14:paraId="3891312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与 Excel 人工计算结果逐项比对</w:t>
            </w:r>
          </w:p>
        </w:tc>
        <w:tc>
          <w:tcPr>
            <w:tcW w:w="3565" w:type="dxa"/>
            <w:vAlign w:val="center"/>
          </w:tcPr>
          <w:p w14:paraId="5A4A8E1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差异值、差异比例、影响范围</w:t>
            </w:r>
          </w:p>
        </w:tc>
      </w:tr>
      <w:tr w14:paraId="6F1F46EA">
        <w:trPr>
          <w:jc w:val="center"/>
        </w:trPr>
        <w:tc>
          <w:tcPr>
            <w:tcW w:w="1678" w:type="dxa"/>
            <w:vAlign w:val="center"/>
          </w:tcPr>
          <w:p w14:paraId="4F047F6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问题整改</w:t>
            </w:r>
          </w:p>
        </w:tc>
        <w:tc>
          <w:tcPr>
            <w:tcW w:w="4117" w:type="dxa"/>
            <w:vAlign w:val="center"/>
          </w:tcPr>
          <w:p w14:paraId="334C79D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记录、分析、修复并复测差异问题</w:t>
            </w:r>
          </w:p>
        </w:tc>
        <w:tc>
          <w:tcPr>
            <w:tcW w:w="3565" w:type="dxa"/>
            <w:vAlign w:val="center"/>
          </w:tcPr>
          <w:p w14:paraId="4B43399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原因明确、闭环管理、复测通过</w:t>
            </w:r>
          </w:p>
        </w:tc>
      </w:tr>
    </w:tbl>
    <w:p w14:paraId="0F113DC7"/>
    <w:p w14:paraId="31E5DA1E">
      <w:pPr>
        <w:pStyle w:val="3"/>
        <w:bidi w:val="0"/>
      </w:pPr>
      <w:r>
        <w:t>四、测试依据</w:t>
      </w:r>
    </w:p>
    <w:p w14:paraId="300A6000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评估指标体系、指标解释及业务规则说明。</w:t>
      </w:r>
    </w:p>
    <w:p w14:paraId="3263C43F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各指标计算公式、权重规则、评分规则及等级划分规则。</w:t>
      </w:r>
    </w:p>
    <w:p w14:paraId="314B58CA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数据字典、字段说明、行政区划编码规则及数据采集口径。</w:t>
      </w:r>
    </w:p>
    <w:p w14:paraId="4F3720A5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测试双方确认的 Excel 计算模板、公式说明和人工核算规则。</w:t>
      </w:r>
    </w:p>
    <w:p w14:paraId="4B2AB1EF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测试双方确认的精度规则、四舍五入规则和误差容忍范围。</w:t>
      </w:r>
    </w:p>
    <w:p w14:paraId="163C6922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项目验收要求、测试管理要求及相关制度文件。</w:t>
      </w:r>
    </w:p>
    <w:p w14:paraId="2B812045">
      <w:pPr>
        <w:pStyle w:val="3"/>
        <w:bidi w:val="0"/>
      </w:pPr>
      <w:r>
        <w:t>五、测试数据</w:t>
      </w:r>
    </w:p>
    <w:p w14:paraId="78F13C12">
      <w:pPr>
        <w:pStyle w:val="4"/>
        <w:bidi w:val="0"/>
      </w:pPr>
      <w:r>
        <w:t>5.1 数据来源</w:t>
      </w:r>
    </w:p>
    <w:p w14:paraId="4AE3D256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选取 2020 年全量数据作为评估数据源。</w:t>
      </w:r>
    </w:p>
    <w:p w14:paraId="0DC69B7F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或选取 2024 年、2025 年部分回流数据作为评估数据源。</w:t>
      </w:r>
    </w:p>
    <w:p w14:paraId="35CAAF86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若采用部分回流数据，则按照市州乡镇数量进行随机抽样，每个市州抽取约 30% 的乡镇参与测试。</w:t>
      </w:r>
    </w:p>
    <w:p w14:paraId="2CFE3D7D">
      <w:pPr>
        <w:pStyle w:val="4"/>
        <w:bidi w:val="0"/>
      </w:pPr>
      <w:r>
        <w:t>5.2 抽样原则</w:t>
      </w:r>
    </w:p>
    <w:p w14:paraId="291FCF95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覆盖全部或主要市州，避免测试结果仅反映单一区域情况。</w:t>
      </w:r>
    </w:p>
    <w:p w14:paraId="25C20700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覆盖不同数量规模的区县和乡镇，兼顾大样本区域和小样本区域。</w:t>
      </w:r>
    </w:p>
    <w:p w14:paraId="0D3AD688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覆盖指标值正常、偏高、偏低、缺失、为 0、异常波动等不同数据特征。</w:t>
      </w:r>
    </w:p>
    <w:p w14:paraId="408299CC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抽样过程应保留随机规则、抽样比例、抽样清单和确认记录。</w:t>
      </w:r>
    </w:p>
    <w:p w14:paraId="0C8218CD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抽样结果应经测试单位和承建单位共同确认后固化使用。</w:t>
      </w:r>
    </w:p>
    <w:p w14:paraId="2F07A994">
      <w:pPr>
        <w:pStyle w:val="4"/>
        <w:bidi w:val="0"/>
      </w:pPr>
      <w:r>
        <w:t>5.3 数据质量要求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84"/>
        <w:gridCol w:w="4656"/>
        <w:gridCol w:w="3120"/>
      </w:tblGrid>
      <w:tr w14:paraId="2385DC5E">
        <w:trPr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373C4EC4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检查项</w:t>
            </w:r>
          </w:p>
        </w:tc>
        <w:tc>
          <w:tcPr>
            <w:tcW w:w="4656" w:type="dxa"/>
            <w:shd w:val="clear" w:color="auto" w:fill="F2F4F7"/>
            <w:vAlign w:val="center"/>
          </w:tcPr>
          <w:p w14:paraId="4D017826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要求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3CDC0686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处理方式</w:t>
            </w:r>
          </w:p>
        </w:tc>
      </w:tr>
      <w:tr w14:paraId="59977CC9">
        <w:trPr>
          <w:jc w:val="center"/>
        </w:trPr>
        <w:tc>
          <w:tcPr>
            <w:tcW w:w="1584" w:type="dxa"/>
            <w:vAlign w:val="center"/>
          </w:tcPr>
          <w:p w14:paraId="31BEC8A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数据版本</w:t>
            </w:r>
          </w:p>
        </w:tc>
        <w:tc>
          <w:tcPr>
            <w:tcW w:w="4656" w:type="dxa"/>
            <w:vAlign w:val="center"/>
          </w:tcPr>
          <w:p w14:paraId="5BBA949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系统计算和 Excel 计算使用同一批固化数据</w:t>
            </w:r>
          </w:p>
        </w:tc>
        <w:tc>
          <w:tcPr>
            <w:tcW w:w="3120" w:type="dxa"/>
            <w:vAlign w:val="center"/>
          </w:tcPr>
          <w:p w14:paraId="382774F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形成数据版本号或文件哈希记录</w:t>
            </w:r>
          </w:p>
        </w:tc>
      </w:tr>
      <w:tr w14:paraId="3AD39F01">
        <w:trPr>
          <w:jc w:val="center"/>
        </w:trPr>
        <w:tc>
          <w:tcPr>
            <w:tcW w:w="1584" w:type="dxa"/>
            <w:vAlign w:val="center"/>
          </w:tcPr>
          <w:p w14:paraId="31ED88C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字段完整性</w:t>
            </w:r>
          </w:p>
        </w:tc>
        <w:tc>
          <w:tcPr>
            <w:tcW w:w="4656" w:type="dxa"/>
            <w:vAlign w:val="center"/>
          </w:tcPr>
          <w:p w14:paraId="7E77DD6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关键字段不得缺失，指标字段应与数据字典一致</w:t>
            </w:r>
          </w:p>
        </w:tc>
        <w:tc>
          <w:tcPr>
            <w:tcW w:w="3120" w:type="dxa"/>
            <w:vAlign w:val="center"/>
          </w:tcPr>
          <w:p w14:paraId="22A2143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缺失字段需补充或说明原因</w:t>
            </w:r>
          </w:p>
        </w:tc>
      </w:tr>
      <w:tr w14:paraId="10758E25">
        <w:trPr>
          <w:jc w:val="center"/>
        </w:trPr>
        <w:tc>
          <w:tcPr>
            <w:tcW w:w="1584" w:type="dxa"/>
            <w:vAlign w:val="center"/>
          </w:tcPr>
          <w:p w14:paraId="053E81E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行政区划</w:t>
            </w:r>
          </w:p>
        </w:tc>
        <w:tc>
          <w:tcPr>
            <w:tcW w:w="4656" w:type="dxa"/>
            <w:vAlign w:val="center"/>
          </w:tcPr>
          <w:p w14:paraId="7666EB7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市州、区县、乡镇名称及编码应完整准确</w:t>
            </w:r>
          </w:p>
        </w:tc>
        <w:tc>
          <w:tcPr>
            <w:tcW w:w="3120" w:type="dxa"/>
            <w:vAlign w:val="center"/>
          </w:tcPr>
          <w:p w14:paraId="7EA672E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编码异常需在计算前修正并留痕</w:t>
            </w:r>
          </w:p>
        </w:tc>
      </w:tr>
      <w:tr w14:paraId="1B1C5A3E">
        <w:trPr>
          <w:jc w:val="center"/>
        </w:trPr>
        <w:tc>
          <w:tcPr>
            <w:tcW w:w="1584" w:type="dxa"/>
            <w:vAlign w:val="center"/>
          </w:tcPr>
          <w:p w14:paraId="166E363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异常值</w:t>
            </w:r>
          </w:p>
        </w:tc>
        <w:tc>
          <w:tcPr>
            <w:tcW w:w="4656" w:type="dxa"/>
            <w:vAlign w:val="center"/>
          </w:tcPr>
          <w:p w14:paraId="64E0FA1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异常值应提前识别并明确是否纳入计算</w:t>
            </w:r>
          </w:p>
        </w:tc>
        <w:tc>
          <w:tcPr>
            <w:tcW w:w="3120" w:type="dxa"/>
            <w:vAlign w:val="center"/>
          </w:tcPr>
          <w:p w14:paraId="17750C9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按确认规则处理，不得单方修改</w:t>
            </w:r>
          </w:p>
        </w:tc>
      </w:tr>
      <w:tr w14:paraId="09BF14E2">
        <w:trPr>
          <w:jc w:val="center"/>
        </w:trPr>
        <w:tc>
          <w:tcPr>
            <w:tcW w:w="1584" w:type="dxa"/>
            <w:vAlign w:val="center"/>
          </w:tcPr>
          <w:p w14:paraId="6D5AC4A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重复数据</w:t>
            </w:r>
          </w:p>
        </w:tc>
        <w:tc>
          <w:tcPr>
            <w:tcW w:w="4656" w:type="dxa"/>
            <w:vAlign w:val="center"/>
          </w:tcPr>
          <w:p w14:paraId="1990AEB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同一地区、同一年份、同一指标不得重复入库</w:t>
            </w:r>
          </w:p>
        </w:tc>
        <w:tc>
          <w:tcPr>
            <w:tcW w:w="3120" w:type="dxa"/>
            <w:vAlign w:val="center"/>
          </w:tcPr>
          <w:p w14:paraId="43147C0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重复记录需去重或确认取值规则</w:t>
            </w:r>
          </w:p>
        </w:tc>
      </w:tr>
      <w:tr w14:paraId="2A65661D">
        <w:trPr>
          <w:jc w:val="center"/>
        </w:trPr>
        <w:tc>
          <w:tcPr>
            <w:tcW w:w="1584" w:type="dxa"/>
            <w:vAlign w:val="center"/>
          </w:tcPr>
          <w:p w14:paraId="277A8C2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单位和精度</w:t>
            </w:r>
          </w:p>
        </w:tc>
        <w:tc>
          <w:tcPr>
            <w:tcW w:w="4656" w:type="dxa"/>
            <w:vAlign w:val="center"/>
          </w:tcPr>
          <w:p w14:paraId="50DCF42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指标单位、百分比口径、小数位数保持一致</w:t>
            </w:r>
          </w:p>
        </w:tc>
        <w:tc>
          <w:tcPr>
            <w:tcW w:w="3120" w:type="dxa"/>
            <w:vAlign w:val="center"/>
          </w:tcPr>
          <w:p w14:paraId="4CA617B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统一转换后再进入计算</w:t>
            </w:r>
          </w:p>
        </w:tc>
      </w:tr>
    </w:tbl>
    <w:p w14:paraId="01EE32A0"/>
    <w:p w14:paraId="0A95E4CD">
      <w:pPr>
        <w:pStyle w:val="3"/>
        <w:bidi w:val="0"/>
      </w:pPr>
      <w:r>
        <w:t>六、测试方法</w:t>
      </w:r>
    </w:p>
    <w:p w14:paraId="7F2D0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64" w:lineRule="auto"/>
        <w:ind w:firstLine="440" w:firstLineChars="200"/>
        <w:textAlignment w:val="auto"/>
      </w:pPr>
      <w:r>
        <w:rPr>
          <w:rFonts w:ascii="Calibri" w:hAnsi="Calibri" w:eastAsia="宋体"/>
          <w:b w:val="0"/>
          <w:color w:val="0B2545"/>
          <w:sz w:val="22"/>
        </w:rPr>
        <w:t>本次测试采用“同源数据、双轨计算、逐项比对、差异分析、整改复测”的方法开展。承建单位通过评估系统自动计算，测试单位通过 Excel 按照确认公式独立计算，双方计算完成后对结果进行逐项核验。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7"/>
        <w:gridCol w:w="7753"/>
      </w:tblGrid>
      <w:tr w14:paraId="65C8D99A">
        <w:trPr>
          <w:jc w:val="center"/>
        </w:trPr>
        <w:tc>
          <w:tcPr>
            <w:tcW w:w="1607" w:type="dxa"/>
            <w:shd w:val="clear" w:color="auto" w:fill="F2F4F7"/>
            <w:vAlign w:val="center"/>
          </w:tcPr>
          <w:p w14:paraId="309153E2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方法环节</w:t>
            </w:r>
          </w:p>
        </w:tc>
        <w:tc>
          <w:tcPr>
            <w:tcW w:w="7753" w:type="dxa"/>
            <w:shd w:val="clear" w:color="auto" w:fill="F2F4F7"/>
            <w:vAlign w:val="center"/>
          </w:tcPr>
          <w:p w14:paraId="661521BF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说明</w:t>
            </w:r>
          </w:p>
        </w:tc>
      </w:tr>
      <w:tr w14:paraId="30294792">
        <w:trPr>
          <w:jc w:val="center"/>
        </w:trPr>
        <w:tc>
          <w:tcPr>
            <w:tcW w:w="1607" w:type="dxa"/>
            <w:vAlign w:val="center"/>
          </w:tcPr>
          <w:p w14:paraId="1D23624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同源数据</w:t>
            </w:r>
          </w:p>
        </w:tc>
        <w:tc>
          <w:tcPr>
            <w:tcW w:w="7753" w:type="dxa"/>
            <w:vAlign w:val="center"/>
          </w:tcPr>
          <w:p w14:paraId="405511F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双方使用完全一致的原始数据源，不得分别修改数据。</w:t>
            </w:r>
          </w:p>
        </w:tc>
      </w:tr>
      <w:tr w14:paraId="49D06F33">
        <w:trPr>
          <w:jc w:val="center"/>
        </w:trPr>
        <w:tc>
          <w:tcPr>
            <w:tcW w:w="1607" w:type="dxa"/>
            <w:vAlign w:val="center"/>
          </w:tcPr>
          <w:p w14:paraId="33530B8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双轨计算</w:t>
            </w:r>
          </w:p>
        </w:tc>
        <w:tc>
          <w:tcPr>
            <w:tcW w:w="7753" w:type="dxa"/>
            <w:vAlign w:val="center"/>
          </w:tcPr>
          <w:p w14:paraId="2FEEDD9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系统自动计算与 Excel 人工计算独立进行，避免相互引用结果。</w:t>
            </w:r>
          </w:p>
        </w:tc>
      </w:tr>
      <w:tr w14:paraId="408E0A31">
        <w:trPr>
          <w:jc w:val="center"/>
        </w:trPr>
        <w:tc>
          <w:tcPr>
            <w:tcW w:w="1607" w:type="dxa"/>
            <w:vAlign w:val="center"/>
          </w:tcPr>
          <w:p w14:paraId="6365A28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逐项比对</w:t>
            </w:r>
          </w:p>
        </w:tc>
        <w:tc>
          <w:tcPr>
            <w:tcW w:w="7753" w:type="dxa"/>
            <w:vAlign w:val="center"/>
          </w:tcPr>
          <w:p w14:paraId="1ED36BB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按地区、年度、指标、得分、排名和评价等级等维度进行比对。</w:t>
            </w:r>
          </w:p>
        </w:tc>
      </w:tr>
      <w:tr w14:paraId="5CD7341D">
        <w:trPr>
          <w:jc w:val="center"/>
        </w:trPr>
        <w:tc>
          <w:tcPr>
            <w:tcW w:w="1607" w:type="dxa"/>
            <w:vAlign w:val="center"/>
          </w:tcPr>
          <w:p w14:paraId="77A3B45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差异分析</w:t>
            </w:r>
          </w:p>
        </w:tc>
        <w:tc>
          <w:tcPr>
            <w:tcW w:w="7753" w:type="dxa"/>
            <w:vAlign w:val="center"/>
          </w:tcPr>
          <w:p w14:paraId="5BC7D15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对不一致结果分类定位，明确是否为系统问题、Excel 公式问题、数据口径问题或精度问题。</w:t>
            </w:r>
          </w:p>
        </w:tc>
      </w:tr>
      <w:tr w14:paraId="7FB6F770">
        <w:trPr>
          <w:jc w:val="center"/>
        </w:trPr>
        <w:tc>
          <w:tcPr>
            <w:tcW w:w="1607" w:type="dxa"/>
            <w:vAlign w:val="center"/>
          </w:tcPr>
          <w:p w14:paraId="67962D8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整改复测</w:t>
            </w:r>
          </w:p>
        </w:tc>
        <w:tc>
          <w:tcPr>
            <w:tcW w:w="7753" w:type="dxa"/>
            <w:vAlign w:val="center"/>
          </w:tcPr>
          <w:p w14:paraId="3A56D30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对确认问题完成修复后，使用同一数据源重新计算并复核。</w:t>
            </w:r>
          </w:p>
        </w:tc>
      </w:tr>
    </w:tbl>
    <w:p w14:paraId="073FAF25"/>
    <w:p w14:paraId="6BF34ECD">
      <w:pPr>
        <w:pStyle w:val="3"/>
        <w:bidi w:val="0"/>
      </w:pPr>
      <w:r>
        <w:t>七、测试流程</w:t>
      </w:r>
    </w:p>
    <w:p w14:paraId="207C8D2F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测试准备：明确测试目标、范围、数据来源、系统环境、Excel 模板、公式口径、精度规则和责任分工。</w:t>
      </w:r>
    </w:p>
    <w:p w14:paraId="23E4A323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数据选取：选择 2020 年全量数据，或选择 2024 年、2025 年部分回流数据；部分回流数据按市州乡镇数量随机抽取约 30%。</w:t>
      </w:r>
    </w:p>
    <w:p w14:paraId="5C7943DE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数据固化：形成测试数据清单，确认数据文件、数据批次、字段说明和抽样记录，作为双方唯一计算数据源。</w:t>
      </w:r>
    </w:p>
    <w:p w14:paraId="0F20E501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系统计算：承建单位导入测试数据，检查导入结果，执行系统评估计算并导出系统结果。</w:t>
      </w:r>
    </w:p>
    <w:p w14:paraId="4840EF9C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Excel 计算：测试单位使用同一数据源，在 Excel 中严格按照评估公式和权重规则完成独立核算。</w:t>
      </w:r>
    </w:p>
    <w:p w14:paraId="2DC31A27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结果提交：当日核算完成后，测试单位将 Excel 计算结果提交承建单位。</w:t>
      </w:r>
    </w:p>
    <w:p w14:paraId="0DB832D0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结果比对：承建单位对系统结果和 Excel 结果进行字段对齐、逐项比对和差异标记。</w:t>
      </w:r>
    </w:p>
    <w:p w14:paraId="0C5AB9B9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差异分析：对差异项记录差异值、涉及地区、涉及指标、影响层级和可能原因。</w:t>
      </w:r>
    </w:p>
    <w:p w14:paraId="3C2935AB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整改复测：属于系统问题的，由承建单位整改后重新计算，并对差异项开展回归测试。</w:t>
      </w:r>
    </w:p>
    <w:p w14:paraId="4F22DE3E">
      <w:pPr>
        <w:pStyle w:val="14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报告编制：承建单位形成测试报告，测试单位参与复核并确认最终结论。</w:t>
      </w:r>
    </w:p>
    <w:p w14:paraId="2BA251BB">
      <w:pPr>
        <w:pStyle w:val="3"/>
        <w:bidi w:val="0"/>
      </w:pPr>
      <w:r>
        <w:t>八、比对规则</w:t>
      </w:r>
    </w:p>
    <w:p w14:paraId="36E6AB15">
      <w:pPr>
        <w:pStyle w:val="4"/>
        <w:bidi w:val="0"/>
      </w:pPr>
      <w:r>
        <w:t>8.1 比对维度</w:t>
      </w:r>
    </w:p>
    <w:p w14:paraId="4D8517F9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年度维度</w:t>
      </w:r>
    </w:p>
    <w:p w14:paraId="46F4AAD4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市州维度</w:t>
      </w:r>
    </w:p>
    <w:p w14:paraId="093AA4E3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区县维度</w:t>
      </w:r>
    </w:p>
    <w:p w14:paraId="2F6B23EA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乡镇维度</w:t>
      </w:r>
    </w:p>
    <w:p w14:paraId="112E46E9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指标维度</w:t>
      </w:r>
    </w:p>
    <w:p w14:paraId="2476FEB2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综合得分维度</w:t>
      </w:r>
    </w:p>
    <w:p w14:paraId="3E55982A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评价等级维度</w:t>
      </w:r>
    </w:p>
    <w:p w14:paraId="73A7AFB6">
      <w:pPr>
        <w:pStyle w:val="4"/>
        <w:bidi w:val="0"/>
      </w:pPr>
      <w:r>
        <w:t>8.2 比对内容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24"/>
        <w:gridCol w:w="4816"/>
        <w:gridCol w:w="3120"/>
      </w:tblGrid>
      <w:tr w14:paraId="1948F638">
        <w:trPr>
          <w:jc w:val="center"/>
        </w:trPr>
        <w:tc>
          <w:tcPr>
            <w:tcW w:w="1424" w:type="dxa"/>
            <w:shd w:val="clear" w:color="auto" w:fill="F2F4F7"/>
            <w:vAlign w:val="center"/>
          </w:tcPr>
          <w:p w14:paraId="4410E1EA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比对对象</w:t>
            </w:r>
          </w:p>
        </w:tc>
        <w:tc>
          <w:tcPr>
            <w:tcW w:w="4816" w:type="dxa"/>
            <w:shd w:val="clear" w:color="auto" w:fill="F2F4F7"/>
            <w:vAlign w:val="center"/>
          </w:tcPr>
          <w:p w14:paraId="30A8DEB8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比对内容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3C4E944E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一致性要求</w:t>
            </w:r>
          </w:p>
        </w:tc>
      </w:tr>
      <w:tr w14:paraId="78AD94E5">
        <w:trPr>
          <w:jc w:val="center"/>
        </w:trPr>
        <w:tc>
          <w:tcPr>
            <w:tcW w:w="1424" w:type="dxa"/>
            <w:vAlign w:val="center"/>
          </w:tcPr>
          <w:p w14:paraId="3C712D1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原始数据</w:t>
            </w:r>
          </w:p>
        </w:tc>
        <w:tc>
          <w:tcPr>
            <w:tcW w:w="4816" w:type="dxa"/>
            <w:vAlign w:val="center"/>
          </w:tcPr>
          <w:p w14:paraId="70C6847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指标原值、地区编码、年度、基础字段</w:t>
            </w:r>
          </w:p>
        </w:tc>
        <w:tc>
          <w:tcPr>
            <w:tcW w:w="3120" w:type="dxa"/>
            <w:vAlign w:val="center"/>
          </w:tcPr>
          <w:p w14:paraId="49C4926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完全一致</w:t>
            </w:r>
          </w:p>
        </w:tc>
      </w:tr>
      <w:tr w14:paraId="3E4D18C2">
        <w:trPr>
          <w:jc w:val="center"/>
        </w:trPr>
        <w:tc>
          <w:tcPr>
            <w:tcW w:w="1424" w:type="dxa"/>
            <w:vAlign w:val="center"/>
          </w:tcPr>
          <w:p w14:paraId="75256D8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中间结果</w:t>
            </w:r>
          </w:p>
        </w:tc>
        <w:tc>
          <w:tcPr>
            <w:tcW w:w="4816" w:type="dxa"/>
            <w:vAlign w:val="center"/>
          </w:tcPr>
          <w:p w14:paraId="2936D8F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标准化值、换算值、加权值、分项得分</w:t>
            </w:r>
          </w:p>
        </w:tc>
        <w:tc>
          <w:tcPr>
            <w:tcW w:w="3120" w:type="dxa"/>
            <w:vAlign w:val="center"/>
          </w:tcPr>
          <w:p w14:paraId="41F098A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按精度规则一致</w:t>
            </w:r>
          </w:p>
        </w:tc>
      </w:tr>
      <w:tr w14:paraId="7FE9E4D6">
        <w:trPr>
          <w:jc w:val="center"/>
        </w:trPr>
        <w:tc>
          <w:tcPr>
            <w:tcW w:w="1424" w:type="dxa"/>
            <w:vAlign w:val="center"/>
          </w:tcPr>
          <w:p w14:paraId="4582B31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最终结果</w:t>
            </w:r>
          </w:p>
        </w:tc>
        <w:tc>
          <w:tcPr>
            <w:tcW w:w="4816" w:type="dxa"/>
            <w:vAlign w:val="center"/>
          </w:tcPr>
          <w:p w14:paraId="610DDC3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综合得分、</w:t>
            </w:r>
            <w:bookmarkStart w:id="0" w:name="_GoBack"/>
            <w:bookmarkEnd w:id="0"/>
            <w:r>
              <w:rPr>
                <w:rFonts w:ascii="Calibri" w:hAnsi="Calibri" w:eastAsia="宋体"/>
                <w:b w:val="0"/>
                <w:color w:val="0B2545"/>
                <w:sz w:val="20"/>
              </w:rPr>
              <w:t>等级、评价结论</w:t>
            </w:r>
          </w:p>
        </w:tc>
        <w:tc>
          <w:tcPr>
            <w:tcW w:w="3120" w:type="dxa"/>
            <w:vAlign w:val="center"/>
          </w:tcPr>
          <w:p w14:paraId="5578508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不得出现实质差异</w:t>
            </w:r>
          </w:p>
        </w:tc>
      </w:tr>
      <w:tr w14:paraId="64FA4B03">
        <w:trPr>
          <w:jc w:val="center"/>
        </w:trPr>
        <w:tc>
          <w:tcPr>
            <w:tcW w:w="1424" w:type="dxa"/>
            <w:vAlign w:val="center"/>
          </w:tcPr>
          <w:p w14:paraId="37FBE43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汇总结果</w:t>
            </w:r>
          </w:p>
        </w:tc>
        <w:tc>
          <w:tcPr>
            <w:tcW w:w="4816" w:type="dxa"/>
            <w:vAlign w:val="center"/>
          </w:tcPr>
          <w:p w14:paraId="0C148FB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区县、市州、省级汇总值</w:t>
            </w:r>
          </w:p>
        </w:tc>
        <w:tc>
          <w:tcPr>
            <w:tcW w:w="3120" w:type="dxa"/>
            <w:vAlign w:val="center"/>
          </w:tcPr>
          <w:p w14:paraId="65FEDD9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统计口径一致</w:t>
            </w:r>
          </w:p>
        </w:tc>
      </w:tr>
      <w:tr w14:paraId="480776BE">
        <w:trPr>
          <w:jc w:val="center"/>
        </w:trPr>
        <w:tc>
          <w:tcPr>
            <w:tcW w:w="1424" w:type="dxa"/>
            <w:vAlign w:val="center"/>
          </w:tcPr>
          <w:p w14:paraId="3F1C2AF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导出结果</w:t>
            </w:r>
          </w:p>
        </w:tc>
        <w:tc>
          <w:tcPr>
            <w:tcW w:w="4816" w:type="dxa"/>
            <w:vAlign w:val="center"/>
          </w:tcPr>
          <w:p w14:paraId="73DA513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字段、格式、排序、文件完整性</w:t>
            </w:r>
          </w:p>
        </w:tc>
        <w:tc>
          <w:tcPr>
            <w:tcW w:w="3120" w:type="dxa"/>
            <w:vAlign w:val="center"/>
          </w:tcPr>
          <w:p w14:paraId="54CE77A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满足归档和复核要求</w:t>
            </w:r>
          </w:p>
        </w:tc>
      </w:tr>
    </w:tbl>
    <w:p w14:paraId="0D241F40"/>
    <w:p w14:paraId="1C14A9D7">
      <w:pPr>
        <w:pStyle w:val="4"/>
        <w:bidi w:val="0"/>
      </w:pPr>
      <w:r>
        <w:t>8.3 精度和误差规则</w:t>
      </w:r>
    </w:p>
    <w:p w14:paraId="21834C42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原始数据保持数据源原始精度，不得随意截断或改写。</w:t>
      </w:r>
    </w:p>
    <w:p w14:paraId="1C0FBA62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中间计算结果建议保留不少于 4 位小数，用于差异追溯。</w:t>
      </w:r>
    </w:p>
    <w:p w14:paraId="0F0DBD77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最终得分按业务要求保留 2 位或 4 位小数。</w:t>
      </w:r>
    </w:p>
    <w:p w14:paraId="18385BCF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因四舍五入导致的微小差异，可在双方确认的误差范围内视为一致。</w:t>
      </w:r>
    </w:p>
    <w:p w14:paraId="346609C4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评价等级、排名、结论类结果不得因精度处理产生不一致。</w:t>
      </w:r>
    </w:p>
    <w:p w14:paraId="4630D4C7">
      <w:pPr>
        <w:pStyle w:val="3"/>
        <w:bidi w:val="0"/>
      </w:pPr>
      <w:r>
        <w:t>九、测试环境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60"/>
        <w:gridCol w:w="4280"/>
        <w:gridCol w:w="3120"/>
      </w:tblGrid>
      <w:tr w14:paraId="1C6FAB3F">
        <w:trPr>
          <w:jc w:val="center"/>
        </w:trPr>
        <w:tc>
          <w:tcPr>
            <w:tcW w:w="1960" w:type="dxa"/>
            <w:shd w:val="clear" w:color="auto" w:fill="F2F4F7"/>
            <w:vAlign w:val="center"/>
          </w:tcPr>
          <w:p w14:paraId="1B60D9D1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环境项</w:t>
            </w:r>
          </w:p>
        </w:tc>
        <w:tc>
          <w:tcPr>
            <w:tcW w:w="4280" w:type="dxa"/>
            <w:shd w:val="clear" w:color="auto" w:fill="F2F4F7"/>
            <w:vAlign w:val="center"/>
          </w:tcPr>
          <w:p w14:paraId="317BB0D9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内容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6211F36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记录要求</w:t>
            </w:r>
          </w:p>
        </w:tc>
      </w:tr>
      <w:tr w14:paraId="592DB63E">
        <w:trPr>
          <w:jc w:val="center"/>
        </w:trPr>
        <w:tc>
          <w:tcPr>
            <w:tcW w:w="1960" w:type="dxa"/>
            <w:vAlign w:val="center"/>
          </w:tcPr>
          <w:p w14:paraId="5D5C3B0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系统环境</w:t>
            </w:r>
          </w:p>
        </w:tc>
        <w:tc>
          <w:tcPr>
            <w:tcW w:w="4280" w:type="dxa"/>
            <w:vAlign w:val="center"/>
          </w:tcPr>
          <w:p w14:paraId="52EC002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评估工具测试环境或验收环境</w:t>
            </w:r>
          </w:p>
        </w:tc>
        <w:tc>
          <w:tcPr>
            <w:tcW w:w="3120" w:type="dxa"/>
            <w:vAlign w:val="center"/>
          </w:tcPr>
          <w:p w14:paraId="25A3C31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记录访问地址、部署时间、系统版本</w:t>
            </w:r>
          </w:p>
        </w:tc>
      </w:tr>
      <w:tr w14:paraId="0605E668">
        <w:trPr>
          <w:jc w:val="center"/>
        </w:trPr>
        <w:tc>
          <w:tcPr>
            <w:tcW w:w="1960" w:type="dxa"/>
            <w:vAlign w:val="center"/>
          </w:tcPr>
          <w:p w14:paraId="557D4E7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数据库环境</w:t>
            </w:r>
          </w:p>
        </w:tc>
        <w:tc>
          <w:tcPr>
            <w:tcW w:w="4280" w:type="dxa"/>
            <w:vAlign w:val="center"/>
          </w:tcPr>
          <w:p w14:paraId="0A63BB6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测试数据库或 H2/专用测试库</w:t>
            </w:r>
          </w:p>
        </w:tc>
        <w:tc>
          <w:tcPr>
            <w:tcW w:w="3120" w:type="dxa"/>
            <w:vAlign w:val="center"/>
          </w:tcPr>
          <w:p w14:paraId="5119858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记录数据库类型、数据批次、初始化脚本</w:t>
            </w:r>
          </w:p>
        </w:tc>
      </w:tr>
      <w:tr w14:paraId="6E3E633D">
        <w:trPr>
          <w:jc w:val="center"/>
        </w:trPr>
        <w:tc>
          <w:tcPr>
            <w:tcW w:w="1960" w:type="dxa"/>
            <w:vAlign w:val="center"/>
          </w:tcPr>
          <w:p w14:paraId="3906A24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Excel 环境</w:t>
            </w:r>
          </w:p>
        </w:tc>
        <w:tc>
          <w:tcPr>
            <w:tcW w:w="4280" w:type="dxa"/>
            <w:vAlign w:val="center"/>
          </w:tcPr>
          <w:p w14:paraId="62DEE18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测试单位使用的 Excel 版本及计算模板</w:t>
            </w:r>
          </w:p>
        </w:tc>
        <w:tc>
          <w:tcPr>
            <w:tcW w:w="3120" w:type="dxa"/>
            <w:vAlign w:val="center"/>
          </w:tcPr>
          <w:p w14:paraId="3B3045E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记录模板版本、公式版本、操作人员</w:t>
            </w:r>
          </w:p>
        </w:tc>
      </w:tr>
      <w:tr w14:paraId="3316713F">
        <w:trPr>
          <w:jc w:val="center"/>
        </w:trPr>
        <w:tc>
          <w:tcPr>
            <w:tcW w:w="1960" w:type="dxa"/>
            <w:vAlign w:val="center"/>
          </w:tcPr>
          <w:p w14:paraId="67377DE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浏览器环境</w:t>
            </w:r>
          </w:p>
        </w:tc>
        <w:tc>
          <w:tcPr>
            <w:tcW w:w="4280" w:type="dxa"/>
            <w:vAlign w:val="center"/>
          </w:tcPr>
          <w:p w14:paraId="48694D6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如涉及前端操作，记录浏览器类型及版本</w:t>
            </w:r>
          </w:p>
        </w:tc>
        <w:tc>
          <w:tcPr>
            <w:tcW w:w="3120" w:type="dxa"/>
            <w:vAlign w:val="center"/>
          </w:tcPr>
          <w:p w14:paraId="3136150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记录截图或操作日志</w:t>
            </w:r>
          </w:p>
        </w:tc>
      </w:tr>
      <w:tr w14:paraId="3AAEC0A9">
        <w:trPr>
          <w:jc w:val="center"/>
        </w:trPr>
        <w:tc>
          <w:tcPr>
            <w:tcW w:w="1960" w:type="dxa"/>
            <w:vAlign w:val="center"/>
          </w:tcPr>
          <w:p w14:paraId="6631DAE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文件环境</w:t>
            </w:r>
          </w:p>
        </w:tc>
        <w:tc>
          <w:tcPr>
            <w:tcW w:w="4280" w:type="dxa"/>
            <w:vAlign w:val="center"/>
          </w:tcPr>
          <w:p w14:paraId="39E5A4A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测试数据、导出结果和比对表存放目录</w:t>
            </w:r>
          </w:p>
        </w:tc>
        <w:tc>
          <w:tcPr>
            <w:tcW w:w="3120" w:type="dxa"/>
            <w:vAlign w:val="center"/>
          </w:tcPr>
          <w:p w14:paraId="29E52AA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记录文件名、生成时间和版本号</w:t>
            </w:r>
          </w:p>
        </w:tc>
      </w:tr>
    </w:tbl>
    <w:p w14:paraId="344AFC7C"/>
    <w:p w14:paraId="7E6D8E5A">
      <w:pPr>
        <w:pStyle w:val="3"/>
        <w:bidi w:val="0"/>
      </w:pPr>
      <w:r>
        <w:t>十、职责分工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25"/>
        <w:gridCol w:w="7635"/>
      </w:tblGrid>
      <w:tr w14:paraId="7E65318E">
        <w:trPr>
          <w:jc w:val="center"/>
        </w:trPr>
        <w:tc>
          <w:tcPr>
            <w:tcW w:w="1725" w:type="dxa"/>
            <w:shd w:val="clear" w:color="auto" w:fill="F2F4F7"/>
            <w:vAlign w:val="center"/>
          </w:tcPr>
          <w:p w14:paraId="297F6926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角色</w:t>
            </w:r>
          </w:p>
        </w:tc>
        <w:tc>
          <w:tcPr>
            <w:tcW w:w="7635" w:type="dxa"/>
            <w:shd w:val="clear" w:color="auto" w:fill="F2F4F7"/>
            <w:vAlign w:val="center"/>
          </w:tcPr>
          <w:p w14:paraId="35D8A139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主要职责</w:t>
            </w:r>
          </w:p>
        </w:tc>
      </w:tr>
      <w:tr w14:paraId="6A941370">
        <w:trPr>
          <w:jc w:val="center"/>
        </w:trPr>
        <w:tc>
          <w:tcPr>
            <w:tcW w:w="1725" w:type="dxa"/>
            <w:vAlign w:val="center"/>
          </w:tcPr>
          <w:p w14:paraId="1441E66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承建单位</w:t>
            </w:r>
          </w:p>
        </w:tc>
        <w:tc>
          <w:tcPr>
            <w:tcW w:w="7635" w:type="dxa"/>
            <w:vAlign w:val="center"/>
          </w:tcPr>
          <w:p w14:paraId="719070F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维护系统测试环境；导入数据并执行系统计算；导出系统结果；开展结果比对；分析系统差异；修复问题；编制测试报告。</w:t>
            </w:r>
          </w:p>
        </w:tc>
      </w:tr>
      <w:tr w14:paraId="7DEFF7CC">
        <w:trPr>
          <w:jc w:val="center"/>
        </w:trPr>
        <w:tc>
          <w:tcPr>
            <w:tcW w:w="1725" w:type="dxa"/>
            <w:vAlign w:val="center"/>
          </w:tcPr>
          <w:p w14:paraId="128712E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测试单位</w:t>
            </w:r>
          </w:p>
        </w:tc>
        <w:tc>
          <w:tcPr>
            <w:tcW w:w="7635" w:type="dxa"/>
            <w:vAlign w:val="center"/>
          </w:tcPr>
          <w:p w14:paraId="0CFB097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确认测试数据范围；使用 Excel 独立核算；复核 Excel 公式和结果；当日提交核算结果；参与差异复核和测试结论确认。</w:t>
            </w:r>
          </w:p>
        </w:tc>
      </w:tr>
      <w:tr w14:paraId="64ADA7FC">
        <w:trPr>
          <w:jc w:val="center"/>
        </w:trPr>
        <w:tc>
          <w:tcPr>
            <w:tcW w:w="1725" w:type="dxa"/>
            <w:vAlign w:val="center"/>
          </w:tcPr>
          <w:p w14:paraId="7729FD3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双方共同</w:t>
            </w:r>
          </w:p>
        </w:tc>
        <w:tc>
          <w:tcPr>
            <w:tcW w:w="7635" w:type="dxa"/>
            <w:vAlign w:val="center"/>
          </w:tcPr>
          <w:p w14:paraId="640DC85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确认数据口径、公式规则、精度规则、误差范围、差异原因、整改结果和最终测试结论。</w:t>
            </w:r>
          </w:p>
        </w:tc>
      </w:tr>
    </w:tbl>
    <w:p w14:paraId="4D22FFF6"/>
    <w:p w14:paraId="71726135">
      <w:pPr>
        <w:pStyle w:val="3"/>
        <w:bidi w:val="0"/>
      </w:pPr>
      <w:r>
        <w:t>十一、通过标准</w:t>
      </w:r>
    </w:p>
    <w:p w14:paraId="1036D977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系统导入数据与固化测试数据源一致，无漏数、错数、重复或字段映射错误。</w:t>
      </w:r>
    </w:p>
    <w:p w14:paraId="187674D4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系统计算公式、权重规则、汇总规则与双方确认的 Excel 公式一致。</w:t>
      </w:r>
    </w:p>
    <w:p w14:paraId="2A2666B0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系统结果与 Excel 计算结果整体一致，核心指标、综合得分、排名和评价等级无实质差异。</w:t>
      </w:r>
    </w:p>
    <w:p w14:paraId="610B143E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差异项均已完成原因分析，并确认不影响最终评价结论，或已完成整改并通过复测。</w:t>
      </w:r>
    </w:p>
    <w:p w14:paraId="2D9C9964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系统导出结果完整、准确、格式规范，能够支撑归档、追溯和验收。</w:t>
      </w:r>
    </w:p>
    <w:p w14:paraId="01B0B6D9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测试过程、测试数据、计算结果、比对结果和问题闭环记录完整。</w:t>
      </w:r>
    </w:p>
    <w:p w14:paraId="3218AA67">
      <w:pPr>
        <w:pStyle w:val="3"/>
        <w:bidi w:val="0"/>
      </w:pPr>
      <w:r>
        <w:t>十二、不通过判定条件</w:t>
      </w:r>
    </w:p>
    <w:p w14:paraId="44FF80F9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系统计算结果与 Excel 计算结果存在较大差异，且无法合理解释。</w:t>
      </w:r>
    </w:p>
    <w:p w14:paraId="4CE04302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关键指标公式、权重规则、汇总规则或评价等级规则实现错误。</w:t>
      </w:r>
    </w:p>
    <w:p w14:paraId="5D5019A7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综合得分、排名、评价等级或评价结论与 Excel 结果不一致。</w:t>
      </w:r>
    </w:p>
    <w:p w14:paraId="6732542F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系统数据导入存在漏数、错数、字段映射错误或行政区划匹配错误。</w:t>
      </w:r>
    </w:p>
    <w:p w14:paraId="524718D5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系统对缺失值、异常值、0 值或空值的处理规则与确认规则不一致。</w:t>
      </w:r>
    </w:p>
    <w:p w14:paraId="094D938E">
      <w:pPr>
        <w:pStyle w:val="16"/>
        <w:spacing w:after="80" w:line="280" w:lineRule="auto"/>
      </w:pPr>
      <w:r>
        <w:rPr>
          <w:rFonts w:ascii="Calibri" w:hAnsi="Calibri" w:eastAsia="宋体"/>
          <w:color w:val="0B2545"/>
          <w:sz w:val="22"/>
        </w:rPr>
        <w:t>差异问题未完成定位、整改或复测，无法支撑测试通过结论。</w:t>
      </w:r>
    </w:p>
    <w:p w14:paraId="141F6954">
      <w:pPr>
        <w:pStyle w:val="3"/>
        <w:bidi w:val="0"/>
      </w:pPr>
      <w:r>
        <w:t>十三、问题管理与复测要求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48"/>
        <w:gridCol w:w="7612"/>
      </w:tblGrid>
      <w:tr w14:paraId="6DFDB238">
        <w:trPr>
          <w:jc w:val="center"/>
        </w:trPr>
        <w:tc>
          <w:tcPr>
            <w:tcW w:w="1748" w:type="dxa"/>
            <w:shd w:val="clear" w:color="auto" w:fill="F2F4F7"/>
            <w:vAlign w:val="center"/>
          </w:tcPr>
          <w:p w14:paraId="06380A14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字段</w:t>
            </w:r>
          </w:p>
        </w:tc>
        <w:tc>
          <w:tcPr>
            <w:tcW w:w="7612" w:type="dxa"/>
            <w:shd w:val="clear" w:color="auto" w:fill="F2F4F7"/>
            <w:vAlign w:val="center"/>
          </w:tcPr>
          <w:p w14:paraId="16942FA8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填写要求</w:t>
            </w:r>
          </w:p>
        </w:tc>
      </w:tr>
      <w:tr w14:paraId="42B32CED">
        <w:trPr>
          <w:jc w:val="center"/>
        </w:trPr>
        <w:tc>
          <w:tcPr>
            <w:tcW w:w="1748" w:type="dxa"/>
            <w:vAlign w:val="center"/>
          </w:tcPr>
          <w:p w14:paraId="7930F16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问题编号</w:t>
            </w:r>
          </w:p>
        </w:tc>
        <w:tc>
          <w:tcPr>
            <w:tcW w:w="7612" w:type="dxa"/>
            <w:vAlign w:val="center"/>
          </w:tcPr>
          <w:p w14:paraId="16F1C3E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按日期或批次统一编号，例如 ISSUE-20260506-001。</w:t>
            </w:r>
          </w:p>
        </w:tc>
      </w:tr>
      <w:tr w14:paraId="05968B7C">
        <w:trPr>
          <w:jc w:val="center"/>
        </w:trPr>
        <w:tc>
          <w:tcPr>
            <w:tcW w:w="1748" w:type="dxa"/>
            <w:vAlign w:val="center"/>
          </w:tcPr>
          <w:p w14:paraId="27288A0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问题描述</w:t>
            </w:r>
          </w:p>
        </w:tc>
        <w:tc>
          <w:tcPr>
            <w:tcW w:w="7612" w:type="dxa"/>
            <w:vAlign w:val="center"/>
          </w:tcPr>
          <w:p w14:paraId="231B453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说明差异现象、涉及地区、涉及指标和差异值。</w:t>
            </w:r>
          </w:p>
        </w:tc>
      </w:tr>
      <w:tr w14:paraId="48844F7A">
        <w:trPr>
          <w:jc w:val="center"/>
        </w:trPr>
        <w:tc>
          <w:tcPr>
            <w:tcW w:w="1748" w:type="dxa"/>
            <w:vAlign w:val="center"/>
          </w:tcPr>
          <w:p w14:paraId="35DA3CF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问题类型</w:t>
            </w:r>
          </w:p>
        </w:tc>
        <w:tc>
          <w:tcPr>
            <w:tcW w:w="7612" w:type="dxa"/>
            <w:vAlign w:val="center"/>
          </w:tcPr>
          <w:p w14:paraId="7F547CF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数据源差异、字段映射差异、公式差异、精度差异、汇总口径差异、系统缺陷等。</w:t>
            </w:r>
          </w:p>
        </w:tc>
      </w:tr>
      <w:tr w14:paraId="2EA3268B">
        <w:trPr>
          <w:jc w:val="center"/>
        </w:trPr>
        <w:tc>
          <w:tcPr>
            <w:tcW w:w="1748" w:type="dxa"/>
            <w:vAlign w:val="center"/>
          </w:tcPr>
          <w:p w14:paraId="38E1CFB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严重程度</w:t>
            </w:r>
          </w:p>
        </w:tc>
        <w:tc>
          <w:tcPr>
            <w:tcW w:w="7612" w:type="dxa"/>
            <w:vAlign w:val="center"/>
          </w:tcPr>
          <w:p w14:paraId="6D127A7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按高、中、低划分；影响最终评价结论的应列为高。</w:t>
            </w:r>
          </w:p>
        </w:tc>
      </w:tr>
      <w:tr w14:paraId="74AF7394">
        <w:trPr>
          <w:jc w:val="center"/>
        </w:trPr>
        <w:tc>
          <w:tcPr>
            <w:tcW w:w="1748" w:type="dxa"/>
            <w:vAlign w:val="center"/>
          </w:tcPr>
          <w:p w14:paraId="4DB9031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原因分析</w:t>
            </w:r>
          </w:p>
        </w:tc>
        <w:tc>
          <w:tcPr>
            <w:tcW w:w="7612" w:type="dxa"/>
            <w:vAlign w:val="center"/>
          </w:tcPr>
          <w:p w14:paraId="4523E20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说明问题产生原因及责任归属。</w:t>
            </w:r>
          </w:p>
        </w:tc>
      </w:tr>
      <w:tr w14:paraId="2B6FF2FC">
        <w:trPr>
          <w:jc w:val="center"/>
        </w:trPr>
        <w:tc>
          <w:tcPr>
            <w:tcW w:w="1748" w:type="dxa"/>
            <w:vAlign w:val="center"/>
          </w:tcPr>
          <w:p w14:paraId="64FF789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整改措施</w:t>
            </w:r>
          </w:p>
        </w:tc>
        <w:tc>
          <w:tcPr>
            <w:tcW w:w="7612" w:type="dxa"/>
            <w:vAlign w:val="center"/>
          </w:tcPr>
          <w:p w14:paraId="6D1C0FE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说明系统修复、数据修正、公式调整或规则确认情况。</w:t>
            </w:r>
          </w:p>
        </w:tc>
      </w:tr>
      <w:tr w14:paraId="126DD3C6">
        <w:trPr>
          <w:jc w:val="center"/>
        </w:trPr>
        <w:tc>
          <w:tcPr>
            <w:tcW w:w="1748" w:type="dxa"/>
            <w:vAlign w:val="center"/>
          </w:tcPr>
          <w:p w14:paraId="1151153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复测结论</w:t>
            </w:r>
          </w:p>
        </w:tc>
        <w:tc>
          <w:tcPr>
            <w:tcW w:w="7612" w:type="dxa"/>
            <w:vAlign w:val="center"/>
          </w:tcPr>
          <w:p w14:paraId="4E2548A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记录复测时间、复测人员、复测结果和是否关闭。</w:t>
            </w:r>
          </w:p>
        </w:tc>
      </w:tr>
    </w:tbl>
    <w:p w14:paraId="22D1BE26"/>
    <w:p w14:paraId="18796775">
      <w:pPr>
        <w:pStyle w:val="3"/>
        <w:bidi w:val="0"/>
      </w:pPr>
      <w:r>
        <w:t>十四、测试输出物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12"/>
        <w:gridCol w:w="3266"/>
        <w:gridCol w:w="5282"/>
      </w:tblGrid>
      <w:tr w14:paraId="366C93F5">
        <w:trPr>
          <w:jc w:val="center"/>
        </w:trPr>
        <w:tc>
          <w:tcPr>
            <w:tcW w:w="812" w:type="dxa"/>
            <w:shd w:val="clear" w:color="auto" w:fill="F2F4F7"/>
            <w:vAlign w:val="center"/>
          </w:tcPr>
          <w:p w14:paraId="0318E3A4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序号</w:t>
            </w:r>
          </w:p>
        </w:tc>
        <w:tc>
          <w:tcPr>
            <w:tcW w:w="3266" w:type="dxa"/>
            <w:shd w:val="clear" w:color="auto" w:fill="F2F4F7"/>
            <w:vAlign w:val="center"/>
          </w:tcPr>
          <w:p w14:paraId="197A23EC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输出物</w:t>
            </w:r>
          </w:p>
        </w:tc>
        <w:tc>
          <w:tcPr>
            <w:tcW w:w="5282" w:type="dxa"/>
            <w:shd w:val="clear" w:color="auto" w:fill="F2F4F7"/>
            <w:vAlign w:val="center"/>
          </w:tcPr>
          <w:p w14:paraId="2E14E005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说明</w:t>
            </w:r>
          </w:p>
        </w:tc>
      </w:tr>
      <w:tr w14:paraId="3537756C">
        <w:trPr>
          <w:jc w:val="center"/>
        </w:trPr>
        <w:tc>
          <w:tcPr>
            <w:tcW w:w="812" w:type="dxa"/>
            <w:vAlign w:val="center"/>
          </w:tcPr>
          <w:p w14:paraId="4A3B117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1</w:t>
            </w:r>
          </w:p>
        </w:tc>
        <w:tc>
          <w:tcPr>
            <w:tcW w:w="3266" w:type="dxa"/>
            <w:vAlign w:val="center"/>
          </w:tcPr>
          <w:p w14:paraId="0B9CEEA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测试数据清单</w:t>
            </w:r>
          </w:p>
        </w:tc>
        <w:tc>
          <w:tcPr>
            <w:tcW w:w="5282" w:type="dxa"/>
            <w:vAlign w:val="center"/>
          </w:tcPr>
          <w:p w14:paraId="1E5AF60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记录数据年份、区域范围、抽样比例、样本清单和数据版本。</w:t>
            </w:r>
          </w:p>
        </w:tc>
      </w:tr>
      <w:tr w14:paraId="58E6096F">
        <w:trPr>
          <w:jc w:val="center"/>
        </w:trPr>
        <w:tc>
          <w:tcPr>
            <w:tcW w:w="812" w:type="dxa"/>
            <w:vAlign w:val="center"/>
          </w:tcPr>
          <w:p w14:paraId="2CA56A2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2</w:t>
            </w:r>
          </w:p>
        </w:tc>
        <w:tc>
          <w:tcPr>
            <w:tcW w:w="3266" w:type="dxa"/>
            <w:vAlign w:val="center"/>
          </w:tcPr>
          <w:p w14:paraId="4A86D6D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系统计算结果表</w:t>
            </w:r>
          </w:p>
        </w:tc>
        <w:tc>
          <w:tcPr>
            <w:tcW w:w="5282" w:type="dxa"/>
            <w:vAlign w:val="center"/>
          </w:tcPr>
          <w:p w14:paraId="2D59417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承建单位从系统导出的计算结果。</w:t>
            </w:r>
          </w:p>
        </w:tc>
      </w:tr>
      <w:tr w14:paraId="44400F61">
        <w:trPr>
          <w:jc w:val="center"/>
        </w:trPr>
        <w:tc>
          <w:tcPr>
            <w:tcW w:w="812" w:type="dxa"/>
            <w:vAlign w:val="center"/>
          </w:tcPr>
          <w:p w14:paraId="297AAE2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3</w:t>
            </w:r>
          </w:p>
        </w:tc>
        <w:tc>
          <w:tcPr>
            <w:tcW w:w="3266" w:type="dxa"/>
            <w:vAlign w:val="center"/>
          </w:tcPr>
          <w:p w14:paraId="671DB39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Excel 人工计算结果表</w:t>
            </w:r>
          </w:p>
        </w:tc>
        <w:tc>
          <w:tcPr>
            <w:tcW w:w="5282" w:type="dxa"/>
            <w:vAlign w:val="center"/>
          </w:tcPr>
          <w:p w14:paraId="0589494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测试单位按公式独立计算形成的结果。</w:t>
            </w:r>
          </w:p>
        </w:tc>
      </w:tr>
      <w:tr w14:paraId="78D01CDF">
        <w:trPr>
          <w:jc w:val="center"/>
        </w:trPr>
        <w:tc>
          <w:tcPr>
            <w:tcW w:w="812" w:type="dxa"/>
            <w:vAlign w:val="center"/>
          </w:tcPr>
          <w:p w14:paraId="20DB476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4</w:t>
            </w:r>
          </w:p>
        </w:tc>
        <w:tc>
          <w:tcPr>
            <w:tcW w:w="3266" w:type="dxa"/>
            <w:vAlign w:val="center"/>
          </w:tcPr>
          <w:p w14:paraId="1833F99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系统与 Excel 结果比对表</w:t>
            </w:r>
          </w:p>
        </w:tc>
        <w:tc>
          <w:tcPr>
            <w:tcW w:w="5282" w:type="dxa"/>
            <w:vAlign w:val="center"/>
          </w:tcPr>
          <w:p w14:paraId="6759719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记录一致项、差异项、差异值和差异比例。</w:t>
            </w:r>
          </w:p>
        </w:tc>
      </w:tr>
      <w:tr w14:paraId="3C4EEF56">
        <w:trPr>
          <w:jc w:val="center"/>
        </w:trPr>
        <w:tc>
          <w:tcPr>
            <w:tcW w:w="812" w:type="dxa"/>
            <w:vAlign w:val="center"/>
          </w:tcPr>
          <w:p w14:paraId="13E17D2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5</w:t>
            </w:r>
          </w:p>
        </w:tc>
        <w:tc>
          <w:tcPr>
            <w:tcW w:w="3266" w:type="dxa"/>
            <w:vAlign w:val="center"/>
          </w:tcPr>
          <w:p w14:paraId="5316155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差异问题记录表</w:t>
            </w:r>
          </w:p>
        </w:tc>
        <w:tc>
          <w:tcPr>
            <w:tcW w:w="5282" w:type="dxa"/>
            <w:vAlign w:val="center"/>
          </w:tcPr>
          <w:p w14:paraId="1214B6E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记录问题描述、原因、责任、整改和复测情况。</w:t>
            </w:r>
          </w:p>
        </w:tc>
      </w:tr>
      <w:tr w14:paraId="14ABEB99">
        <w:trPr>
          <w:jc w:val="center"/>
        </w:trPr>
        <w:tc>
          <w:tcPr>
            <w:tcW w:w="812" w:type="dxa"/>
            <w:vAlign w:val="center"/>
          </w:tcPr>
          <w:p w14:paraId="63A0056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6</w:t>
            </w:r>
          </w:p>
        </w:tc>
        <w:tc>
          <w:tcPr>
            <w:tcW w:w="3266" w:type="dxa"/>
            <w:vAlign w:val="center"/>
          </w:tcPr>
          <w:p w14:paraId="3A925A0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问题整改及复测记录</w:t>
            </w:r>
          </w:p>
        </w:tc>
        <w:tc>
          <w:tcPr>
            <w:tcW w:w="5282" w:type="dxa"/>
            <w:vAlign w:val="center"/>
          </w:tcPr>
          <w:p w14:paraId="4F27642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记录系统修复情况和回归测试结果。</w:t>
            </w:r>
          </w:p>
        </w:tc>
      </w:tr>
      <w:tr w14:paraId="6F4F61C4">
        <w:trPr>
          <w:jc w:val="center"/>
        </w:trPr>
        <w:tc>
          <w:tcPr>
            <w:tcW w:w="812" w:type="dxa"/>
            <w:vAlign w:val="center"/>
          </w:tcPr>
          <w:p w14:paraId="435EBD8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7</w:t>
            </w:r>
          </w:p>
        </w:tc>
        <w:tc>
          <w:tcPr>
            <w:tcW w:w="3266" w:type="dxa"/>
            <w:vAlign w:val="center"/>
          </w:tcPr>
          <w:p w14:paraId="65BFB34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评估工具测试报告</w:t>
            </w:r>
          </w:p>
        </w:tc>
        <w:tc>
          <w:tcPr>
            <w:tcW w:w="5282" w:type="dxa"/>
            <w:vAlign w:val="center"/>
          </w:tcPr>
          <w:p w14:paraId="054C20F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汇总测试过程、结果、问题和最终结论。</w:t>
            </w:r>
          </w:p>
        </w:tc>
      </w:tr>
    </w:tbl>
    <w:p w14:paraId="22785047"/>
    <w:p w14:paraId="7F2ABF0D">
      <w:pPr>
        <w:pStyle w:val="3"/>
        <w:bidi w:val="0"/>
      </w:pPr>
      <w:r>
        <w:t>十五、风险及应对措施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5"/>
        <w:gridCol w:w="3130"/>
        <w:gridCol w:w="4035"/>
      </w:tblGrid>
      <w:tr w14:paraId="47306511">
        <w:trPr>
          <w:jc w:val="center"/>
        </w:trPr>
        <w:tc>
          <w:tcPr>
            <w:tcW w:w="2195" w:type="dxa"/>
            <w:shd w:val="clear" w:color="auto" w:fill="F2F4F7"/>
            <w:vAlign w:val="center"/>
          </w:tcPr>
          <w:p w14:paraId="21955804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风险</w:t>
            </w:r>
          </w:p>
        </w:tc>
        <w:tc>
          <w:tcPr>
            <w:tcW w:w="3130" w:type="dxa"/>
            <w:shd w:val="clear" w:color="auto" w:fill="F2F4F7"/>
            <w:vAlign w:val="center"/>
          </w:tcPr>
          <w:p w14:paraId="0AE4CAEA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影响</w:t>
            </w:r>
          </w:p>
        </w:tc>
        <w:tc>
          <w:tcPr>
            <w:tcW w:w="4035" w:type="dxa"/>
            <w:shd w:val="clear" w:color="auto" w:fill="F2F4F7"/>
            <w:vAlign w:val="center"/>
          </w:tcPr>
          <w:p w14:paraId="594A0A34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应对措施</w:t>
            </w:r>
          </w:p>
        </w:tc>
      </w:tr>
      <w:tr w14:paraId="3F9732D1">
        <w:trPr>
          <w:jc w:val="center"/>
        </w:trPr>
        <w:tc>
          <w:tcPr>
            <w:tcW w:w="2195" w:type="dxa"/>
            <w:vAlign w:val="center"/>
          </w:tcPr>
          <w:p w14:paraId="51D39E3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数据口径不一致</w:t>
            </w:r>
          </w:p>
        </w:tc>
        <w:tc>
          <w:tcPr>
            <w:tcW w:w="3130" w:type="dxa"/>
            <w:vAlign w:val="center"/>
          </w:tcPr>
          <w:p w14:paraId="3246583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导致系统和 Excel 结果无法有效比对</w:t>
            </w:r>
          </w:p>
        </w:tc>
        <w:tc>
          <w:tcPr>
            <w:tcW w:w="4035" w:type="dxa"/>
            <w:vAlign w:val="center"/>
          </w:tcPr>
          <w:p w14:paraId="5CB1362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测试前统一确认数据来源、字段含义、单位、统计口径和数据版本。</w:t>
            </w:r>
          </w:p>
        </w:tc>
      </w:tr>
      <w:tr w14:paraId="0EF869B2">
        <w:trPr>
          <w:jc w:val="center"/>
        </w:trPr>
        <w:tc>
          <w:tcPr>
            <w:tcW w:w="2195" w:type="dxa"/>
            <w:vAlign w:val="center"/>
          </w:tcPr>
          <w:p w14:paraId="32B0AC5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Excel 公式引用错误</w:t>
            </w:r>
          </w:p>
        </w:tc>
        <w:tc>
          <w:tcPr>
            <w:tcW w:w="3130" w:type="dxa"/>
            <w:vAlign w:val="center"/>
          </w:tcPr>
          <w:p w14:paraId="7022ABA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人工核算结果失真</w:t>
            </w:r>
          </w:p>
        </w:tc>
        <w:tc>
          <w:tcPr>
            <w:tcW w:w="4035" w:type="dxa"/>
            <w:vAlign w:val="center"/>
          </w:tcPr>
          <w:p w14:paraId="4AEC791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测试单位复核模板公式，关键公式由双方共同确认。</w:t>
            </w:r>
          </w:p>
        </w:tc>
      </w:tr>
      <w:tr w14:paraId="102C9A34">
        <w:trPr>
          <w:jc w:val="center"/>
        </w:trPr>
        <w:tc>
          <w:tcPr>
            <w:tcW w:w="2195" w:type="dxa"/>
            <w:vAlign w:val="center"/>
          </w:tcPr>
          <w:p w14:paraId="16AFB14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精度规则不一致</w:t>
            </w:r>
          </w:p>
        </w:tc>
        <w:tc>
          <w:tcPr>
            <w:tcW w:w="3130" w:type="dxa"/>
            <w:vAlign w:val="center"/>
          </w:tcPr>
          <w:p w14:paraId="2498D84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产生大量小数差异</w:t>
            </w:r>
          </w:p>
        </w:tc>
        <w:tc>
          <w:tcPr>
            <w:tcW w:w="4035" w:type="dxa"/>
            <w:vAlign w:val="center"/>
          </w:tcPr>
          <w:p w14:paraId="2677A129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提前明确小数位数、四舍五入规则和误差容忍范围。</w:t>
            </w:r>
          </w:p>
        </w:tc>
      </w:tr>
      <w:tr w14:paraId="6F1C1016">
        <w:trPr>
          <w:jc w:val="center"/>
        </w:trPr>
        <w:tc>
          <w:tcPr>
            <w:tcW w:w="2195" w:type="dxa"/>
            <w:vAlign w:val="center"/>
          </w:tcPr>
          <w:p w14:paraId="3426DBC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抽样代表性不足</w:t>
            </w:r>
          </w:p>
        </w:tc>
        <w:tc>
          <w:tcPr>
            <w:tcW w:w="3130" w:type="dxa"/>
            <w:vAlign w:val="center"/>
          </w:tcPr>
          <w:p w14:paraId="47BCD30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测试结论覆盖性不足</w:t>
            </w:r>
          </w:p>
        </w:tc>
        <w:tc>
          <w:tcPr>
            <w:tcW w:w="4035" w:type="dxa"/>
            <w:vAlign w:val="center"/>
          </w:tcPr>
          <w:p w14:paraId="0FF2674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覆盖不同市州、不同规模乡镇和不同数据特征。</w:t>
            </w:r>
          </w:p>
        </w:tc>
      </w:tr>
      <w:tr w14:paraId="3DDFBA16">
        <w:trPr>
          <w:jc w:val="center"/>
        </w:trPr>
        <w:tc>
          <w:tcPr>
            <w:tcW w:w="2195" w:type="dxa"/>
            <w:vAlign w:val="center"/>
          </w:tcPr>
          <w:p w14:paraId="5649F49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差异原因定位困难</w:t>
            </w:r>
          </w:p>
        </w:tc>
        <w:tc>
          <w:tcPr>
            <w:tcW w:w="3130" w:type="dxa"/>
            <w:vAlign w:val="center"/>
          </w:tcPr>
          <w:p w14:paraId="6050FF1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延误整改和验收</w:t>
            </w:r>
          </w:p>
        </w:tc>
        <w:tc>
          <w:tcPr>
            <w:tcW w:w="4035" w:type="dxa"/>
            <w:vAlign w:val="center"/>
          </w:tcPr>
          <w:p w14:paraId="1250BF5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保留系统中间结果和 Excel 中间结果，支持逐级追溯。</w:t>
            </w:r>
          </w:p>
        </w:tc>
      </w:tr>
      <w:tr w14:paraId="4A6C2167">
        <w:trPr>
          <w:jc w:val="center"/>
        </w:trPr>
        <w:tc>
          <w:tcPr>
            <w:tcW w:w="2195" w:type="dxa"/>
            <w:vAlign w:val="center"/>
          </w:tcPr>
          <w:p w14:paraId="6EFE05E8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测试时间不足</w:t>
            </w:r>
          </w:p>
        </w:tc>
        <w:tc>
          <w:tcPr>
            <w:tcW w:w="3130" w:type="dxa"/>
            <w:vAlign w:val="center"/>
          </w:tcPr>
          <w:p w14:paraId="2EE4643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影响核算质量</w:t>
            </w:r>
          </w:p>
        </w:tc>
        <w:tc>
          <w:tcPr>
            <w:tcW w:w="4035" w:type="dxa"/>
            <w:vAlign w:val="center"/>
          </w:tcPr>
          <w:p w14:paraId="4416352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提前准备数据、模板和比对工具，优先完成核心指标比对。</w:t>
            </w:r>
          </w:p>
        </w:tc>
      </w:tr>
    </w:tbl>
    <w:p w14:paraId="393B24B1"/>
    <w:p w14:paraId="67F28620">
      <w:pPr>
        <w:pStyle w:val="3"/>
        <w:bidi w:val="0"/>
      </w:pPr>
      <w:r>
        <w:t>十六、测试计划安排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19"/>
        <w:gridCol w:w="3261"/>
        <w:gridCol w:w="2340"/>
        <w:gridCol w:w="2340"/>
      </w:tblGrid>
      <w:tr w14:paraId="77048354">
        <w:trPr>
          <w:jc w:val="center"/>
        </w:trPr>
        <w:tc>
          <w:tcPr>
            <w:tcW w:w="1419" w:type="dxa"/>
            <w:shd w:val="clear" w:color="auto" w:fill="F2F4F7"/>
            <w:vAlign w:val="center"/>
          </w:tcPr>
          <w:p w14:paraId="622EEF5F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阶段</w:t>
            </w:r>
          </w:p>
        </w:tc>
        <w:tc>
          <w:tcPr>
            <w:tcW w:w="3261" w:type="dxa"/>
            <w:shd w:val="clear" w:color="auto" w:fill="F2F4F7"/>
            <w:vAlign w:val="center"/>
          </w:tcPr>
          <w:p w14:paraId="085FDDAF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主要工作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3B6D7D14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责任方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63A743D9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输出物</w:t>
            </w:r>
          </w:p>
        </w:tc>
      </w:tr>
      <w:tr w14:paraId="2A245F80">
        <w:trPr>
          <w:jc w:val="center"/>
        </w:trPr>
        <w:tc>
          <w:tcPr>
            <w:tcW w:w="1419" w:type="dxa"/>
            <w:vAlign w:val="center"/>
          </w:tcPr>
          <w:p w14:paraId="78DD9C6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准备阶段</w:t>
            </w:r>
          </w:p>
        </w:tc>
        <w:tc>
          <w:tcPr>
            <w:tcW w:w="3261" w:type="dxa"/>
            <w:vAlign w:val="center"/>
          </w:tcPr>
          <w:p w14:paraId="5EAD5C7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确认测试范围、公式规则、测试环境、数据来源和 Excel 模板</w:t>
            </w:r>
          </w:p>
        </w:tc>
        <w:tc>
          <w:tcPr>
            <w:tcW w:w="2340" w:type="dxa"/>
            <w:vAlign w:val="center"/>
          </w:tcPr>
          <w:p w14:paraId="443ECCB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双方</w:t>
            </w:r>
          </w:p>
        </w:tc>
        <w:tc>
          <w:tcPr>
            <w:tcW w:w="2340" w:type="dxa"/>
            <w:vAlign w:val="center"/>
          </w:tcPr>
          <w:p w14:paraId="6DB8C7B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测试准备确认记录</w:t>
            </w:r>
          </w:p>
        </w:tc>
      </w:tr>
      <w:tr w14:paraId="14430AE0">
        <w:trPr>
          <w:jc w:val="center"/>
        </w:trPr>
        <w:tc>
          <w:tcPr>
            <w:tcW w:w="1419" w:type="dxa"/>
            <w:vAlign w:val="center"/>
          </w:tcPr>
          <w:p w14:paraId="4E9B7F9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数据阶段</w:t>
            </w:r>
          </w:p>
        </w:tc>
        <w:tc>
          <w:tcPr>
            <w:tcW w:w="3261" w:type="dxa"/>
            <w:vAlign w:val="center"/>
          </w:tcPr>
          <w:p w14:paraId="788E57F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抽取或确认测试数据，形成测试数据清单并固化版本</w:t>
            </w:r>
          </w:p>
        </w:tc>
        <w:tc>
          <w:tcPr>
            <w:tcW w:w="2340" w:type="dxa"/>
            <w:vAlign w:val="center"/>
          </w:tcPr>
          <w:p w14:paraId="5BD25DC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双方</w:t>
            </w:r>
          </w:p>
        </w:tc>
        <w:tc>
          <w:tcPr>
            <w:tcW w:w="2340" w:type="dxa"/>
            <w:vAlign w:val="center"/>
          </w:tcPr>
          <w:p w14:paraId="3572472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测试数据清单</w:t>
            </w:r>
          </w:p>
        </w:tc>
      </w:tr>
      <w:tr w14:paraId="6F39E5C0">
        <w:trPr>
          <w:jc w:val="center"/>
        </w:trPr>
        <w:tc>
          <w:tcPr>
            <w:tcW w:w="1419" w:type="dxa"/>
            <w:vAlign w:val="center"/>
          </w:tcPr>
          <w:p w14:paraId="77A51BD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计算阶段</w:t>
            </w:r>
          </w:p>
        </w:tc>
        <w:tc>
          <w:tcPr>
            <w:tcW w:w="3261" w:type="dxa"/>
            <w:vAlign w:val="center"/>
          </w:tcPr>
          <w:p w14:paraId="1924F245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系统自动计算和 Excel 人工独立计算</w:t>
            </w:r>
          </w:p>
        </w:tc>
        <w:tc>
          <w:tcPr>
            <w:tcW w:w="2340" w:type="dxa"/>
            <w:vAlign w:val="center"/>
          </w:tcPr>
          <w:p w14:paraId="3E207A4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承建单位 / 测试单位</w:t>
            </w:r>
          </w:p>
        </w:tc>
        <w:tc>
          <w:tcPr>
            <w:tcW w:w="2340" w:type="dxa"/>
            <w:vAlign w:val="center"/>
          </w:tcPr>
          <w:p w14:paraId="15903B34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系统结果表、Excel 结果表</w:t>
            </w:r>
          </w:p>
        </w:tc>
      </w:tr>
      <w:tr w14:paraId="0F3AADB0">
        <w:trPr>
          <w:jc w:val="center"/>
        </w:trPr>
        <w:tc>
          <w:tcPr>
            <w:tcW w:w="1419" w:type="dxa"/>
            <w:vAlign w:val="center"/>
          </w:tcPr>
          <w:p w14:paraId="24D98AE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比对阶段</w:t>
            </w:r>
          </w:p>
        </w:tc>
        <w:tc>
          <w:tcPr>
            <w:tcW w:w="3261" w:type="dxa"/>
            <w:vAlign w:val="center"/>
          </w:tcPr>
          <w:p w14:paraId="2A2D558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开展结果比对、标记差异并进行原因分析</w:t>
            </w:r>
          </w:p>
        </w:tc>
        <w:tc>
          <w:tcPr>
            <w:tcW w:w="2340" w:type="dxa"/>
            <w:vAlign w:val="center"/>
          </w:tcPr>
          <w:p w14:paraId="1B52B396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承建单位</w:t>
            </w:r>
          </w:p>
        </w:tc>
        <w:tc>
          <w:tcPr>
            <w:tcW w:w="2340" w:type="dxa"/>
            <w:vAlign w:val="center"/>
          </w:tcPr>
          <w:p w14:paraId="4D9275E0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结果比对表、差异问题表</w:t>
            </w:r>
          </w:p>
        </w:tc>
      </w:tr>
      <w:tr w14:paraId="791AA052">
        <w:trPr>
          <w:jc w:val="center"/>
        </w:trPr>
        <w:tc>
          <w:tcPr>
            <w:tcW w:w="1419" w:type="dxa"/>
            <w:vAlign w:val="center"/>
          </w:tcPr>
          <w:p w14:paraId="1BEDFD0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整改阶段</w:t>
            </w:r>
          </w:p>
        </w:tc>
        <w:tc>
          <w:tcPr>
            <w:tcW w:w="3261" w:type="dxa"/>
            <w:vAlign w:val="center"/>
          </w:tcPr>
          <w:p w14:paraId="5DB3FC0D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修复系统问题并开展复测</w:t>
            </w:r>
          </w:p>
        </w:tc>
        <w:tc>
          <w:tcPr>
            <w:tcW w:w="2340" w:type="dxa"/>
            <w:vAlign w:val="center"/>
          </w:tcPr>
          <w:p w14:paraId="18482C5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承建单位 / 测试单位</w:t>
            </w:r>
          </w:p>
        </w:tc>
        <w:tc>
          <w:tcPr>
            <w:tcW w:w="2340" w:type="dxa"/>
            <w:vAlign w:val="center"/>
          </w:tcPr>
          <w:p w14:paraId="0CCA651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整改及复测记录</w:t>
            </w:r>
          </w:p>
        </w:tc>
      </w:tr>
      <w:tr w14:paraId="4CCF44B9">
        <w:trPr>
          <w:jc w:val="center"/>
        </w:trPr>
        <w:tc>
          <w:tcPr>
            <w:tcW w:w="1419" w:type="dxa"/>
            <w:vAlign w:val="center"/>
          </w:tcPr>
          <w:p w14:paraId="5AEFB07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总结阶段</w:t>
            </w:r>
          </w:p>
        </w:tc>
        <w:tc>
          <w:tcPr>
            <w:tcW w:w="3261" w:type="dxa"/>
            <w:vAlign w:val="center"/>
          </w:tcPr>
          <w:p w14:paraId="5E9CDA57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编制并确认测试报告</w:t>
            </w:r>
          </w:p>
        </w:tc>
        <w:tc>
          <w:tcPr>
            <w:tcW w:w="2340" w:type="dxa"/>
            <w:vAlign w:val="center"/>
          </w:tcPr>
          <w:p w14:paraId="2A15961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承建单位 / 双方</w:t>
            </w:r>
          </w:p>
        </w:tc>
        <w:tc>
          <w:tcPr>
            <w:tcW w:w="2340" w:type="dxa"/>
            <w:vAlign w:val="center"/>
          </w:tcPr>
          <w:p w14:paraId="01BD98F3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评估工具测试报告</w:t>
            </w:r>
          </w:p>
        </w:tc>
      </w:tr>
    </w:tbl>
    <w:p w14:paraId="167266B2"/>
    <w:p w14:paraId="588FECC1">
      <w:pPr>
        <w:pStyle w:val="3"/>
        <w:bidi w:val="0"/>
      </w:pPr>
      <w:r>
        <w:t>十七、测试结论要求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92"/>
        <w:gridCol w:w="7868"/>
      </w:tblGrid>
      <w:tr w14:paraId="1108331D">
        <w:trPr>
          <w:jc w:val="center"/>
        </w:trPr>
        <w:tc>
          <w:tcPr>
            <w:tcW w:w="1492" w:type="dxa"/>
            <w:shd w:val="clear" w:color="auto" w:fill="F2F4F7"/>
            <w:vAlign w:val="center"/>
          </w:tcPr>
          <w:p w14:paraId="32C1E09E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结论类型</w:t>
            </w:r>
          </w:p>
        </w:tc>
        <w:tc>
          <w:tcPr>
            <w:tcW w:w="7868" w:type="dxa"/>
            <w:shd w:val="clear" w:color="auto" w:fill="F2F4F7"/>
            <w:vAlign w:val="center"/>
          </w:tcPr>
          <w:p w14:paraId="6B95C317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判定说明</w:t>
            </w:r>
          </w:p>
        </w:tc>
      </w:tr>
      <w:tr w14:paraId="6FAC2C70">
        <w:trPr>
          <w:jc w:val="center"/>
        </w:trPr>
        <w:tc>
          <w:tcPr>
            <w:tcW w:w="1492" w:type="dxa"/>
            <w:vAlign w:val="center"/>
          </w:tcPr>
          <w:p w14:paraId="3314877B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通过</w:t>
            </w:r>
          </w:p>
        </w:tc>
        <w:tc>
          <w:tcPr>
            <w:tcW w:w="7868" w:type="dxa"/>
            <w:vAlign w:val="center"/>
          </w:tcPr>
          <w:p w14:paraId="148635A1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系统计算结果与 Excel 计算结果一致，满足测试目标，可支撑后续验收或正式使用。</w:t>
            </w:r>
          </w:p>
        </w:tc>
      </w:tr>
      <w:tr w14:paraId="7A5A0381">
        <w:trPr>
          <w:jc w:val="center"/>
        </w:trPr>
        <w:tc>
          <w:tcPr>
            <w:tcW w:w="1492" w:type="dxa"/>
            <w:vAlign w:val="center"/>
          </w:tcPr>
          <w:p w14:paraId="418E6EC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有条件通过</w:t>
            </w:r>
          </w:p>
        </w:tc>
        <w:tc>
          <w:tcPr>
            <w:tcW w:w="7868" w:type="dxa"/>
            <w:vAlign w:val="center"/>
          </w:tcPr>
          <w:p w14:paraId="59B6B01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存在少量非关键差异，差异原因明确且不影响最终评价结论，后续按记录优化。</w:t>
            </w:r>
          </w:p>
        </w:tc>
      </w:tr>
      <w:tr w14:paraId="7B1F42AC">
        <w:trPr>
          <w:jc w:val="center"/>
        </w:trPr>
        <w:tc>
          <w:tcPr>
            <w:tcW w:w="1492" w:type="dxa"/>
            <w:vAlign w:val="center"/>
          </w:tcPr>
          <w:p w14:paraId="775A2B7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不通过</w:t>
            </w:r>
          </w:p>
        </w:tc>
        <w:tc>
          <w:tcPr>
            <w:tcW w:w="7868" w:type="dxa"/>
            <w:vAlign w:val="center"/>
          </w:tcPr>
          <w:p w14:paraId="24C90E5A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存在关键计算差异、评价结果差异或系统计算逻辑问题，需整改后重新测试。</w:t>
            </w:r>
          </w:p>
        </w:tc>
      </w:tr>
      <w:tr w14:paraId="7ABDD27C">
        <w:trPr>
          <w:jc w:val="center"/>
        </w:trPr>
        <w:tc>
          <w:tcPr>
            <w:tcW w:w="1492" w:type="dxa"/>
            <w:vAlign w:val="center"/>
          </w:tcPr>
          <w:p w14:paraId="5A47FDBE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待复测</w:t>
            </w:r>
          </w:p>
        </w:tc>
        <w:tc>
          <w:tcPr>
            <w:tcW w:w="7868" w:type="dxa"/>
            <w:vAlign w:val="center"/>
          </w:tcPr>
          <w:p w14:paraId="0CCF71E2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问题已完成整改，但尚需基于相同数据或补充数据进行复测确认。</w:t>
            </w:r>
          </w:p>
        </w:tc>
      </w:tr>
    </w:tbl>
    <w:p w14:paraId="6ABE5AB4"/>
    <w:p w14:paraId="176FC308">
      <w:pPr>
        <w:pStyle w:val="3"/>
        <w:bidi w:val="0"/>
      </w:pPr>
      <w:r>
        <w:t>十八、附件模板</w:t>
      </w:r>
    </w:p>
    <w:p w14:paraId="3206318A">
      <w:pPr>
        <w:pStyle w:val="4"/>
        <w:bidi w:val="0"/>
      </w:pPr>
      <w:r>
        <w:t>附件 1：结果比对表模板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14:paraId="0BE60F28">
        <w:trPr>
          <w:jc w:val="center"/>
        </w:trPr>
        <w:tc>
          <w:tcPr>
            <w:tcW w:w="650" w:type="dxa"/>
            <w:shd w:val="clear" w:color="auto" w:fill="F2F4F7"/>
            <w:vAlign w:val="center"/>
          </w:tcPr>
          <w:p w14:paraId="63A76992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序号</w:t>
            </w:r>
          </w:p>
        </w:tc>
        <w:tc>
          <w:tcPr>
            <w:tcW w:w="800" w:type="dxa"/>
            <w:shd w:val="clear" w:color="auto" w:fill="F2F4F7"/>
            <w:vAlign w:val="center"/>
          </w:tcPr>
          <w:p w14:paraId="5E526E3B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年度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50AC3942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市州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4945758A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区县</w:t>
            </w:r>
          </w:p>
        </w:tc>
        <w:tc>
          <w:tcPr>
            <w:tcW w:w="1000" w:type="dxa"/>
            <w:shd w:val="clear" w:color="auto" w:fill="F2F4F7"/>
            <w:vAlign w:val="center"/>
          </w:tcPr>
          <w:p w14:paraId="0DD702F9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乡镇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085E9537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指标名称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396AD4F3">
            <w:pPr>
              <w:spacing w:before="0" w:after="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系统结果</w:t>
            </w:r>
            <w:r>
              <w:rPr>
                <w:rFonts w:hint="eastAsia"/>
                <w:b/>
                <w:color w:val="0B2545"/>
                <w:sz w:val="20"/>
                <w:lang w:val="en-US" w:eastAsia="zh-CN"/>
              </w:rPr>
              <w:t>值与等级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45A4C580">
            <w:pPr>
              <w:spacing w:before="0" w:after="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Excel 结果</w:t>
            </w:r>
            <w:r>
              <w:rPr>
                <w:rFonts w:hint="eastAsia"/>
                <w:b/>
                <w:color w:val="0B2545"/>
                <w:sz w:val="20"/>
                <w:lang w:val="en-US" w:eastAsia="zh-CN"/>
              </w:rPr>
              <w:t>值与等级</w:t>
            </w:r>
          </w:p>
        </w:tc>
        <w:tc>
          <w:tcPr>
            <w:tcW w:w="800" w:type="dxa"/>
            <w:shd w:val="clear" w:color="auto" w:fill="F2F4F7"/>
            <w:vAlign w:val="center"/>
          </w:tcPr>
          <w:p w14:paraId="617B9606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差异值</w:t>
            </w:r>
          </w:p>
        </w:tc>
        <w:tc>
          <w:tcPr>
            <w:tcW w:w="1010" w:type="dxa"/>
            <w:shd w:val="clear" w:color="auto" w:fill="F2F4F7"/>
            <w:vAlign w:val="center"/>
          </w:tcPr>
          <w:p w14:paraId="2FA26096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是否一致</w:t>
            </w:r>
          </w:p>
        </w:tc>
      </w:tr>
      <w:tr w14:paraId="784027C2">
        <w:trPr>
          <w:jc w:val="center"/>
        </w:trPr>
        <w:tc>
          <w:tcPr>
            <w:tcW w:w="650" w:type="dxa"/>
            <w:vAlign w:val="center"/>
          </w:tcPr>
          <w:p w14:paraId="6C66195C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1</w:t>
            </w:r>
          </w:p>
        </w:tc>
        <w:tc>
          <w:tcPr>
            <w:tcW w:w="800" w:type="dxa"/>
            <w:vAlign w:val="center"/>
          </w:tcPr>
          <w:p w14:paraId="4B6F1520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7BEF02FC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303C8901">
            <w:pPr>
              <w:spacing w:before="0" w:after="0" w:line="276" w:lineRule="auto"/>
            </w:pPr>
          </w:p>
        </w:tc>
        <w:tc>
          <w:tcPr>
            <w:tcW w:w="1000" w:type="dxa"/>
            <w:vAlign w:val="center"/>
          </w:tcPr>
          <w:p w14:paraId="238C6C52">
            <w:pPr>
              <w:spacing w:before="0" w:after="0" w:line="276" w:lineRule="auto"/>
            </w:pPr>
          </w:p>
        </w:tc>
        <w:tc>
          <w:tcPr>
            <w:tcW w:w="1500" w:type="dxa"/>
            <w:vAlign w:val="center"/>
          </w:tcPr>
          <w:p w14:paraId="32F401E6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528BD5D8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093C5CAC">
            <w:pPr>
              <w:spacing w:before="0" w:after="0" w:line="276" w:lineRule="auto"/>
            </w:pPr>
          </w:p>
        </w:tc>
        <w:tc>
          <w:tcPr>
            <w:tcW w:w="800" w:type="dxa"/>
            <w:vAlign w:val="center"/>
          </w:tcPr>
          <w:p w14:paraId="69CAE66D">
            <w:pPr>
              <w:spacing w:before="0" w:after="0" w:line="276" w:lineRule="auto"/>
            </w:pPr>
          </w:p>
        </w:tc>
        <w:tc>
          <w:tcPr>
            <w:tcW w:w="1010" w:type="dxa"/>
            <w:vAlign w:val="center"/>
          </w:tcPr>
          <w:p w14:paraId="2817B0B8">
            <w:pPr>
              <w:spacing w:before="0" w:after="0" w:line="276" w:lineRule="auto"/>
            </w:pPr>
          </w:p>
        </w:tc>
      </w:tr>
      <w:tr w14:paraId="626C101B">
        <w:trPr>
          <w:jc w:val="center"/>
        </w:trPr>
        <w:tc>
          <w:tcPr>
            <w:tcW w:w="650" w:type="dxa"/>
            <w:vAlign w:val="center"/>
          </w:tcPr>
          <w:p w14:paraId="1BE04F8F">
            <w:pPr>
              <w:spacing w:before="0" w:after="0" w:line="276" w:lineRule="auto"/>
            </w:pPr>
            <w:r>
              <w:rPr>
                <w:rFonts w:ascii="Calibri" w:hAnsi="Calibri" w:eastAsia="宋体"/>
                <w:b w:val="0"/>
                <w:color w:val="0B2545"/>
                <w:sz w:val="20"/>
              </w:rPr>
              <w:t>2</w:t>
            </w:r>
          </w:p>
        </w:tc>
        <w:tc>
          <w:tcPr>
            <w:tcW w:w="800" w:type="dxa"/>
            <w:vAlign w:val="center"/>
          </w:tcPr>
          <w:p w14:paraId="5F386ECA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5E8FC392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16CC79C5">
            <w:pPr>
              <w:spacing w:before="0" w:after="0" w:line="276" w:lineRule="auto"/>
            </w:pPr>
          </w:p>
        </w:tc>
        <w:tc>
          <w:tcPr>
            <w:tcW w:w="1000" w:type="dxa"/>
            <w:vAlign w:val="center"/>
          </w:tcPr>
          <w:p w14:paraId="37280943">
            <w:pPr>
              <w:spacing w:before="0" w:after="0" w:line="276" w:lineRule="auto"/>
            </w:pPr>
          </w:p>
        </w:tc>
        <w:tc>
          <w:tcPr>
            <w:tcW w:w="1500" w:type="dxa"/>
            <w:vAlign w:val="center"/>
          </w:tcPr>
          <w:p w14:paraId="19625D8C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56BC93A1">
            <w:pPr>
              <w:spacing w:before="0" w:after="0" w:line="276" w:lineRule="auto"/>
            </w:pPr>
          </w:p>
        </w:tc>
        <w:tc>
          <w:tcPr>
            <w:tcW w:w="900" w:type="dxa"/>
            <w:vAlign w:val="center"/>
          </w:tcPr>
          <w:p w14:paraId="38B101B1">
            <w:pPr>
              <w:spacing w:before="0" w:after="0" w:line="276" w:lineRule="auto"/>
            </w:pPr>
          </w:p>
        </w:tc>
        <w:tc>
          <w:tcPr>
            <w:tcW w:w="800" w:type="dxa"/>
            <w:vAlign w:val="center"/>
          </w:tcPr>
          <w:p w14:paraId="2F9BB5FB">
            <w:pPr>
              <w:spacing w:before="0" w:after="0" w:line="276" w:lineRule="auto"/>
            </w:pPr>
          </w:p>
        </w:tc>
        <w:tc>
          <w:tcPr>
            <w:tcW w:w="1010" w:type="dxa"/>
            <w:vAlign w:val="center"/>
          </w:tcPr>
          <w:p w14:paraId="192A43CE">
            <w:pPr>
              <w:spacing w:before="0" w:after="0" w:line="276" w:lineRule="auto"/>
            </w:pPr>
          </w:p>
        </w:tc>
      </w:tr>
    </w:tbl>
    <w:p w14:paraId="40754A22"/>
    <w:p w14:paraId="2B1407E0">
      <w:pPr>
        <w:pStyle w:val="4"/>
        <w:bidi w:val="0"/>
      </w:pPr>
      <w:r>
        <w:t>附件 2：差异问题记录表模板</w:t>
      </w:r>
    </w:p>
    <w:tbl>
      <w:tblPr>
        <w:tblStyle w:val="32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3E8397D0">
        <w:trPr>
          <w:jc w:val="center"/>
        </w:trPr>
        <w:tc>
          <w:tcPr>
            <w:tcW w:w="1300" w:type="dxa"/>
            <w:shd w:val="clear" w:color="auto" w:fill="F2F4F7"/>
            <w:vAlign w:val="center"/>
          </w:tcPr>
          <w:p w14:paraId="620C337F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问题编号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791839D2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差异描述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0731458C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问题类型</w:t>
            </w:r>
          </w:p>
        </w:tc>
        <w:tc>
          <w:tcPr>
            <w:tcW w:w="1000" w:type="dxa"/>
            <w:shd w:val="clear" w:color="auto" w:fill="F2F4F7"/>
            <w:vAlign w:val="center"/>
          </w:tcPr>
          <w:p w14:paraId="0BEC4088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严重程度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67BD00AF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原因分析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17CA3629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整改措施</w:t>
            </w:r>
          </w:p>
        </w:tc>
        <w:tc>
          <w:tcPr>
            <w:tcW w:w="660" w:type="dxa"/>
            <w:shd w:val="clear" w:color="auto" w:fill="F2F4F7"/>
            <w:vAlign w:val="center"/>
          </w:tcPr>
          <w:p w14:paraId="3B6363B0">
            <w:pPr>
              <w:spacing w:before="0" w:after="0" w:line="276" w:lineRule="auto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复测结论</w:t>
            </w:r>
          </w:p>
        </w:tc>
      </w:tr>
      <w:tr w14:paraId="3FFDE67C">
        <w:trPr>
          <w:jc w:val="center"/>
        </w:trPr>
        <w:tc>
          <w:tcPr>
            <w:tcW w:w="1300" w:type="dxa"/>
            <w:vAlign w:val="center"/>
          </w:tcPr>
          <w:p w14:paraId="604767CD">
            <w:pPr>
              <w:spacing w:before="0" w:after="0" w:line="276" w:lineRule="auto"/>
            </w:pPr>
          </w:p>
        </w:tc>
        <w:tc>
          <w:tcPr>
            <w:tcW w:w="2200" w:type="dxa"/>
            <w:vAlign w:val="center"/>
          </w:tcPr>
          <w:p w14:paraId="7CDAAE2B">
            <w:pPr>
              <w:spacing w:before="0" w:after="0" w:line="276" w:lineRule="auto"/>
            </w:pPr>
          </w:p>
        </w:tc>
        <w:tc>
          <w:tcPr>
            <w:tcW w:w="1300" w:type="dxa"/>
            <w:vAlign w:val="center"/>
          </w:tcPr>
          <w:p w14:paraId="6A882B77">
            <w:pPr>
              <w:spacing w:before="0" w:after="0" w:line="276" w:lineRule="auto"/>
            </w:pPr>
          </w:p>
        </w:tc>
        <w:tc>
          <w:tcPr>
            <w:tcW w:w="1000" w:type="dxa"/>
            <w:vAlign w:val="center"/>
          </w:tcPr>
          <w:p w14:paraId="147860FC">
            <w:pPr>
              <w:spacing w:before="0" w:after="0" w:line="276" w:lineRule="auto"/>
            </w:pPr>
          </w:p>
        </w:tc>
        <w:tc>
          <w:tcPr>
            <w:tcW w:w="1500" w:type="dxa"/>
            <w:vAlign w:val="center"/>
          </w:tcPr>
          <w:p w14:paraId="5D146DB5">
            <w:pPr>
              <w:spacing w:before="0" w:after="0" w:line="276" w:lineRule="auto"/>
            </w:pPr>
          </w:p>
        </w:tc>
        <w:tc>
          <w:tcPr>
            <w:tcW w:w="1400" w:type="dxa"/>
            <w:vAlign w:val="center"/>
          </w:tcPr>
          <w:p w14:paraId="61C7C1BD">
            <w:pPr>
              <w:spacing w:before="0" w:after="0" w:line="276" w:lineRule="auto"/>
            </w:pPr>
          </w:p>
        </w:tc>
        <w:tc>
          <w:tcPr>
            <w:tcW w:w="660" w:type="dxa"/>
            <w:vAlign w:val="center"/>
          </w:tcPr>
          <w:p w14:paraId="768CF39F">
            <w:pPr>
              <w:spacing w:before="0" w:after="0" w:line="276" w:lineRule="auto"/>
            </w:pPr>
          </w:p>
        </w:tc>
      </w:tr>
      <w:tr w14:paraId="09DF29A3">
        <w:trPr>
          <w:jc w:val="center"/>
        </w:trPr>
        <w:tc>
          <w:tcPr>
            <w:tcW w:w="1300" w:type="dxa"/>
            <w:vAlign w:val="center"/>
          </w:tcPr>
          <w:p w14:paraId="110DC436">
            <w:pPr>
              <w:spacing w:before="0" w:after="0" w:line="276" w:lineRule="auto"/>
            </w:pPr>
          </w:p>
        </w:tc>
        <w:tc>
          <w:tcPr>
            <w:tcW w:w="2200" w:type="dxa"/>
            <w:vAlign w:val="center"/>
          </w:tcPr>
          <w:p w14:paraId="21E5F671">
            <w:pPr>
              <w:spacing w:before="0" w:after="0" w:line="276" w:lineRule="auto"/>
            </w:pPr>
          </w:p>
        </w:tc>
        <w:tc>
          <w:tcPr>
            <w:tcW w:w="1300" w:type="dxa"/>
            <w:vAlign w:val="center"/>
          </w:tcPr>
          <w:p w14:paraId="269A9CF5">
            <w:pPr>
              <w:spacing w:before="0" w:after="0" w:line="276" w:lineRule="auto"/>
            </w:pPr>
          </w:p>
        </w:tc>
        <w:tc>
          <w:tcPr>
            <w:tcW w:w="1000" w:type="dxa"/>
            <w:vAlign w:val="center"/>
          </w:tcPr>
          <w:p w14:paraId="24B7B529">
            <w:pPr>
              <w:spacing w:before="0" w:after="0" w:line="276" w:lineRule="auto"/>
            </w:pPr>
          </w:p>
        </w:tc>
        <w:tc>
          <w:tcPr>
            <w:tcW w:w="1500" w:type="dxa"/>
            <w:vAlign w:val="center"/>
          </w:tcPr>
          <w:p w14:paraId="15059B4A">
            <w:pPr>
              <w:spacing w:before="0" w:after="0" w:line="276" w:lineRule="auto"/>
            </w:pPr>
          </w:p>
        </w:tc>
        <w:tc>
          <w:tcPr>
            <w:tcW w:w="1400" w:type="dxa"/>
            <w:vAlign w:val="center"/>
          </w:tcPr>
          <w:p w14:paraId="0FB57AB7">
            <w:pPr>
              <w:spacing w:before="0" w:after="0" w:line="276" w:lineRule="auto"/>
            </w:pPr>
          </w:p>
        </w:tc>
        <w:tc>
          <w:tcPr>
            <w:tcW w:w="660" w:type="dxa"/>
            <w:vAlign w:val="center"/>
          </w:tcPr>
          <w:p w14:paraId="4B06408B">
            <w:pPr>
              <w:spacing w:before="0" w:after="0" w:line="276" w:lineRule="auto"/>
            </w:pPr>
          </w:p>
        </w:tc>
      </w:tr>
    </w:tbl>
    <w:p w14:paraId="1795A0A7"/>
    <w:sectPr>
      <w:footerReference r:id="rId7" w:type="default"/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C151B">
    <w:pPr>
      <w:pStyle w:val="24"/>
      <w:jc w:val="right"/>
    </w:pPr>
    <w:r>
      <w:rPr>
        <w:rFonts w:ascii="Calibri" w:hAnsi="Calibri" w:eastAsia="宋体"/>
        <w:color w:val="595959"/>
        <w:sz w:val="18"/>
      </w:rPr>
      <w:t>内部测试资料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2CF25">
    <w:pPr>
      <w:pStyle w:val="24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BBF6CF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BBF6CF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宋体"/>
        <w:color w:val="595959"/>
        <w:sz w:val="18"/>
      </w:rPr>
      <w:t>内部测试资料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E2233">
    <w:pPr>
      <w:pStyle w:val="25"/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  <w:between w:val="none" w:color="auto" w:sz="0" w:space="0"/>
      </w:pBdr>
      <w:spacing w:after="0" w:line="240" w:lineRule="auto"/>
      <w:jc w:val="center"/>
      <w:rPr>
        <w:b/>
        <w:bCs/>
      </w:rPr>
    </w:pPr>
    <w:r>
      <w:rPr>
        <w:rFonts w:ascii="Calibri" w:hAnsi="Calibri" w:eastAsia="宋体"/>
        <w:b/>
        <w:bCs/>
        <w:color w:val="595959"/>
        <w:sz w:val="18"/>
      </w:rPr>
      <w:t>评估工具测试计划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DB8B6C"/>
    <w:rsid w:val="BFFA2C0B"/>
    <w:rsid w:val="DF28E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李其亮</cp:lastModifiedBy>
  <dcterms:modified xsi:type="dcterms:W3CDTF">2026-05-06T21:30:06Z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EE02AA3024EDD117443DFB6948EB08F1_42</vt:lpwstr>
  </property>
</Properties>
</file>