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双重预防数据上报文档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版本号：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10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704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1704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71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169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1.0.0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2017-09-21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侯彬</w:t>
            </w:r>
          </w:p>
        </w:tc>
        <w:tc>
          <w:tcPr>
            <w:tcW w:w="171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  <w:t>更新通知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1.0.0 创建接口文档。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  <w:t>工作方式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双方通过HTTP方式交互数据，第三方可以通过简单的“name=value”方式发送提交内容或请求内容。即通过HTTP的GET/POST方式交换。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另外双方需要保证数据传输的完整新和安全性，每次发送请求都会有相应（响应返回格式为JSON，如：{"message":"请求成功","data":null,"code":"200"}）,安全验证目前采用Token的方式。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  <w:t>字符编码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服务器接收数据可以是UTF-8编码字符,默认接收数据是UTF-8编码。请求响应返回内容是UTF-8编码。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  <w:t>加密方式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加密方式采用</w:t>
      </w:r>
      <w:r>
        <w:rPr>
          <w:rFonts w:hint="eastAsia" w:ascii="宋体" w:hAnsi="宋体" w:eastAsia="宋体" w:cs="宋体"/>
          <w:sz w:val="24"/>
          <w:szCs w:val="24"/>
        </w:rPr>
        <w:t>AES/CBC/PKCS5Padding</w:t>
      </w:r>
      <w:r>
        <w:rPr>
          <w:rFonts w:hint="eastAsia"/>
          <w:lang w:val="en-US" w:eastAsia="zh-CN"/>
        </w:rPr>
        <w:t>加密算法，各矿从煤监局获取接口上传apikey和偏移量进行加密。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token加密算法为：将“token=apikey&amp;mineCode=mineCode”进行加密,得带的密文为请求参数token的value，其他参数为明文传输。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  <w:t>响应格式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所谓响应即每次向服务器提交请求后返回值，响应格式为JSON报文。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备注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开发环境和生产环境地址请联系管理员。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风险点上报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上报风险点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http://localhost:8099/api/address/synAddress.do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mineCode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矿井编码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reportContent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年度辨识报文体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reportContent内容格式: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7"/>
        <w:gridCol w:w="1161"/>
        <w:gridCol w:w="1704"/>
        <w:gridCol w:w="3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2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1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aiAddressName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aiManageMan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分管领导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是否删除(0:未删除 1：已删除)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一类危险源上报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上报一类危险源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http://localhost:8099/api/hazard/synHazard.do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mineCode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矿井编码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reportContent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年度辨识报文体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reportContent内容格式: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7"/>
        <w:gridCol w:w="1161"/>
        <w:gridCol w:w="1704"/>
        <w:gridCol w:w="3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1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hmProfessionType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isDelete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是否删除(0:未删除 1：已删除)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hmHazardName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危险源名称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hmDamageType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伤害类别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hmAccidentType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事故类别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hmHazardType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种类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right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风险点关联组织机构上报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上报一类危险源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http://localhost:8099/api/address/synAddressDepartRel.do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mineCode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矿井编码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reportContent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年度辨识报文体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reportContent内容格式: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7"/>
        <w:gridCol w:w="1161"/>
        <w:gridCol w:w="1704"/>
        <w:gridCol w:w="3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1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adrDutyMan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adrAddressId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adrDepartName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责任部门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right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风险点关联风险上报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上报风险点关联风险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http://localhost:8099/api/address/synAddressDangerRel.do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mineCode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矿井编码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reportContent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年度辨识报文体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reportContent内容格式: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7"/>
        <w:gridCol w:w="1161"/>
        <w:gridCol w:w="1704"/>
        <w:gridCol w:w="3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1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darAddressId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darDangerId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darRiskLevel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风险等级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right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right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三违上报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上报三违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http://localhost:8099/api/violation/synViolation.do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mineCode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矿井编码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reportContent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年度辨识报文体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reportContent内容格式: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7"/>
        <w:gridCol w:w="1161"/>
        <w:gridCol w:w="1704"/>
        <w:gridCol w:w="3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1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tvVioAddress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tvVioUnits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tvVioLevel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三违级别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tvVioCategory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tvVioDate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tvVioPeople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tvWorkType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tvStopPeople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tvShift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违章班次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tvFindUnits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tvVioFactDesc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三违事实描述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tvRemark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tvVioQualitative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违章定性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right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right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right="0"/>
        <w:jc w:val="left"/>
        <w:rPr>
          <w:rFonts w:hint="eastAsia" w:ascii="宋体" w:hAnsi="宋体" w:eastAsia="宋体" w:cs="宋体"/>
          <w:b/>
          <w:i w:val="0"/>
          <w:caps w:val="0"/>
          <w:color w:val="0455C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年度风险辨识上报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上报年度风险辨识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http://localhost:8099/risk/reportYearRisk.do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mineCode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矿井编码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reportContent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年度辨识报文体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reportContent内容格式: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7"/>
        <w:gridCol w:w="1161"/>
        <w:gridCol w:w="1704"/>
        <w:gridCol w:w="3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1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riskValue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风险值（对应风险矩阵）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yeStandard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yeRecognizeTime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辨识时间（格式：yyyy-MM-dd或yyyy-MM-dd HH:mm:ss）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yeRiskGrade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yeProfession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专业类型编码（参照附录中专业类型）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yeAccident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事故类型编码（参照附录中事故类型）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hazardManageName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一类危险源名称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yeMhazardDesc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manageMeasure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管控措施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docSource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管控标准来源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yeCaseNum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sectionName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章节条款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yeHazardCate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风险类别编码（参照附录中风险类别）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LECRiskValue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LEC风险值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hiddenLevel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隐患等级编码（参照附录中隐患等级）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yePossiblyHazard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isMajor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是否是重大隐患(1:是;0:否)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dutyPost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唯一编号推荐使用UUID长度32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damageType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伤害类别编码（参照附录中伤害类别）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返回结果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1703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返回状态码（参照附录响应状态码）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</w:tr>
    </w:tbl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专项风险辨识上报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上报专项风险辨识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http://localhost:8099/risk/specialEvaluateReport.do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mineCode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矿井编码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reportContent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年度辨识报文体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reportContent内容格式: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evalType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专项辨识类型（参照附录）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leader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专项辨识负责人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leaderType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辨识人类型（参照附录）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专项辨识名称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风险辨识结论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evalTime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辨识时间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participants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辨识参加人员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riskdatas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辨识结果</w:t>
            </w:r>
          </w:p>
        </w:tc>
      </w:tr>
    </w:tbl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riskdatas内容格式: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7"/>
        <w:gridCol w:w="1161"/>
        <w:gridCol w:w="1704"/>
        <w:gridCol w:w="3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1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riskValue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风险值（对应风险矩阵）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yeStandard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yeRecognizeTime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辨识时间（格式：yyyy-MM-dd或yyyy-MM-dd HH:mm:ss）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yeRiskGrade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yeProfession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专业类型编码（参照附录中专业类型）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yeAccident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事故类型编码（参照附录中事故类型）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hazardManageName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一类危险源名称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yeMhazardDesc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manageMeasure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管控措施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docSource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管控标准来源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yeCaseNum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sectionName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章节条款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yeHazardCate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风险类别编码（参照附录中风险类别）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LECRiskValue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LEC风险值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hiddenLevel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隐患等级编码（参照附录中隐患等级）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yePossiblyHazard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isMajor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是否是重大隐患(1:是;0:否)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dutyPost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唯一编号推荐使用UUID长度32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2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damageType</w:t>
            </w:r>
          </w:p>
        </w:tc>
        <w:tc>
          <w:tcPr>
            <w:tcW w:w="1161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伤害类别编码（参照附录中伤害类别）</w:t>
            </w:r>
          </w:p>
        </w:tc>
      </w:tr>
    </w:tbl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返回结果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47"/>
        <w:gridCol w:w="1703"/>
        <w:gridCol w:w="3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47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1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返回状态码（参照附录响应状态码）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147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70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1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</w:t>
            </w: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日常隐患上报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上报日常隐患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http://localhost:8099/hidden/hiddenDangerReport.do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mineCode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矿井编码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reportContent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日常隐患报文体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reportContent内容格式: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hdbiRectPeriod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hdbiRectUnit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hdbiHdMajor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专业类型（参照附录）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hdbiClStatus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处理状态（参照附录）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hdbiReviewTime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hdbiHdLevel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隐患等级（参照附录）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hdbiHdLocation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hdbiReviewer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hdbiRectMeasures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hdbiRectTagartDt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hdbiDesc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hdbiReviewReport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hdbiInveDate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hdbiRectMan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hdbiHdCate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隐患类别（参照附录）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histInfo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隐患处理历史</w:t>
            </w:r>
          </w:p>
        </w:tc>
      </w:tr>
    </w:tbl>
    <w:p/>
    <w:p/>
    <w:p>
      <w:pP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/>
          <w:vertAlign w:val="baseline"/>
          <w:lang w:val="en-US" w:eastAsia="zh-CN"/>
        </w:rPr>
        <w:t>histInfo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内容格式: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hdhDealDesc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隐患处理描述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hdhDealUserName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hdhDealStep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处理步骤（参照附录）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hdhDealTime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</w:tbl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重大隐患上报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上报重大隐患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HTTP请求方式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3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GET/POST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dashed" w:color="999999" w:sz="6" w:space="0"/>
          <w:left w:val="dashed" w:color="999999" w:sz="6" w:space="7"/>
          <w:bottom w:val="dashed" w:color="999999" w:sz="6" w:space="0"/>
          <w:right w:val="dashed" w:color="999999" w:sz="6" w:space="0"/>
        </w:pBdr>
        <w:shd w:val="clear" w:fill="FAFAFA"/>
        <w:spacing w:before="150" w:beforeAutospacing="0" w:after="150" w:afterAutospacing="0" w:line="360" w:lineRule="atLeast"/>
        <w:ind w:left="450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AFAFA"/>
          <w:lang w:val="en-US" w:eastAsia="zh-CN" w:bidi="ar"/>
        </w:rPr>
        <w:t>http://localhost:8099/hidden/majorHiddenDangerReport.do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请求参数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mineCode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矿井编码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reportContent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日常隐患报文体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60" w:lineRule="atLeast"/>
        <w:ind w:left="0" w:right="0" w:firstLine="0"/>
        <w:jc w:val="both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reportContent内容格式: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hdbiAccepReport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hdbiReviewTime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hdbiHdLevel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hdbiHdLocation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hdbiReviewer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hdbiAcceptor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hdbiCancelDate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hdbiInveDate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hdbiAccepTime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hdbiVerifyDate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hdbiRectPeriod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整改时限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hdbiHdInfoSource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隐患信息来源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hdbiHdMajor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hdbiClStatus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闭环管理状态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hdbiRectMeasures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hdbiRectTagartDt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hdbiDesc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隐患描述内容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hdbiReviewReport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hdbiVerifyMan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核查人员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hdbiRectMan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hdbiHdCate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histInfo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隐患处理历史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fiveInfo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五落实情况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rectReport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JsonArray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整改进度汇报</w:t>
            </w:r>
          </w:p>
        </w:tc>
      </w:tr>
    </w:tbl>
    <w:p/>
    <w:p/>
    <w:p/>
    <w:p>
      <w:pP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/>
          <w:vertAlign w:val="baseline"/>
          <w:lang w:val="en-US" w:eastAsia="zh-CN"/>
        </w:rPr>
        <w:t>histInfo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内容格式: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hdhDealDesc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隐患处理描述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hdhDealUserName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hdhDealStep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处理步骤（参照附录）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hdhDealTime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</w:tbl>
    <w:p/>
    <w:p/>
    <w:p>
      <w:pP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/>
          <w:vertAlign w:val="baseline"/>
          <w:lang w:val="en-US" w:eastAsia="zh-CN"/>
        </w:rPr>
        <w:t>fiveInfo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内容格式: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mhdGovePlan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纳入治理计划情况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mhdMeasureAchDate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治理措施到位日期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mhdRespAch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整改责任到位说明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mhdFundAchDate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整改资金到位日期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mhdIsGoalAchieve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整改目标是否到位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mhdGoalAchDate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整改目标到位日期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mhdFundAch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整改资金到位情况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mhdGovePlanDate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纳入治理计划日期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mhdIsFundAchieve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整改资金是否到位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mhdIsPlanAchieve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整改预案是否到位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mhdMeasureAch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治理措施到位情况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mhdPlanAchDate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整改预案到位日期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mhdIsMeasureAchieve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治理措施是否到位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mhdRespAchDate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整改责任到位日期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mhdIsRespAchieve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整改责任是否到位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mhdPlanAch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整改预案到位情况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mhdIsGovePlanAchieve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纳入治理计划情况是否到位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mhdGoalAch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整改目标到位情况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备注：是否到位：1：到位   0：未到位</w:t>
      </w:r>
    </w:p>
    <w:p/>
    <w:p>
      <w:pP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/>
          <w:vertAlign w:val="baseline"/>
          <w:lang w:val="en-US" w:eastAsia="zh-CN"/>
        </w:rPr>
        <w:t>rectReport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内容格式:</w:t>
      </w:r>
    </w:p>
    <w:tbl>
      <w:tblPr>
        <w:tblStyle w:val="6"/>
        <w:tblW w:w="8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168"/>
        <w:gridCol w:w="1702"/>
        <w:gridCol w:w="3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68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730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rppReportPerson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rppReportDate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rppReportDesc</w:t>
            </w:r>
          </w:p>
        </w:tc>
        <w:tc>
          <w:tcPr>
            <w:tcW w:w="1168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730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汇报进展</w:t>
            </w:r>
          </w:p>
        </w:tc>
      </w:tr>
    </w:tbl>
    <w:p/>
    <w:p/>
    <w:p/>
    <w:p/>
    <w:p/>
    <w:p>
      <w:pPr>
        <w:pStyle w:val="3"/>
        <w:rPr>
          <w:rFonts w:hint="eastAsia"/>
          <w:szCs w:val="22"/>
          <w:lang w:val="en-US" w:eastAsia="zh-CN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附录：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处理步骤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2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4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待整改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待复查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闭环结束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隐患类别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2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4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资质证照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安全生产管理机构及人员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安全规章制度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安全培训教育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安全投入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相关方面管理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重大危险源管理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个体防护装备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职业健康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应急管理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隐患排查治理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事故报告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调查和处理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其他基础管理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作业场所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设备设施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防护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保险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信号等装置装备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原辅物料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产品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职业病危害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相关方作业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安全技能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个体防护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作业许可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其他现场管理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处理状态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2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4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待整改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待复查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闭环结束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辨识人类型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2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4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矿长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kz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分管副矿长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fgfkz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总工程师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zgcs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安监处长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ajcz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专业科室负责人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zyksfzr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区队负责人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qdfzr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其他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other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专项辨识类型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2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4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新工作面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xgzm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工艺设备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gysb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停复工及新技术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tfgjxjs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高危作业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gwzy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事故后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sgh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专业类型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2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4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采煤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掘进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机电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通风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事故类型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2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4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顶板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瓦斯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机电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运输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放炮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水害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火灾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风险类别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2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4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隐患等级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2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4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重大隐患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一般隐患A级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一般隐患B级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一般隐患C级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伤害类别：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2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4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物体打击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车辆伤害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机械伤害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起重伤害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触电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淹溺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灼烫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火灾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高处坠落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坍塌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冒顶片帮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透水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放炮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瓦斯爆炸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火药爆炸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锅炉爆炸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容器爆炸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其他爆炸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中毒和窒息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其他伤害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返回状态</w:t>
      </w:r>
    </w:p>
    <w:tbl>
      <w:tblPr>
        <w:tblStyle w:val="6"/>
        <w:tblW w:w="8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2"/>
        <w:gridCol w:w="4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413" w:type="dxa"/>
            <w:shd w:val="clear" w:color="auto" w:fill="4F81BD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数据已同步, 无需再次同步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token校验失败，非法请求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412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413" w:type="dxa"/>
            <w:shd w:val="clear" w:color="auto" w:fill="B8CCE4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服务器内部错误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nkGothic Md BT">
    <w:panose1 w:val="020B0807020203060204"/>
    <w:charset w:val="00"/>
    <w:family w:val="auto"/>
    <w:pitch w:val="default"/>
    <w:sig w:usb0="00000000" w:usb1="00000000" w:usb2="00000000" w:usb3="00000000" w:csb0="0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mmercialPi BT">
    <w:panose1 w:val="05020102010206080802"/>
    <w:charset w:val="00"/>
    <w:family w:val="auto"/>
    <w:pitch w:val="default"/>
    <w:sig w:usb0="00000000" w:usb1="00000000" w:usb2="00000000" w:usb3="00000000" w:csb0="00000000" w:csb1="00000000"/>
  </w:font>
  <w:font w:name="CommercialScript BT">
    <w:panose1 w:val="03030803040807090C04"/>
    <w:charset w:val="00"/>
    <w:family w:val="auto"/>
    <w:pitch w:val="default"/>
    <w:sig w:usb0="00000000" w:usb1="00000000" w:usb2="00000000" w:usb3="00000000" w:csb0="00000000" w:csb1="00000000"/>
  </w:font>
  <w:font w:name="Complex">
    <w:panose1 w:val="00000400000000000000"/>
    <w:charset w:val="00"/>
    <w:family w:val="auto"/>
    <w:pitch w:val="default"/>
    <w:sig w:usb0="00000287" w:usb1="00001800" w:usb2="00000000" w:usb3="00000000" w:csb0="0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@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30ED8"/>
    <w:rsid w:val="01357F6E"/>
    <w:rsid w:val="01A15918"/>
    <w:rsid w:val="03EA79A0"/>
    <w:rsid w:val="04280100"/>
    <w:rsid w:val="04F84D1C"/>
    <w:rsid w:val="08ED4D75"/>
    <w:rsid w:val="091F187F"/>
    <w:rsid w:val="0D1A78B2"/>
    <w:rsid w:val="0F1731E7"/>
    <w:rsid w:val="12921FE7"/>
    <w:rsid w:val="13CD5451"/>
    <w:rsid w:val="140247A1"/>
    <w:rsid w:val="144F3ADD"/>
    <w:rsid w:val="172C79ED"/>
    <w:rsid w:val="184262DE"/>
    <w:rsid w:val="1C2A348C"/>
    <w:rsid w:val="1D40465D"/>
    <w:rsid w:val="1D704BB5"/>
    <w:rsid w:val="1F4B399A"/>
    <w:rsid w:val="1FC0447B"/>
    <w:rsid w:val="25121DFE"/>
    <w:rsid w:val="26A96CAF"/>
    <w:rsid w:val="27AD6411"/>
    <w:rsid w:val="295460D7"/>
    <w:rsid w:val="2A2D36B3"/>
    <w:rsid w:val="2ECF5A44"/>
    <w:rsid w:val="35494909"/>
    <w:rsid w:val="383C6532"/>
    <w:rsid w:val="38EB5564"/>
    <w:rsid w:val="3C4C53FD"/>
    <w:rsid w:val="3CF52D40"/>
    <w:rsid w:val="3D015960"/>
    <w:rsid w:val="3D3046AB"/>
    <w:rsid w:val="3DFE1A2A"/>
    <w:rsid w:val="3FCF336B"/>
    <w:rsid w:val="40187C02"/>
    <w:rsid w:val="418E556E"/>
    <w:rsid w:val="43617A0E"/>
    <w:rsid w:val="45B75EFD"/>
    <w:rsid w:val="461B6B7F"/>
    <w:rsid w:val="469831E6"/>
    <w:rsid w:val="46DF28BF"/>
    <w:rsid w:val="49EA1814"/>
    <w:rsid w:val="4CD25050"/>
    <w:rsid w:val="4EBC3612"/>
    <w:rsid w:val="4EF31B63"/>
    <w:rsid w:val="51A04081"/>
    <w:rsid w:val="525653DE"/>
    <w:rsid w:val="57BA63AD"/>
    <w:rsid w:val="58C62C2D"/>
    <w:rsid w:val="58E30ED8"/>
    <w:rsid w:val="5CF57DA2"/>
    <w:rsid w:val="5ED0274A"/>
    <w:rsid w:val="63CD3E11"/>
    <w:rsid w:val="641B2CC0"/>
    <w:rsid w:val="64E448B7"/>
    <w:rsid w:val="67EE073C"/>
    <w:rsid w:val="68C3431C"/>
    <w:rsid w:val="69D813DC"/>
    <w:rsid w:val="6BF3651E"/>
    <w:rsid w:val="6DAA2EE1"/>
    <w:rsid w:val="73FF6A79"/>
    <w:rsid w:val="74B37CF2"/>
    <w:rsid w:val="74DB5095"/>
    <w:rsid w:val="779B0E81"/>
    <w:rsid w:val="784F3673"/>
    <w:rsid w:val="79C269E7"/>
    <w:rsid w:val="7D2865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2017-09-21T12:27:00Z</dcterms:created>
  <dc:creator>Administrator</dc:creator>
  <cp:lastModifiedBy>Administrator</cp:lastModifiedBy>
  <dcterms:modified xsi:type="dcterms:W3CDTF">2017-09-26T06:55:56Z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