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2332990</wp:posOffset>
            </wp:positionH>
            <wp:positionV relativeFrom="page">
              <wp:posOffset>288290</wp:posOffset>
            </wp:positionV>
            <wp:extent cx="5443220" cy="65520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65520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3822700</wp:posOffset>
            </wp:positionV>
            <wp:extent cx="381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2639"/>
        <w:gridCol w:w="2639"/>
        <w:gridCol w:w="2639"/>
        <w:gridCol w:w="2639"/>
      </w:tblGrid>
      <w:tr>
        <w:trPr>
          <w:trHeight w:hRule="exact" w:val="748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206" w:after="0"/>
              <w:ind w:left="0" w:right="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７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206" w:after="0"/>
              <w:ind w:left="1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６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６</w:t>
            </w:r>
          </w:p>
        </w:tc>
        <w:tc>
          <w:tcPr>
            <w:tcW w:type="dxa" w:w="5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52" w:after="0"/>
              <w:ind w:left="1584" w:right="1008" w:firstLine="0"/>
              <w:jc w:val="center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施工技术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（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中英文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）</w:t>
            </w:r>
            <w:r>
              <w:br/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ＣＯＮＳＴＲＵＣＴＩＯＮＴＥＣＨＮＯＬＯＧＹ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152" w:after="0"/>
              <w:ind w:left="1152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２０２２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年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６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月</w:t>
            </w:r>
            <w:r>
              <w:br/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第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５１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卷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增刊</w:t>
            </w:r>
          </w:p>
        </w:tc>
      </w:tr>
    </w:tbl>
    <w:p>
      <w:pPr>
        <w:autoSpaceDN w:val="0"/>
        <w:autoSpaceDE w:val="0"/>
        <w:widowControl/>
        <w:spacing w:line="488" w:lineRule="exact" w:before="542" w:after="0"/>
        <w:ind w:left="1116" w:right="0" w:firstLine="0"/>
        <w:jc w:val="left"/>
      </w:pPr>
      <w:r>
        <w:rPr>
          <w:rFonts w:ascii="FZKTK" w:hAnsi="FZKTK" w:eastAsia="FZKTK"/>
          <w:b w:val="0"/>
          <w:i w:val="0"/>
          <w:color w:val="000000"/>
          <w:sz w:val="42"/>
        </w:rPr>
        <w:t>城市复杂环境条件下盾构施工风险识别及应对措施</w:t>
      </w:r>
    </w:p>
    <w:p>
      <w:pPr>
        <w:autoSpaceDN w:val="0"/>
        <w:autoSpaceDE w:val="0"/>
        <w:widowControl/>
        <w:spacing w:line="414" w:lineRule="exact" w:before="212" w:after="0"/>
        <w:ind w:left="0" w:right="3642" w:firstLine="0"/>
        <w:jc w:val="right"/>
      </w:pPr>
      <w:r>
        <w:rPr>
          <w:w w:val="101.8146743774414"/>
          <w:rFonts w:ascii="FZFSK" w:hAnsi="FZFSK" w:eastAsia="FZFSK"/>
          <w:b w:val="0"/>
          <w:i w:val="0"/>
          <w:color w:val="000000"/>
          <w:sz w:val="25"/>
        </w:rPr>
        <w:t>丁</w:t>
      </w:r>
      <w:r>
        <w:rPr>
          <w:w w:val="101.8146743774414"/>
          <w:rFonts w:ascii="FZFSK" w:hAnsi="FZFSK" w:eastAsia="FZFSK"/>
          <w:b w:val="0"/>
          <w:i w:val="0"/>
          <w:color w:val="000000"/>
          <w:sz w:val="25"/>
        </w:rPr>
        <w:t>菲</w:t>
      </w:r>
      <w:r>
        <w:rPr>
          <w:w w:val="101.8146743774414"/>
          <w:rFonts w:ascii="E" w:hAnsi="E" w:eastAsia="E"/>
          <w:b w:val="0"/>
          <w:i w:val="0"/>
          <w:color w:val="000000"/>
          <w:sz w:val="25"/>
        </w:rPr>
        <w:t>，</w:t>
      </w:r>
      <w:r>
        <w:rPr>
          <w:w w:val="101.8146743774414"/>
          <w:rFonts w:ascii="FZFSK" w:hAnsi="FZFSK" w:eastAsia="FZFSK"/>
          <w:b w:val="0"/>
          <w:i w:val="0"/>
          <w:color w:val="000000"/>
          <w:sz w:val="25"/>
        </w:rPr>
        <w:t>申国奎</w:t>
      </w:r>
      <w:r>
        <w:rPr>
          <w:w w:val="101.8146743774414"/>
          <w:rFonts w:ascii="E" w:hAnsi="E" w:eastAsia="E"/>
          <w:b w:val="0"/>
          <w:i w:val="0"/>
          <w:color w:val="000000"/>
          <w:sz w:val="25"/>
        </w:rPr>
        <w:t>，</w:t>
      </w:r>
      <w:r>
        <w:rPr>
          <w:w w:val="101.8146743774414"/>
          <w:rFonts w:ascii="FZFSK" w:hAnsi="FZFSK" w:eastAsia="FZFSK"/>
          <w:b w:val="0"/>
          <w:i w:val="0"/>
          <w:color w:val="000000"/>
          <w:sz w:val="25"/>
        </w:rPr>
        <w:t>吴</w:t>
      </w:r>
      <w:r>
        <w:rPr>
          <w:w w:val="101.8146743774414"/>
          <w:rFonts w:ascii="FZFSK" w:hAnsi="FZFSK" w:eastAsia="FZFSK"/>
          <w:b w:val="0"/>
          <w:i w:val="0"/>
          <w:color w:val="000000"/>
          <w:sz w:val="25"/>
        </w:rPr>
        <w:t>杰</w:t>
      </w:r>
    </w:p>
    <w:p>
      <w:pPr>
        <w:autoSpaceDN w:val="0"/>
        <w:autoSpaceDE w:val="0"/>
        <w:widowControl/>
        <w:spacing w:line="418" w:lineRule="exact" w:before="0" w:after="0"/>
        <w:ind w:left="0" w:right="2986" w:firstLine="0"/>
        <w:jc w:val="righ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中国建筑一局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集团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有限公司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FSK" w:hAnsi="FZFSK" w:eastAsia="FZFSK"/>
          <w:b w:val="0"/>
          <w:i w:val="0"/>
          <w:color w:val="000000"/>
          <w:sz w:val="18"/>
        </w:rPr>
        <w:t>北京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 １００１６１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</w:t>
      </w:r>
    </w:p>
    <w:p>
      <w:pPr>
        <w:autoSpaceDN w:val="0"/>
        <w:autoSpaceDE w:val="0"/>
        <w:widowControl/>
        <w:spacing w:line="286" w:lineRule="exact" w:before="368" w:after="0"/>
        <w:ind w:left="1318" w:right="444" w:firstLine="0"/>
        <w:jc w:val="both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［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摘要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］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近年来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我国城市轨道交通发展迅速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盾构隧道施工均取得了一定的施工经验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基本能够安全穿越一般的风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险源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然而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盾构连续穿越重大风险源的研究还很少见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也是目前的一个研究热点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本文以深圳某地铁项目盾构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施工为例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，７３５ｍ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盾构施工中需要连续正穿或侧穿各类风险源共计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８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项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通过采取一系列的质量安全应对措施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减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少对地层的扰动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最终盾构安全通过且各项指标均优于控制标准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，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为类似工况的盾构施工提供了借鉴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。</w:t>
      </w:r>
    </w:p>
    <w:p>
      <w:pPr>
        <w:autoSpaceDN w:val="0"/>
        <w:autoSpaceDE w:val="0"/>
        <w:widowControl/>
        <w:spacing w:line="284" w:lineRule="exact" w:before="134" w:after="0"/>
        <w:ind w:left="1318" w:right="1728" w:firstLine="0"/>
        <w:jc w:val="left"/>
      </w:pP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［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关键词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］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盾构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连续穿越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风险识别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复杂环境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；</w:t>
      </w:r>
      <w:r>
        <w:rPr>
          <w:w w:val="98.1111102634006"/>
          <w:rFonts w:ascii="FZSSK" w:hAnsi="FZSSK" w:eastAsia="FZSSK"/>
          <w:b w:val="0"/>
          <w:i w:val="0"/>
          <w:color w:val="000000"/>
          <w:sz w:val="18"/>
        </w:rPr>
        <w:t>应对措施</w:t>
      </w:r>
      <w:r>
        <w:br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［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中图分类号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Ｕ４５５   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［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文献标识码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Ａ    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［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文章编号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］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２０９７⁃０８９７（２０２２）Ｓ１⁃０７６６⁃０３</w:t>
      </w:r>
    </w:p>
    <w:p>
      <w:pPr>
        <w:autoSpaceDN w:val="0"/>
        <w:autoSpaceDE w:val="0"/>
        <w:widowControl/>
        <w:spacing w:line="426" w:lineRule="exact" w:before="0" w:after="0"/>
        <w:ind w:left="1856" w:right="0" w:firstLine="0"/>
        <w:jc w:val="left"/>
      </w:pPr>
      <w:r>
        <w:rPr>
          <w:w w:val="101.34814933494285"/>
          <w:rFonts w:ascii="E" w:hAnsi="E" w:eastAsia="E"/>
          <w:b w:val="0"/>
          <w:i w:val="0"/>
          <w:color w:val="000000"/>
          <w:sz w:val="27"/>
        </w:rPr>
        <w:t>ＰｒｏｃｅｓｓｉｎｇＴｅｃｈｎｏｌｏｇｙｏｆＳｈｉｅｌｄＴｕｎｎｅｌｉｎｇＣｒｏｓｓｉｎｇＬａｒｇｅ⁃ｓｃａｌｅ</w:t>
      </w:r>
    </w:p>
    <w:p>
      <w:pPr>
        <w:autoSpaceDN w:val="0"/>
        <w:autoSpaceDE w:val="0"/>
        <w:widowControl/>
        <w:spacing w:line="424" w:lineRule="exact" w:before="0" w:after="0"/>
        <w:ind w:left="0" w:right="2768" w:firstLine="0"/>
        <w:jc w:val="right"/>
      </w:pPr>
      <w:r>
        <w:rPr>
          <w:w w:val="101.34814933494285"/>
          <w:rFonts w:ascii="E" w:hAnsi="E" w:eastAsia="E"/>
          <w:b w:val="0"/>
          <w:i w:val="0"/>
          <w:color w:val="000000"/>
          <w:sz w:val="27"/>
        </w:rPr>
        <w:t>ＡｎｃｈｏｒＣａｂｌｅＧｒｏｕｐＣｏｎｓｔｒｕｃｔｉｏｎ</w:t>
      </w:r>
    </w:p>
    <w:p>
      <w:pPr>
        <w:autoSpaceDN w:val="0"/>
        <w:tabs>
          <w:tab w:pos="2540" w:val="left"/>
          <w:tab w:pos="4186" w:val="left"/>
        </w:tabs>
        <w:autoSpaceDE w:val="0"/>
        <w:widowControl/>
        <w:spacing w:line="292" w:lineRule="exact" w:before="308" w:after="166"/>
        <w:ind w:left="1318" w:right="432" w:firstLine="0"/>
        <w:jc w:val="left"/>
      </w:pPr>
      <w:r>
        <w:tab/>
      </w:r>
      <w:r>
        <w:tab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ＤＩＮＧＦｅｉ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ＳＨＥＮＧｕｏｋｕｉ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，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ＷＵＪｉｅ</w:t>
      </w:r>
      <w:r>
        <w:br/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ＣｈｉｎａＣｏｎｓｔｒｕｃｔｉｏｎＦｉｒｓｔＥｎｇｉｎｅｅｒｉｎｇ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（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Ｇｒｏｕｐ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Ｃｏ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􀆰，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Ｌｔｄ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􀆰，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Ｂｅｉｊｉｎｇ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 １００１６１，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Ｃｈｉｎａ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）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Ａｂｓｔｒａｃｔ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Ｉｎｒｅｃｅｎｔｙｅａｒｓ，Ｃｈｉｎａ’ｓｕｒｂａｎｒａｉｌｔｒａｎｓｉｔｈａｓｄｅｖｅｌｏｐｅｄｒａｐｉｄｌｙ􀆰Ｓｈｉｅｌｄｔｕｎｎｅｌｃｏｎｓｔｒｕｃｔｉｏｎｈａｓｏｂｔａｉｎｅｄｃｅｒ⁃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ｔａｉｎｃｏｎｓｔｒｕｃｔｉｏｎｅｘｐｅｒｉｅｎｃｅ，ａｎｄｃａｎｂａｓｉｃａｌｌｙｓａｆｅｌｙｐａｓｓｔｈｒｏｕｇｈｇｅｎｅｒａｌｒｉｓｋｓｏｕｒｃｅｓ􀆰Ｈｏｗｅｖｅｒ，ｔｈｅｒｅｓｅａｒｃｈｏｎｓｈｉｅｌ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ｃｏｎｔｉｎｕｏｕｓｃｒｏｓｓｉｎｇｍａｊｏｒｒｉｓｋｓｏｕｒｃｅｓｉｓｓｔｉｌｌｒａｒｅ，ａｎｄｉｔｉｓａｌｓｏａｒｅｓｅａｒｃｈｈｏｔｓｐｏｔａｔｐｒｅｓｅｎｔ􀆰Ｔｈｉｓｐａｐｅｒｔａｋｅｓｔｈｅｓｈｉｅｌｄ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ｃｏｎｓｔｒｕｃｔｉｏｎｏｆａｓｕｂｗａｙｐｒｏｊｅｃｔｉｎＳｈｅｎｚｈｅｎａｓａｎｅｘａｍｐｌｅ，ａｔｏｔａｌｏｆ８ｒｉｓｋｓｏｕｒｃｅｓｏｆｃｏｎｔｉｎｕｏｕｓｆｏｒｗａｒｄｏｒｓｉｄｅｃｒｏｓｓｉｎｇ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ａｒｅｒｅｑｕｉｒｅｄｉｎ７３５ｍｓｈｉｅｌｄｃｏｎｓｔｒｕｃｔｉｏｎ􀆰Ｂｙｔａｋｉｎｇａｓｅｒｉｅｓｏｆｑｕａｌｉｔｙａｎｄｓａｆｅｔｙｃｏｕｎｔｅｒｍｅａｓｕｒｅｓｔｏｒｅｄｕｃｅｔｈｅｄｉｓｔｕｒｂａｎｃｅ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ｔｏｔｈｅｓｔｒａｔｕｍ，ｔｈｅｓｈｉｅｌｄｓａｆｅｔｙｐａｓｓｅｓａｎｄａｌｌｉｎｄｉｃａｔｏｒｓａｒｅｂｅｔｔｅｒｔｈａｎｔｈｅｃｏｎｔｒｏｌｓｔａｎｄａｒｄ，ｗｈｉｃｈｐｒｏｖｉｄｅｓａｒｅｆｅｒｅｎｃｅｆｏｒ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ｓｈｉｅｌｄｃｏｎｓｔｒｕｃｔｉｏｎｕｎｄｅｒｓｉｍｉｌａｒｗｏｒｋｉｎｇｃｏｎｄｉｔｉｏｎｓ􀆰</w:t>
      </w:r>
      <w:r>
        <w:br/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Ｋｅｙｗｏｒｄｓ</w:t>
      </w:r>
      <w:r>
        <w:rPr>
          <w:w w:val="97.96190715971447"/>
          <w:rFonts w:ascii="E" w:hAnsi="E" w:eastAsia="E"/>
          <w:b w:val="0"/>
          <w:i w:val="0"/>
          <w:color w:val="000000"/>
          <w:sz w:val="21"/>
        </w:rPr>
        <w:t>：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ｓｈｉｅｌｄ；ｃｏｎｔｉｎｕｏｕｓｃｒｏｓｓｉｎｇ；ｒｉｓｋｉｄｅｎｔｉｆｉｃａｔｉｏｎ；ｃｏｍｐｌｅｘｅｎｖｉｒｏｎｍｅｎｔ；ｃｏｕｎｔｅｒｍｅａｓｕｒｅｓ</w:t>
      </w:r>
    </w:p>
    <w:p>
      <w:pPr>
        <w:sectPr>
          <w:pgSz w:w="12246" w:h="17178"/>
          <w:pgMar w:top="470" w:right="128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2" w:lineRule="exact" w:before="0" w:after="0"/>
        <w:ind w:left="894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０ </w:t>
      </w:r>
      <w:r>
        <w:rPr>
          <w:w w:val="102.14737340023643"/>
          <w:rFonts w:ascii="FZHTK" w:hAnsi="FZHTK" w:eastAsia="FZHTK"/>
          <w:b w:val="0"/>
          <w:i w:val="0"/>
          <w:color w:val="000000"/>
          <w:sz w:val="19"/>
        </w:rPr>
        <w:t>引言</w:t>
      </w:r>
    </w:p>
    <w:p>
      <w:pPr>
        <w:autoSpaceDN w:val="0"/>
        <w:autoSpaceDE w:val="0"/>
        <w:widowControl/>
        <w:spacing w:line="304" w:lineRule="exact" w:before="156" w:after="0"/>
        <w:ind w:left="898" w:right="212" w:firstLine="40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随着地铁项目如火如荼的开工建设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在盾构法地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铁隧道施工中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盾构机下穿建筑物的工程己经十分常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以北京为代表的砂卵石地层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以上海为代表的淤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泥质地层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以广州为代表的复合地层和以深圳为代表</w:t>
      </w:r>
    </w:p>
    <w:p>
      <w:pPr>
        <w:autoSpaceDN w:val="0"/>
        <w:autoSpaceDE w:val="0"/>
        <w:widowControl/>
        <w:spacing w:line="216" w:lineRule="exact" w:before="0" w:after="0"/>
        <w:ind w:left="898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的岩石地层盾构隧道穿越施工均取得了一定的施工经</w:t>
      </w:r>
    </w:p>
    <w:p>
      <w:pPr>
        <w:autoSpaceDN w:val="0"/>
        <w:autoSpaceDE w:val="0"/>
        <w:widowControl/>
        <w:spacing w:line="358" w:lineRule="exact" w:before="0" w:after="0"/>
        <w:ind w:left="898" w:right="212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验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［１］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然而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盾构连续穿越重大风险源的研究还很少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。２０１８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年以来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全国各地地铁施工接连出现重大安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全质量事故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基本上都与盾构穿越风险源有关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6" w:lineRule="exact" w:before="152" w:after="0"/>
        <w:ind w:left="898" w:right="208" w:firstLine="40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本文以深圳某地铁项目工程为依托背景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该工程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在短距离的盾构区间中存在复杂的环境条件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识别复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杂环境条件下的风险因素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并采用技术措施控制和保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证施工质量及安全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通过监测数据反馈质量控制情况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16" w:lineRule="exact" w:before="0" w:after="0"/>
        <w:ind w:left="898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合理的安全质量控制措施为深圳地铁以及今后遇到类</w:t>
      </w:r>
    </w:p>
    <w:p>
      <w:pPr>
        <w:autoSpaceDN w:val="0"/>
        <w:autoSpaceDE w:val="0"/>
        <w:widowControl/>
        <w:spacing w:line="162" w:lineRule="exact" w:before="300" w:after="0"/>
        <w:ind w:left="894" w:right="2880" w:firstLine="4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似工程具有指导意义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br/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１ </w:t>
      </w:r>
      <w:r>
        <w:rPr>
          <w:w w:val="102.14737340023643"/>
          <w:rFonts w:ascii="FZHTK" w:hAnsi="FZHTK" w:eastAsia="FZHTK"/>
          <w:b w:val="0"/>
          <w:i w:val="0"/>
          <w:color w:val="000000"/>
          <w:sz w:val="19"/>
        </w:rPr>
        <w:t>工程概况</w:t>
      </w:r>
    </w:p>
    <w:p>
      <w:pPr>
        <w:autoSpaceDN w:val="0"/>
        <w:autoSpaceDE w:val="0"/>
        <w:widowControl/>
        <w:spacing w:line="302" w:lineRule="exact" w:before="2" w:after="0"/>
        <w:ind w:left="894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１􀆰１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设计情况</w:t>
      </w:r>
    </w:p>
    <w:p>
      <w:pPr>
        <w:autoSpaceDN w:val="0"/>
        <w:autoSpaceDE w:val="0"/>
        <w:widowControl/>
        <w:spacing w:line="200" w:lineRule="exact" w:before="596" w:after="0"/>
        <w:ind w:left="898" w:right="288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</w:t>
      </w: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作者简介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］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丁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菲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硕士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工程师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，Ｅ⁃ｍａｉｌ：１３８１０４３０８６６＠１６３􀆰ｃｏｍ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</w:t>
      </w:r>
      <w:r>
        <w:rPr>
          <w:w w:val="97.03750014305115"/>
          <w:rFonts w:ascii="FZHTK" w:hAnsi="FZHTK" w:eastAsia="FZHTK"/>
          <w:b w:val="0"/>
          <w:i w:val="0"/>
          <w:color w:val="000000"/>
          <w:sz w:val="16"/>
        </w:rPr>
        <w:t>收稿日期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］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２０２２⁃０３⁃２５</w:t>
      </w:r>
    </w:p>
    <w:p>
      <w:pPr>
        <w:sectPr>
          <w:type w:val="continuous"/>
          <w:pgSz w:w="12246" w:h="17178"/>
          <w:pgMar w:top="470" w:right="1288" w:bottom="168" w:left="400" w:header="720" w:footer="720" w:gutter="0"/>
          <w:cols w:num="2" w:equalWidth="0">
            <w:col w:w="5714" w:space="0"/>
            <w:col w:w="4844" w:space="0"/>
          </w:cols>
          <w:docGrid w:linePitch="360"/>
        </w:sectPr>
      </w:pPr>
    </w:p>
    <w:p>
      <w:pPr>
        <w:autoSpaceDN w:val="0"/>
        <w:autoSpaceDE w:val="0"/>
        <w:widowControl/>
        <w:spacing w:line="304" w:lineRule="exact" w:before="170" w:after="0"/>
        <w:ind w:left="208" w:right="28" w:firstLine="392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深圳某地铁项目盾构区间左线起止里程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：ＺＣＫ２＋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９１０􀆰４５４～ＺＣＫ３＋６４１􀆰９８０，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长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７３１􀆰５２６ｍ；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右线起止里程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：ＹＣＫ２＋９１０􀆰４５４～ＹＣＫ３＋６４６􀆰０９５，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长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７３５􀆰６４１ｍ。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下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线拟采用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条平行的单洞单线结构形式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线路间距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１２􀆰０～１７􀆰２ｍ。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隧道埋深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１１􀆰１～２２􀆰５ｍ。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线路最大纵坡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２􀆰８％，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最小曲线半径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６００ｍ，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区间在里程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ＹＣＫ３＋３００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处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设置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１＃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联络通道兼废水泵房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区间正线采用盾构法施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联络通道采用矿山法施工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洞身主要位于砾质粘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全风化花岗岩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强风化花岗岩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局部微风化花岗岩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2" w:lineRule="exact" w:before="0" w:after="0"/>
        <w:ind w:left="208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１􀆰２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风险源穿越情况</w:t>
      </w:r>
    </w:p>
    <w:p>
      <w:pPr>
        <w:autoSpaceDN w:val="0"/>
        <w:autoSpaceDE w:val="0"/>
        <w:widowControl/>
        <w:spacing w:line="302" w:lineRule="exact" w:before="158" w:after="0"/>
        <w:ind w:left="208" w:right="24" w:firstLine="398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线路出后海站后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向北敷设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侧穿卓越后海国际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阳光保险总部大厦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（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）、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舜远金融大厦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中国南方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电网大楼后进入滨海大道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区间线路在滨海大道南侧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下穿既有秀丽电力隧道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然后下穿滨海大道向北敷设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下穿垃圾转运站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侧穿深圳市燃气站后沿东北方向拐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入科苑南路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最终进入科苑站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本工程风险源情况如表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所示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2" w:lineRule="exact" w:before="158" w:after="414"/>
        <w:ind w:left="214" w:right="28" w:firstLine="398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在短短的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７００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多米的掘进长度内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盾构施工所处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环境复杂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连续正穿或下穿多个构筑物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且区间地质情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况复杂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水位较高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给施工带来不小的困难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对施工质</w:t>
      </w:r>
    </w:p>
    <w:p>
      <w:pPr>
        <w:sectPr>
          <w:type w:val="nextColumn"/>
          <w:pgSz w:w="12246" w:h="17178"/>
          <w:pgMar w:top="470" w:right="1288" w:bottom="168" w:left="400" w:header="720" w:footer="720" w:gutter="0"/>
          <w:cols w:num="2" w:equalWidth="0">
            <w:col w:w="5714" w:space="0"/>
            <w:col w:w="4844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6" w:h="17178"/>
          <w:pgMar w:top="470" w:right="1288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2349500</wp:posOffset>
            </wp:positionV>
            <wp:extent cx="38100" cy="38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2819400</wp:posOffset>
            </wp:positionV>
            <wp:extent cx="381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6985000</wp:posOffset>
            </wp:positionV>
            <wp:extent cx="381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9309100</wp:posOffset>
            </wp:positionV>
            <wp:extent cx="381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9918700</wp:posOffset>
            </wp:positionV>
            <wp:extent cx="381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6654800</wp:posOffset>
            </wp:positionH>
            <wp:positionV relativeFrom="page">
              <wp:posOffset>9512300</wp:posOffset>
            </wp:positionV>
            <wp:extent cx="381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180340</wp:posOffset>
            </wp:positionV>
            <wp:extent cx="6220460" cy="74875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0460" cy="74875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2641"/>
        <w:gridCol w:w="2641"/>
        <w:gridCol w:w="2641"/>
        <w:gridCol w:w="2641"/>
      </w:tblGrid>
      <w:tr>
        <w:trPr>
          <w:trHeight w:hRule="exact" w:val="480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454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２０２２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增刊</w:t>
            </w:r>
          </w:p>
        </w:tc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1000" w:right="0" w:firstLine="0"/>
              <w:jc w:val="lef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丁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菲等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：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城市复杂环境条件下盾构施工风险识别及应对措施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2" w:after="0"/>
              <w:ind w:left="0" w:right="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７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６</w:t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2" w:after="0"/>
              <w:ind w:left="0" w:right="0" w:firstLine="0"/>
              <w:jc w:val="center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７</w:t>
            </w:r>
          </w:p>
        </w:tc>
      </w:tr>
    </w:tbl>
    <w:p>
      <w:pPr>
        <w:autoSpaceDN w:val="0"/>
        <w:autoSpaceDE w:val="0"/>
        <w:widowControl/>
        <w:spacing w:line="274" w:lineRule="exact" w:before="60" w:after="58"/>
        <w:ind w:left="0" w:right="3522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表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１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工程穿越各类风险源汇总表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0.0" w:type="dxa"/>
      </w:tblPr>
      <w:tblGrid>
        <w:gridCol w:w="2641"/>
        <w:gridCol w:w="2641"/>
        <w:gridCol w:w="2641"/>
        <w:gridCol w:w="2641"/>
      </w:tblGrid>
      <w:tr>
        <w:trPr>
          <w:trHeight w:hRule="exact" w:val="226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2" w:after="0"/>
              <w:ind w:left="0" w:right="102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序号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2" w:after="0"/>
              <w:ind w:left="0" w:right="8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风险因素</w:t>
            </w:r>
          </w:p>
        </w:tc>
        <w:tc>
          <w:tcPr>
            <w:tcW w:type="dxa" w:w="4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4" w:lineRule="exact" w:before="52" w:after="0"/>
              <w:ind w:left="0" w:right="212" w:firstLine="0"/>
              <w:jc w:val="righ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风险等级</w:t>
            </w:r>
          </w:p>
        </w:tc>
      </w:tr>
      <w:tr>
        <w:trPr>
          <w:trHeight w:hRule="exact" w:val="54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22" w:after="0"/>
              <w:ind w:left="0" w:right="224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</w:t>
            </w:r>
          </w:p>
        </w:tc>
        <w:tc>
          <w:tcPr>
            <w:tcW w:type="dxa" w:w="8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exact" w:before="0" w:after="0"/>
              <w:ind w:left="14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穿越卓越后海国际锚索群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区间在里程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ＺＤＫ２＋９１０􀆰４５４—ＺＤＫ２＋９４６􀆰１５１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穿越卓越后海国际大厦基坑锚索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其支护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结构锚索侵入区间左线隧道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。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预应力锚索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５×７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ϕ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５，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长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Ｌ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＝２６ｍ，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影响区间区间段长度为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３６ｍ</w:t>
            </w:r>
          </w:p>
          <w:p>
            <w:pPr>
              <w:autoSpaceDN w:val="0"/>
              <w:autoSpaceDE w:val="0"/>
              <w:widowControl/>
              <w:spacing w:line="184" w:lineRule="exact" w:before="192" w:after="0"/>
              <w:ind w:left="0" w:right="288" w:firstLine="0"/>
              <w:jc w:val="center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穿越舜远金融大厦锚索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区间在里程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ＹＤＫ３＋０２９—ＹＤＫ３＋１１６􀆰６５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隧道侧穿舜远金融大厦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区间与大厦地下室水平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间距最小为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８􀆰２ｍ，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大厦地下室围护结构采用锚索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预应力锚索共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２５５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根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侵入左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、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右线隧道限界内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侵入长度约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８０ｍ</w:t>
            </w:r>
          </w:p>
          <w:p>
            <w:pPr>
              <w:autoSpaceDN w:val="0"/>
              <w:autoSpaceDE w:val="0"/>
              <w:widowControl/>
              <w:spacing w:line="368" w:lineRule="exact" w:before="10" w:after="0"/>
              <w:ind w:left="140" w:right="288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侧穿阳光保险总部大厦基坑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区间在里程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ＺＤＫ３＋０１９􀆰００—ＺＤＫ３＋６４􀆰０００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隧道侧穿阳光保险总部大厦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最小水平间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距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２􀆰１５ｍ。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隧道底部标高为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－１７􀆰５３ｍ，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阳光保险大厦基坑底标高为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－２４􀆰１０ｍ，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围护结构采用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ϕ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１４００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咬合桩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基础采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用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ϕ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１２００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灌注桩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目前正在进行围护结构施工</w:t>
            </w:r>
          </w:p>
          <w:p>
            <w:pPr>
              <w:autoSpaceDN w:val="0"/>
              <w:autoSpaceDE w:val="0"/>
              <w:widowControl/>
              <w:spacing w:line="184" w:lineRule="exact" w:before="192" w:after="0"/>
              <w:ind w:left="140" w:right="288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侧穿中国南方电网大楼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区间在里程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ＺＤＫ３＋０８８􀆰０００—ＺＤＫ３＋１２０􀆰０００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段侧穿中国南方电网大楼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建筑高四层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基础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形式为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１􀆰５ｍ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筏板基础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最小水平间距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１４􀆰９０３ｍ，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竖向距离约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１５ｍ</w:t>
            </w:r>
          </w:p>
          <w:p>
            <w:pPr>
              <w:autoSpaceDN w:val="0"/>
              <w:autoSpaceDE w:val="0"/>
              <w:widowControl/>
              <w:spacing w:line="378" w:lineRule="exact" w:before="0" w:after="0"/>
              <w:ind w:left="14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下穿既有秀丽电力隧道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。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区间左右线隧道在里程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ＹＤＫ３＋１４８􀆰３５０，ＺＤＫ３＋１４５􀆰６７０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下穿既有电力隧道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电力隧道为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圆形钢筋混凝土结构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衬砌厚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３２０ｍｍ，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外径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４１４０ｍｍ，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采用顶管法施工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与区间隧道最小竖向间距为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１􀆰５２６ｍ</w:t>
            </w:r>
          </w:p>
          <w:p>
            <w:pPr>
              <w:autoSpaceDN w:val="0"/>
              <w:autoSpaceDE w:val="0"/>
              <w:widowControl/>
              <w:spacing w:line="378" w:lineRule="exact" w:before="0" w:after="0"/>
              <w:ind w:left="14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隧道在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ＺＤＫ３＋１９３􀆰５００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处下穿滨海科苑立交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右线下穿滨海科苑立交路基段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竖向距离约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２５ｍ</w:t>
            </w:r>
          </w:p>
          <w:p>
            <w:pPr>
              <w:autoSpaceDN w:val="0"/>
              <w:autoSpaceDE w:val="0"/>
              <w:widowControl/>
              <w:spacing w:line="376" w:lineRule="exact" w:before="0" w:after="0"/>
              <w:ind w:left="140" w:right="0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下穿垃圾转运站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。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区间左右线隧道在里程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ＹＤＫ３＋３３５􀆰０００，ＺＤＫ３＋３３４􀆰０００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处下穿既有垃圾转运站</w:t>
            </w:r>
          </w:p>
          <w:p>
            <w:pPr>
              <w:autoSpaceDN w:val="0"/>
              <w:autoSpaceDE w:val="0"/>
              <w:widowControl/>
              <w:spacing w:line="184" w:lineRule="exact" w:before="184" w:after="0"/>
              <w:ind w:left="140" w:right="288" w:firstLine="0"/>
              <w:jc w:val="left"/>
            </w:pP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穿深圳市燃气站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（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滨海调压站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）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及次高压燃气管线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地铁区间侧穿滨海调压站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，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最小水平间距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２５􀆰６３６ｍ。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左线侧穿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ϕ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５００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高压燃气管线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。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竖向距离约</w:t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２０ｍ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22" w:after="0"/>
              <w:ind w:left="9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Ⅱ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级</w:t>
            </w:r>
          </w:p>
        </w:tc>
      </w:tr>
      <w:tr>
        <w:trPr>
          <w:trHeight w:hRule="exact" w:val="52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60" w:after="0"/>
              <w:ind w:left="0" w:right="224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２</w:t>
            </w:r>
          </w:p>
        </w:tc>
        <w:tc>
          <w:tcPr>
            <w:tcW w:type="dxa" w:w="5282"/>
            <w:gridSpan w:val="2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60" w:after="0"/>
              <w:ind w:left="9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Ⅱ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级</w:t>
            </w:r>
          </w:p>
        </w:tc>
      </w:tr>
      <w:tr>
        <w:trPr>
          <w:trHeight w:hRule="exact" w:val="54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96" w:after="0"/>
              <w:ind w:left="0" w:right="224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３</w:t>
            </w:r>
          </w:p>
        </w:tc>
        <w:tc>
          <w:tcPr>
            <w:tcW w:type="dxa" w:w="5282"/>
            <w:gridSpan w:val="2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96" w:after="0"/>
              <w:ind w:left="9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Ⅱ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级</w:t>
            </w:r>
          </w:p>
        </w:tc>
      </w:tr>
      <w:tr>
        <w:trPr>
          <w:trHeight w:hRule="exact" w:val="52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14" w:after="0"/>
              <w:ind w:left="0" w:right="224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４</w:t>
            </w:r>
          </w:p>
        </w:tc>
        <w:tc>
          <w:tcPr>
            <w:tcW w:type="dxa" w:w="5282"/>
            <w:gridSpan w:val="2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114" w:after="0"/>
              <w:ind w:left="9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Ⅲ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级</w:t>
            </w:r>
          </w:p>
        </w:tc>
      </w:tr>
      <w:tr>
        <w:trPr>
          <w:trHeight w:hRule="exact" w:val="42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4" w:after="0"/>
              <w:ind w:left="0" w:right="224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５</w:t>
            </w:r>
          </w:p>
        </w:tc>
        <w:tc>
          <w:tcPr>
            <w:tcW w:type="dxa" w:w="5282"/>
            <w:gridSpan w:val="2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6" w:lineRule="exact" w:before="54" w:after="0"/>
              <w:ind w:left="9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Ⅱ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级</w:t>
            </w:r>
          </w:p>
        </w:tc>
      </w:tr>
      <w:tr>
        <w:trPr>
          <w:trHeight w:hRule="exact" w:val="60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720" w:right="224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６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７</w:t>
            </w:r>
          </w:p>
        </w:tc>
        <w:tc>
          <w:tcPr>
            <w:tcW w:type="dxa" w:w="5282"/>
            <w:gridSpan w:val="2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30" w:after="0"/>
              <w:ind w:left="96" w:right="288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Ⅲ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级</w:t>
            </w:r>
            <w:r>
              <w:br/>
            </w: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Ⅲ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级</w:t>
            </w:r>
          </w:p>
        </w:tc>
      </w:tr>
      <w:tr>
        <w:trPr>
          <w:trHeight w:hRule="exact" w:val="448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6" w:after="0"/>
              <w:ind w:left="0" w:right="224" w:firstLine="0"/>
              <w:jc w:val="righ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８</w:t>
            </w:r>
          </w:p>
        </w:tc>
        <w:tc>
          <w:tcPr>
            <w:tcW w:type="dxa" w:w="5282"/>
            <w:gridSpan w:val="2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8" w:lineRule="exact" w:before="6" w:after="0"/>
              <w:ind w:left="96" w:right="0" w:firstLine="0"/>
              <w:jc w:val="left"/>
            </w:pPr>
            <w:r>
              <w:rPr>
                <w:w w:val="97.03750014305115"/>
                <w:rFonts w:ascii="E" w:hAnsi="E" w:eastAsia="E"/>
                <w:b w:val="0"/>
                <w:i w:val="0"/>
                <w:color w:val="000000"/>
                <w:sz w:val="16"/>
              </w:rPr>
              <w:t>Ⅲ</w:t>
            </w:r>
            <w:r>
              <w:rPr>
                <w:w w:val="97.03750014305115"/>
                <w:rFonts w:ascii="FZSSK" w:hAnsi="FZSSK" w:eastAsia="FZSSK"/>
                <w:b w:val="0"/>
                <w:i w:val="0"/>
                <w:color w:val="000000"/>
                <w:sz w:val="16"/>
              </w:rPr>
              <w:t>级</w:t>
            </w:r>
          </w:p>
        </w:tc>
      </w:tr>
      <w:tr>
        <w:trPr>
          <w:trHeight w:hRule="exact" w:val="3096"/>
        </w:trPr>
        <w:tc>
          <w:tcPr>
            <w:tcW w:type="dxa" w:w="5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4" w:lineRule="exact" w:before="156" w:after="0"/>
              <w:ind w:left="458" w:right="368" w:firstLine="0"/>
              <w:jc w:val="both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量提出了较高的要求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因此在施工过程中如何控制好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施工质量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如何保证盾构顺利掘进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保证附近居民安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全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、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保证多个构筑物的安全使用是重中之重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49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880360" cy="11023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102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76" w:lineRule="exact" w:before="76" w:after="0"/>
              <w:ind w:left="0" w:right="1390" w:firstLine="0"/>
              <w:jc w:val="right"/>
            </w:pP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图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 xml:space="preserve">１ 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“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后海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⁃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科苑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”</w:t>
            </w:r>
            <w:r>
              <w:rPr>
                <w:w w:val="98.1111102634006"/>
                <w:rFonts w:ascii="FZHTK" w:hAnsi="FZHTK" w:eastAsia="FZHTK"/>
                <w:b w:val="0"/>
                <w:i w:val="0"/>
                <w:color w:val="000000"/>
                <w:sz w:val="18"/>
              </w:rPr>
              <w:t>区间平面示意</w:t>
            </w:r>
          </w:p>
        </w:tc>
        <w:tc>
          <w:tcPr>
            <w:tcW w:type="dxa" w:w="4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154" w:after="0"/>
              <w:ind w:left="38" w:right="0" w:firstLine="0"/>
              <w:jc w:val="left"/>
            </w:pP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实行信息化施工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必要时进行跟踪注浆或采取其他应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急措施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  <w:p>
            <w:pPr>
              <w:autoSpaceDN w:val="0"/>
              <w:tabs>
                <w:tab w:pos="432" w:val="left"/>
              </w:tabs>
              <w:autoSpaceDE w:val="0"/>
              <w:widowControl/>
              <w:spacing w:line="304" w:lineRule="exact" w:before="156" w:after="0"/>
              <w:ind w:left="38" w:right="0" w:firstLine="0"/>
              <w:jc w:val="left"/>
            </w:pPr>
            <w:r>
              <w:tab/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５）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本区间盾构下穿锚索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，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盾构刀盘选择时应考虑</w:t>
            </w:r>
            <w:r>
              <w:rPr>
                <w:w w:val="102.14737340023643"/>
                <w:rFonts w:ascii="FZSSK" w:hAnsi="FZSSK" w:eastAsia="FZSSK"/>
                <w:b w:val="0"/>
                <w:i w:val="0"/>
                <w:color w:val="000000"/>
                <w:sz w:val="19"/>
              </w:rPr>
              <w:t>锚索影响</w:t>
            </w:r>
            <w:r>
              <w:rPr>
                <w:w w:val="102.14737340023643"/>
                <w:rFonts w:ascii="E" w:hAnsi="E" w:eastAsia="E"/>
                <w:b w:val="0"/>
                <w:i w:val="0"/>
                <w:color w:val="000000"/>
                <w:sz w:val="19"/>
              </w:rPr>
              <w:t>。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15188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1518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28"/>
        <w:ind w:left="0" w:right="0"/>
      </w:pPr>
    </w:p>
    <w:p>
      <w:pPr>
        <w:sectPr>
          <w:pgSz w:w="12246" w:h="17178"/>
          <w:pgMar w:top="570" w:right="128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2" w:lineRule="exact" w:before="0" w:after="0"/>
        <w:ind w:left="894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２ </w:t>
      </w:r>
      <w:r>
        <w:rPr>
          <w:w w:val="102.14737340023643"/>
          <w:rFonts w:ascii="FZHTK" w:hAnsi="FZHTK" w:eastAsia="FZHTK"/>
          <w:b w:val="0"/>
          <w:i w:val="0"/>
          <w:color w:val="000000"/>
          <w:sz w:val="19"/>
        </w:rPr>
        <w:t>应对措施</w:t>
      </w:r>
    </w:p>
    <w:p>
      <w:pPr>
        <w:autoSpaceDN w:val="0"/>
        <w:autoSpaceDE w:val="0"/>
        <w:widowControl/>
        <w:spacing w:line="302" w:lineRule="exact" w:before="14" w:after="0"/>
        <w:ind w:left="894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２􀆰１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针对穿越卓越后海国际及舜远金融大厦锚索群应</w:t>
      </w:r>
    </w:p>
    <w:p>
      <w:pPr>
        <w:autoSpaceDN w:val="0"/>
        <w:autoSpaceDE w:val="0"/>
        <w:widowControl/>
        <w:spacing w:line="308" w:lineRule="exact" w:before="152" w:after="0"/>
        <w:ind w:left="898" w:right="236" w:firstLine="40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在盾构穿越该区域时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锚索一旦绞住刀盘无法推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进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造成长时间停机开仓处理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且在仓内要进行动火作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业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施工风险很大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且长时间停机不利于地面沉降控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易造成地面道路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建筑及管线开裂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影响使用安</w:t>
      </w:r>
    </w:p>
    <w:p>
      <w:pPr>
        <w:autoSpaceDN w:val="0"/>
        <w:autoSpaceDE w:val="0"/>
        <w:widowControl/>
        <w:spacing w:line="216" w:lineRule="exact" w:before="0" w:after="0"/>
        <w:ind w:left="898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全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［２］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故通过分析探讨采取以下应对措施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8" w:lineRule="exact" w:before="152" w:after="0"/>
        <w:ind w:left="898" w:right="236" w:firstLine="39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先在锚索地面投影范围采用旋挖钻机施做旋挖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钻孔清除锚索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后在加固区域盾构开仓清理锚索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锚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索采用旋挖钻机成孔截断清除的方式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旋挖桩尺寸为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（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ϕ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＝１􀆰２ｍ＠１􀆰６ｍ），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距离右线隧道边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２ｍ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处布置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深度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按穿过坑底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２􀆰０ｍ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控制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共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５１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根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旋挖钻孔应间隔开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挖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防止同时开挖对土体造成较大影响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拔除预应力锚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索后应采用单液浆注浆回填密实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需要施工旋挖钻孔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的范围需提前进行交通疏解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管线改迁和工期考虑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8" w:lineRule="exact" w:before="150" w:after="0"/>
        <w:ind w:left="898" w:right="230" w:firstLine="39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在锚索影响区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沿隧道线路间隔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３ｍ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设置一个加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固区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加固采用双重管高压旋喷桩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（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ϕ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 ＝０􀆰６＠０􀆰４５），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加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固范围为盾构外轮廓上下左右各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３ｍ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范围内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具体工艺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参数须根据设计强度和抗渗指标要求经现场试验确定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8" w:lineRule="exact" w:before="152" w:after="0"/>
        <w:ind w:left="898" w:right="236" w:firstLine="39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盾构掘进时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控制盾构掘进参数及注浆参数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及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时盾尾注浆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适时二次注浆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并适当加大注浆量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以尽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量减少超挖及对地层扰动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控制地层变形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458" w:lineRule="exact" w:before="0" w:after="0"/>
        <w:ind w:left="1292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４）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在盾构施工过程中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进行系统全面的跟踪监测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</w:p>
    <w:p>
      <w:pPr>
        <w:sectPr>
          <w:type w:val="continuous"/>
          <w:pgSz w:w="12246" w:h="17178"/>
          <w:pgMar w:top="570" w:right="1280" w:bottom="168" w:left="400" w:header="720" w:footer="720" w:gutter="0"/>
          <w:cols w:num="2" w:equalWidth="0">
            <w:col w:w="5748" w:space="0"/>
            <w:col w:w="4818" w:space="0"/>
          </w:cols>
          <w:docGrid w:linePitch="360"/>
        </w:sectPr>
      </w:pPr>
    </w:p>
    <w:p>
      <w:pPr>
        <w:autoSpaceDN w:val="0"/>
        <w:autoSpaceDE w:val="0"/>
        <w:widowControl/>
        <w:spacing w:line="274" w:lineRule="exact" w:before="0" w:after="0"/>
        <w:ind w:left="426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２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穿越卓越后海国际及舜远金融大厦锚索群位置</w:t>
      </w:r>
    </w:p>
    <w:p>
      <w:pPr>
        <w:autoSpaceDN w:val="0"/>
        <w:autoSpaceDE w:val="0"/>
        <w:widowControl/>
        <w:spacing w:line="302" w:lineRule="exact" w:before="58" w:after="0"/>
        <w:ind w:left="164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２􀆰２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针对盾构下穿既有秀丽电力隧道的应对措施</w:t>
      </w:r>
    </w:p>
    <w:p>
      <w:pPr>
        <w:autoSpaceDN w:val="0"/>
        <w:autoSpaceDE w:val="0"/>
        <w:widowControl/>
        <w:spacing w:line="304" w:lineRule="exact" w:before="156" w:after="0"/>
        <w:ind w:left="170" w:right="36" w:firstLine="40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盾构掘进穿越该区域时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电力隧道与区间隧道最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小竖向间距仅为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１􀆰６８４ｍ，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易引起地层扰动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严重时地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层沉降变形过大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导致管线变形超限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开裂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渗漏水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造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成隧道内设施破坏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后果严重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通过分析探讨采取以下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应对措施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4" w:lineRule="exact" w:before="154" w:after="0"/>
        <w:ind w:left="170" w:right="32" w:firstLine="39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在盾构隧道施工前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应先对盾构下穿秀丽电力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隧道区域进行袖阀管深孔预注浆加固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加固平面范围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：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南北方向由电力隧道外轮廓各外扩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３ｍ，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东西方向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由正线隧道外轮廓各外扩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３ｍ，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坚向加固范围为正线隧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道顶部以上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１ｍ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至隧道中心处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袖阀管间距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１ｍ×１ｍ，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梅花形布置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袖阀管注浆采用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０􀆰８∶１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单液水泥浆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注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浆压力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０􀆰５ＭＰａ，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注浆压力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浆液配比等参数可根据现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场试验调整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要求加固后的土体无侧限抗压强度应不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小于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０􀆰８ＭＰａ，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渗透系数应小于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１􀆰０×１０</w:t>
      </w:r>
      <w:r>
        <w:rPr>
          <w:w w:val="97.03636169433594"/>
          <w:rFonts w:ascii="E" w:hAnsi="E" w:eastAsia="E"/>
          <w:b w:val="0"/>
          <w:i w:val="0"/>
          <w:color w:val="000000"/>
          <w:sz w:val="11"/>
        </w:rPr>
        <w:t>－５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ｃｍ／ｓ，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部分袖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阀管尽量斜向均匀打设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并适当调整布置以兼顾电力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隧道下方土体加固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以保证注浆效果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4" w:lineRule="exact" w:before="156" w:after="0"/>
        <w:ind w:left="170" w:right="20" w:firstLine="39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对电力隧道范围正线隧道进行预加固时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应注意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控制注浆压力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避免因注浆引起既有电力隧道过量变形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施工承包商加强盾构机的维修与保养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确保盾构在下穿此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段不能出现停机状况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且尽量让盾构机匀速通过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460" w:lineRule="exact" w:before="0" w:after="418"/>
        <w:ind w:left="564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在盾构通过时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注意控制盾构掘进参数及注浆</w:t>
      </w:r>
    </w:p>
    <w:p>
      <w:pPr>
        <w:sectPr>
          <w:type w:val="nextColumn"/>
          <w:pgSz w:w="12246" w:h="17178"/>
          <w:pgMar w:top="570" w:right="1280" w:bottom="168" w:left="400" w:header="720" w:footer="720" w:gutter="0"/>
          <w:cols w:num="2" w:equalWidth="0">
            <w:col w:w="5748" w:space="0"/>
            <w:col w:w="4818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6" w:h="17178"/>
          <w:pgMar w:top="570" w:right="1280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1536700</wp:posOffset>
            </wp:positionV>
            <wp:extent cx="381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863600</wp:posOffset>
            </wp:positionH>
            <wp:positionV relativeFrom="page">
              <wp:posOffset>7594600</wp:posOffset>
            </wp:positionV>
            <wp:extent cx="381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9715500</wp:posOffset>
            </wp:positionV>
            <wp:extent cx="381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4178300</wp:posOffset>
            </wp:positionH>
            <wp:positionV relativeFrom="page">
              <wp:posOffset>2527300</wp:posOffset>
            </wp:positionV>
            <wp:extent cx="381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4965700</wp:posOffset>
            </wp:positionH>
            <wp:positionV relativeFrom="page">
              <wp:posOffset>2717800</wp:posOffset>
            </wp:positionV>
            <wp:extent cx="381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5321300</wp:posOffset>
            </wp:positionH>
            <wp:positionV relativeFrom="page">
              <wp:posOffset>4051300</wp:posOffset>
            </wp:positionV>
            <wp:extent cx="38100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6146800</wp:posOffset>
            </wp:positionH>
            <wp:positionV relativeFrom="page">
              <wp:posOffset>4457700</wp:posOffset>
            </wp:positionV>
            <wp:extent cx="38100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6070600</wp:posOffset>
            </wp:positionH>
            <wp:positionV relativeFrom="page">
              <wp:posOffset>6959600</wp:posOffset>
            </wp:positionV>
            <wp:extent cx="381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9944100</wp:posOffset>
            </wp:positionV>
            <wp:extent cx="38100" cy="381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2332990</wp:posOffset>
            </wp:positionH>
            <wp:positionV relativeFrom="page">
              <wp:posOffset>288290</wp:posOffset>
            </wp:positionV>
            <wp:extent cx="5443220" cy="655202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3220" cy="65520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3111500</wp:posOffset>
            </wp:positionV>
            <wp:extent cx="38100" cy="3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3632200</wp:posOffset>
            </wp:positionV>
            <wp:extent cx="25400" cy="254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3594100</wp:posOffset>
            </wp:positionV>
            <wp:extent cx="25400" cy="254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3162300</wp:posOffset>
            </wp:positionH>
            <wp:positionV relativeFrom="page">
              <wp:posOffset>3543300</wp:posOffset>
            </wp:positionV>
            <wp:extent cx="25400" cy="254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3009900</wp:posOffset>
            </wp:positionH>
            <wp:positionV relativeFrom="page">
              <wp:posOffset>3505200</wp:posOffset>
            </wp:positionV>
            <wp:extent cx="50800" cy="508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3086100</wp:posOffset>
            </wp:positionV>
            <wp:extent cx="25400" cy="254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3467100</wp:posOffset>
            </wp:positionH>
            <wp:positionV relativeFrom="page">
              <wp:posOffset>3035300</wp:posOffset>
            </wp:positionV>
            <wp:extent cx="25400" cy="254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3340100</wp:posOffset>
            </wp:positionH>
            <wp:positionV relativeFrom="page">
              <wp:posOffset>3009900</wp:posOffset>
            </wp:positionV>
            <wp:extent cx="25400" cy="254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849630</wp:posOffset>
            </wp:positionH>
            <wp:positionV relativeFrom="page">
              <wp:posOffset>2856230</wp:posOffset>
            </wp:positionV>
            <wp:extent cx="2880360" cy="1080516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08051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3568700</wp:posOffset>
            </wp:positionV>
            <wp:extent cx="50800" cy="508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3594100</wp:posOffset>
            </wp:positionV>
            <wp:extent cx="76200" cy="381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3302000</wp:posOffset>
            </wp:positionH>
            <wp:positionV relativeFrom="page">
              <wp:posOffset>3441700</wp:posOffset>
            </wp:positionV>
            <wp:extent cx="50800" cy="635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3225800</wp:posOffset>
            </wp:positionH>
            <wp:positionV relativeFrom="page">
              <wp:posOffset>3441700</wp:posOffset>
            </wp:positionV>
            <wp:extent cx="50800" cy="508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9055100</wp:posOffset>
            </wp:positionV>
            <wp:extent cx="508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9042400</wp:posOffset>
            </wp:positionV>
            <wp:extent cx="508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9042400</wp:posOffset>
            </wp:positionV>
            <wp:extent cx="508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3175000</wp:posOffset>
            </wp:positionH>
            <wp:positionV relativeFrom="page">
              <wp:posOffset>9042400</wp:posOffset>
            </wp:positionV>
            <wp:extent cx="38100" cy="38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3098800</wp:posOffset>
            </wp:positionH>
            <wp:positionV relativeFrom="page">
              <wp:posOffset>9042400</wp:posOffset>
            </wp:positionV>
            <wp:extent cx="50800" cy="381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9042400</wp:posOffset>
            </wp:positionV>
            <wp:extent cx="38100" cy="381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2819400</wp:posOffset>
            </wp:positionH>
            <wp:positionV relativeFrom="page">
              <wp:posOffset>9042400</wp:posOffset>
            </wp:positionV>
            <wp:extent cx="38100" cy="381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2730500</wp:posOffset>
            </wp:positionH>
            <wp:positionV relativeFrom="page">
              <wp:posOffset>9042400</wp:posOffset>
            </wp:positionV>
            <wp:extent cx="50800" cy="381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2514600</wp:posOffset>
            </wp:positionH>
            <wp:positionV relativeFrom="page">
              <wp:posOffset>9042400</wp:posOffset>
            </wp:positionV>
            <wp:extent cx="63500" cy="508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3378200</wp:posOffset>
            </wp:positionH>
            <wp:positionV relativeFrom="page">
              <wp:posOffset>9029700</wp:posOffset>
            </wp:positionV>
            <wp:extent cx="38100" cy="381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9029700</wp:posOffset>
            </wp:positionV>
            <wp:extent cx="50800" cy="381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9029700</wp:posOffset>
            </wp:positionV>
            <wp:extent cx="50800" cy="381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9029700</wp:posOffset>
            </wp:positionV>
            <wp:extent cx="50800" cy="381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2857500</wp:posOffset>
            </wp:positionH>
            <wp:positionV relativeFrom="page">
              <wp:posOffset>9029700</wp:posOffset>
            </wp:positionV>
            <wp:extent cx="63500" cy="508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9029700</wp:posOffset>
            </wp:positionV>
            <wp:extent cx="50800" cy="381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9029700</wp:posOffset>
            </wp:positionV>
            <wp:extent cx="38100" cy="381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8458200</wp:posOffset>
            </wp:positionV>
            <wp:extent cx="508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8356600</wp:posOffset>
            </wp:positionV>
            <wp:extent cx="330200" cy="1016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849630</wp:posOffset>
            </wp:positionH>
            <wp:positionV relativeFrom="page">
              <wp:posOffset>8314690</wp:posOffset>
            </wp:positionV>
            <wp:extent cx="2880360" cy="104394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0439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3289300</wp:posOffset>
            </wp:positionH>
            <wp:positionV relativeFrom="page">
              <wp:posOffset>9067800</wp:posOffset>
            </wp:positionV>
            <wp:extent cx="38100" cy="381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9067800</wp:posOffset>
            </wp:positionV>
            <wp:extent cx="50800" cy="381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3073400</wp:posOffset>
            </wp:positionH>
            <wp:positionV relativeFrom="page">
              <wp:posOffset>9067800</wp:posOffset>
            </wp:positionV>
            <wp:extent cx="38100" cy="381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9067800</wp:posOffset>
            </wp:positionV>
            <wp:extent cx="50800" cy="381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9067800</wp:posOffset>
            </wp:positionV>
            <wp:extent cx="50800" cy="381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9067800</wp:posOffset>
            </wp:positionV>
            <wp:extent cx="38100" cy="381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9067800</wp:posOffset>
            </wp:positionV>
            <wp:extent cx="38100" cy="381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2628900</wp:posOffset>
            </wp:positionH>
            <wp:positionV relativeFrom="page">
              <wp:posOffset>9067800</wp:posOffset>
            </wp:positionV>
            <wp:extent cx="50800" cy="381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2552700</wp:posOffset>
            </wp:positionH>
            <wp:positionV relativeFrom="page">
              <wp:posOffset>9067800</wp:posOffset>
            </wp:positionV>
            <wp:extent cx="50800" cy="381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9067800</wp:posOffset>
            </wp:positionV>
            <wp:extent cx="38100" cy="381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9067800</wp:posOffset>
            </wp:positionV>
            <wp:extent cx="38100" cy="381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3340100</wp:posOffset>
            </wp:positionH>
            <wp:positionV relativeFrom="page">
              <wp:posOffset>9055100</wp:posOffset>
            </wp:positionV>
            <wp:extent cx="50800" cy="381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3263900</wp:posOffset>
            </wp:positionH>
            <wp:positionV relativeFrom="page">
              <wp:posOffset>9055100</wp:posOffset>
            </wp:positionV>
            <wp:extent cx="50800" cy="381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3187700</wp:posOffset>
            </wp:positionH>
            <wp:positionV relativeFrom="page">
              <wp:posOffset>9055100</wp:posOffset>
            </wp:positionV>
            <wp:extent cx="50800" cy="381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9055100</wp:posOffset>
            </wp:positionV>
            <wp:extent cx="63500" cy="508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3048000</wp:posOffset>
            </wp:positionH>
            <wp:positionV relativeFrom="page">
              <wp:posOffset>9055100</wp:posOffset>
            </wp:positionV>
            <wp:extent cx="50800" cy="381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2971800</wp:posOffset>
            </wp:positionH>
            <wp:positionV relativeFrom="page">
              <wp:posOffset>9055100</wp:posOffset>
            </wp:positionV>
            <wp:extent cx="38100" cy="381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2895600</wp:posOffset>
            </wp:positionH>
            <wp:positionV relativeFrom="page">
              <wp:posOffset>9055100</wp:posOffset>
            </wp:positionV>
            <wp:extent cx="50800" cy="381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2832100</wp:posOffset>
            </wp:positionH>
            <wp:positionV relativeFrom="page">
              <wp:posOffset>9055100</wp:posOffset>
            </wp:positionV>
            <wp:extent cx="38100" cy="381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2755900</wp:posOffset>
            </wp:positionH>
            <wp:positionV relativeFrom="page">
              <wp:posOffset>9055100</wp:posOffset>
            </wp:positionV>
            <wp:extent cx="50800" cy="381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9055100</wp:posOffset>
            </wp:positionV>
            <wp:extent cx="50800" cy="381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2650"/>
        <w:gridCol w:w="2650"/>
        <w:gridCol w:w="2650"/>
        <w:gridCol w:w="2650"/>
      </w:tblGrid>
      <w:tr>
        <w:trPr>
          <w:trHeight w:hRule="exact" w:val="400"/>
        </w:trPr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2" w:after="0"/>
              <w:ind w:left="0" w:right="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７</w:t>
            </w:r>
          </w:p>
        </w:tc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2" w:after="0"/>
              <w:ind w:left="18" w:right="0" w:firstLine="0"/>
              <w:jc w:val="lef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６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８</w:t>
            </w:r>
          </w:p>
        </w:tc>
        <w:tc>
          <w:tcPr>
            <w:tcW w:type="dxa" w:w="5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1634" w:firstLine="0"/>
              <w:jc w:val="right"/>
            </w:pP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施工技术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（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中英文</w:t>
            </w: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）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8" w:lineRule="exact" w:before="0" w:after="0"/>
              <w:ind w:left="0" w:right="0" w:firstLine="0"/>
              <w:jc w:val="right"/>
            </w:pPr>
            <w:r>
              <w:rPr>
                <w:w w:val="98.1111102634006"/>
                <w:rFonts w:ascii="E" w:hAnsi="E" w:eastAsia="E"/>
                <w:b w:val="0"/>
                <w:i w:val="0"/>
                <w:color w:val="000000"/>
                <w:sz w:val="18"/>
              </w:rPr>
              <w:t>２０２２</w:t>
            </w:r>
            <w:r>
              <w:rPr>
                <w:w w:val="98.1111102634006"/>
                <w:rFonts w:ascii="FZSSK" w:hAnsi="FZSSK" w:eastAsia="FZSSK"/>
                <w:b w:val="0"/>
                <w:i w:val="0"/>
                <w:color w:val="000000"/>
                <w:sz w:val="18"/>
              </w:rPr>
              <w:t>增刊</w:t>
            </w:r>
          </w:p>
        </w:tc>
      </w:tr>
    </w:tbl>
    <w:p>
      <w:pPr>
        <w:autoSpaceDN w:val="0"/>
        <w:autoSpaceDE w:val="0"/>
        <w:widowControl/>
        <w:spacing w:line="14" w:lineRule="exact" w:before="0" w:after="98"/>
        <w:ind w:left="0" w:right="0"/>
      </w:pPr>
    </w:p>
    <w:p>
      <w:pPr>
        <w:sectPr>
          <w:pgSz w:w="12246" w:h="17178"/>
          <w:pgMar w:top="570" w:right="124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4" w:lineRule="exact" w:before="156" w:after="0"/>
        <w:ind w:left="898" w:right="206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参数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盾构管片在此区域前后各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４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环增设注浆孔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通过后及时进行注浆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避免电力隧道出现较大沉降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控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制电力隧道变形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4" w:lineRule="exact" w:before="156" w:after="0"/>
        <w:ind w:left="898" w:right="204" w:firstLine="39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４）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盾构隧道下穿电力隧道时对电力隧道采用自动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化监测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监测范围为正线隧道上方电力隧道长度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４５ｍ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范围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4" w:lineRule="exact" w:before="156" w:after="0"/>
        <w:ind w:left="898" w:right="202" w:firstLine="39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５）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在盾构施工过程中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进行系统全面的跟踪监测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实行信息化施工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必要时进行跟踪注浆或采取其他应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急措施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74" w:lineRule="exact" w:before="1720" w:after="0"/>
        <w:ind w:left="0" w:right="1366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３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穿越秀丽电力隧道位置</w:t>
      </w:r>
    </w:p>
    <w:p>
      <w:pPr>
        <w:autoSpaceDN w:val="0"/>
        <w:autoSpaceDE w:val="0"/>
        <w:widowControl/>
        <w:spacing w:line="302" w:lineRule="exact" w:before="58" w:after="0"/>
        <w:ind w:left="0" w:right="0" w:firstLine="0"/>
        <w:jc w:val="center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２􀆰３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针对盾构侧穿阳光保险大厦的应对措施</w:t>
      </w:r>
    </w:p>
    <w:p>
      <w:pPr>
        <w:autoSpaceDN w:val="0"/>
        <w:tabs>
          <w:tab w:pos="1292" w:val="left"/>
          <w:tab w:pos="1298" w:val="left"/>
        </w:tabs>
        <w:autoSpaceDE w:val="0"/>
        <w:widowControl/>
        <w:spacing w:line="304" w:lineRule="exact" w:before="156" w:after="0"/>
        <w:ind w:left="898" w:right="144" w:firstLine="0"/>
        <w:jc w:val="left"/>
      </w:pPr>
      <w:r>
        <w:tab/>
      </w:r>
      <w:r>
        <w:tab/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盾构隧道侧穿阳光保险总部大厦大厦围护结构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基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坑围护结构采用钻孔灌注桩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隧道与基坑围护结构水平净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距为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２􀆰１５１ｍ。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盾构施工过程中引起地表下沉的为垂直分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这种方向的分量会导致桩体周边正摩阻力损失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桩顶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荷载加大引起桩体和地表下沉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地层水平方向的位移为水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平分量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这种分量可能会影响到相邻构筑物的稳定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会造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成围护结构开裂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渗漏水等危及基坑施工安全的严重后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果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通过分析探讨采取以下应对措施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：</w:t>
      </w:r>
      <w:r>
        <w:br/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大厦产权单位在掘进前采取以下措施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：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对支护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桩与盾构隧道之间地层采取加固措施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；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保证基坑东侧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围护结构与地下室侧墙之间空隙的回填密实度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建议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素混凝土回填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；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基坑地下室结构应在盾构通过前施上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完成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；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地铁盾构掘进要在上述要求落实后方可掘进该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段隧道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4" w:lineRule="exact" w:before="152" w:after="0"/>
        <w:ind w:left="898" w:right="202" w:firstLine="39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控制盾构掘进参数及注浆参数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及时盾尾注浆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适时二次注浆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并适当加大注浆量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以尽量减少超挖及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对地层扰动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控制地层变形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4" w:lineRule="exact" w:before="152" w:after="0"/>
        <w:ind w:left="898" w:right="202" w:firstLine="39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在盾构施工过程中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进行系统全面的跟踪监测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实行信息化施工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必要时进行跟踪注浆或采取其他应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急措施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76" w:lineRule="exact" w:before="1660" w:after="0"/>
        <w:ind w:left="0" w:right="1366" w:firstLine="0"/>
        <w:jc w:val="righ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４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侧穿阳光保险大厦位置</w:t>
      </w:r>
    </w:p>
    <w:p>
      <w:pPr>
        <w:autoSpaceDN w:val="0"/>
        <w:autoSpaceDE w:val="0"/>
        <w:widowControl/>
        <w:spacing w:line="460" w:lineRule="exact" w:before="42" w:after="0"/>
        <w:ind w:left="894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２􀆰４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针对下穿及侧穿多个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Ⅲ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级风险源时采取的应对</w:t>
      </w:r>
    </w:p>
    <w:p>
      <w:pPr>
        <w:autoSpaceDN w:val="0"/>
        <w:autoSpaceDE w:val="0"/>
        <w:widowControl/>
        <w:spacing w:line="216" w:lineRule="exact" w:before="0" w:after="0"/>
        <w:ind w:left="1390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措施</w:t>
      </w:r>
    </w:p>
    <w:p>
      <w:pPr>
        <w:autoSpaceDN w:val="0"/>
        <w:autoSpaceDE w:val="0"/>
        <w:widowControl/>
        <w:spacing w:line="458" w:lineRule="exact" w:before="10" w:after="0"/>
        <w:ind w:left="1298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本工程中盾构掘进下穿滨海立交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高压燃气管线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</w:p>
    <w:p>
      <w:pPr>
        <w:sectPr>
          <w:type w:val="continuous"/>
          <w:pgSz w:w="12246" w:h="17178"/>
          <w:pgMar w:top="570" w:right="1246" w:bottom="168" w:left="400" w:header="720" w:footer="720" w:gutter="0"/>
          <w:cols w:num="2" w:equalWidth="0">
            <w:col w:w="5718" w:space="0"/>
            <w:col w:w="4882" w:space="0"/>
          </w:cols>
          <w:docGrid w:linePitch="360"/>
        </w:sectPr>
      </w:pPr>
    </w:p>
    <w:p>
      <w:pPr>
        <w:autoSpaceDN w:val="0"/>
        <w:autoSpaceDE w:val="0"/>
        <w:widowControl/>
        <w:spacing w:line="304" w:lineRule="exact" w:before="156" w:after="0"/>
        <w:ind w:left="194" w:right="66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侧穿中国南方电网大楼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垃圾转运站等多个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Ⅲ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级风险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源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其中穿越燃气管线时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与燃气管线的竖向距离达到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２０ｍ；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右线下穿滨海科苑立交路基段时竖向距离达到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２５ｍ。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垃圾转运站与隧道区间的最小净距也在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１２ｍ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以上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可见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此类风险源与盾构区间有一定的间距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故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在下穿这些构筑物时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下穿前沉降预测值都在有效的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控制值范围中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因此不用实施建构筑物的加固措施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想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要对地层损失率进行有效的控制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可利用一定的施工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辅助措施就可以对建构筑物的沉降进行有效的控制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主要采取以下几方面的辅助措施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4" w:lineRule="exact" w:before="156" w:after="0"/>
        <w:ind w:left="200" w:right="0" w:firstLine="394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１）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控制盾构在穿越建构筑物时的掘进参数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保证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不宜过慢或者过快的盾构推进速度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如果过快的话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</w:p>
    <w:p>
      <w:pPr>
        <w:autoSpaceDN w:val="0"/>
        <w:autoSpaceDE w:val="0"/>
        <w:widowControl/>
        <w:spacing w:line="216" w:lineRule="exact" w:before="0" w:after="0"/>
        <w:ind w:left="200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很容易由于较大的土压和较大的推理导致四周的土体</w:t>
      </w:r>
    </w:p>
    <w:p>
      <w:pPr>
        <w:autoSpaceDN w:val="0"/>
        <w:autoSpaceDE w:val="0"/>
        <w:widowControl/>
        <w:spacing w:line="304" w:lineRule="exact" w:before="158" w:after="0"/>
        <w:ind w:left="200" w:right="70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受到影响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最终引起较大的建筑物沉降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；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如果太慢的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话很容出现超挖的现象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而且很难及时的跟进同步注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浆量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最终引起较大的建筑物沉降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4" w:lineRule="exact" w:before="156" w:after="0"/>
        <w:ind w:left="200" w:right="66" w:firstLine="39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２）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控制注浆参数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及时盾尾注浆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适时二次注浆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并适当加大注浆量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以尽量减少超挖及对地层扰动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控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制地层变形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304" w:lineRule="exact" w:before="156" w:after="0"/>
        <w:ind w:left="200" w:right="66" w:firstLine="394"/>
        <w:jc w:val="both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３）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在盾构施工过程中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进行系统全面的跟踪监测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实行信息化施工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必要时进行跟踪注浆或采取其他应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急措施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40" w:lineRule="auto" w:before="0" w:after="0"/>
        <w:ind w:left="23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80360" cy="8356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835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4" w:lineRule="exact" w:before="76" w:after="0"/>
        <w:ind w:left="546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图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 xml:space="preserve">５ 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下穿及侧穿其他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Ⅲ</w:t>
      </w: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级风险源地质纵断面关系</w:t>
      </w:r>
    </w:p>
    <w:p>
      <w:pPr>
        <w:autoSpaceDN w:val="0"/>
        <w:autoSpaceDE w:val="0"/>
        <w:widowControl/>
        <w:spacing w:line="302" w:lineRule="exact" w:before="58" w:after="0"/>
        <w:ind w:left="194" w:right="0" w:firstLine="0"/>
        <w:jc w:val="left"/>
      </w:pP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 xml:space="preserve">３ </w:t>
      </w:r>
      <w:r>
        <w:rPr>
          <w:w w:val="102.14737340023643"/>
          <w:rFonts w:ascii="FZHTK" w:hAnsi="FZHTK" w:eastAsia="FZHTK"/>
          <w:b w:val="0"/>
          <w:i w:val="0"/>
          <w:color w:val="000000"/>
          <w:sz w:val="19"/>
        </w:rPr>
        <w:t>结语</w:t>
      </w:r>
    </w:p>
    <w:p>
      <w:pPr>
        <w:autoSpaceDN w:val="0"/>
        <w:autoSpaceDE w:val="0"/>
        <w:widowControl/>
        <w:spacing w:line="216" w:lineRule="exact" w:before="80" w:after="0"/>
        <w:ind w:left="600" w:right="0" w:firstLine="0"/>
        <w:jc w:val="left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本文通过对深圳某地铁工程盾构区间掘进风险源</w:t>
      </w:r>
    </w:p>
    <w:p>
      <w:pPr>
        <w:autoSpaceDN w:val="0"/>
        <w:autoSpaceDE w:val="0"/>
        <w:widowControl/>
        <w:spacing w:line="304" w:lineRule="exact" w:before="158" w:after="0"/>
        <w:ind w:left="200" w:right="70" w:firstLine="0"/>
        <w:jc w:val="both"/>
      </w:pP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进行识别分级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并调研分析采取有针对性的安全质量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控制措施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进一步提高地铁工程安全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质量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减小对周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边建构筑物的影响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从而保证工程顺利掘进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对深圳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地铁后续建设项目具有重要参考价值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为在今后的类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似工程中提供有力的证据和重大的理论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、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实践经验和</w:t>
      </w:r>
      <w:r>
        <w:rPr>
          <w:w w:val="102.14737340023643"/>
          <w:rFonts w:ascii="FZSSK" w:hAnsi="FZSSK" w:eastAsia="FZSSK"/>
          <w:b w:val="0"/>
          <w:i w:val="0"/>
          <w:color w:val="000000"/>
          <w:sz w:val="19"/>
        </w:rPr>
        <w:t>应用价值</w:t>
      </w:r>
      <w:r>
        <w:rPr>
          <w:w w:val="102.14737340023643"/>
          <w:rFonts w:ascii="E" w:hAnsi="E" w:eastAsia="E"/>
          <w:b w:val="0"/>
          <w:i w:val="0"/>
          <w:color w:val="000000"/>
          <w:sz w:val="19"/>
        </w:rPr>
        <w:t>。</w:t>
      </w:r>
    </w:p>
    <w:p>
      <w:pPr>
        <w:autoSpaceDN w:val="0"/>
        <w:autoSpaceDE w:val="0"/>
        <w:widowControl/>
        <w:spacing w:line="254" w:lineRule="exact" w:before="0" w:after="0"/>
        <w:ind w:left="200" w:right="0" w:firstLine="0"/>
        <w:jc w:val="left"/>
      </w:pPr>
      <w:r>
        <w:rPr>
          <w:w w:val="98.1111102634006"/>
          <w:rFonts w:ascii="FZHTK" w:hAnsi="FZHTK" w:eastAsia="FZHTK"/>
          <w:b w:val="0"/>
          <w:i w:val="0"/>
          <w:color w:val="000000"/>
          <w:sz w:val="18"/>
        </w:rPr>
        <w:t>参考文献</w:t>
      </w:r>
      <w:r>
        <w:rPr>
          <w:w w:val="98.1111102634006"/>
          <w:rFonts w:ascii="E" w:hAnsi="E" w:eastAsia="E"/>
          <w:b w:val="0"/>
          <w:i w:val="0"/>
          <w:color w:val="000000"/>
          <w:sz w:val="18"/>
        </w:rPr>
        <w:t>：</w:t>
      </w:r>
    </w:p>
    <w:p>
      <w:pPr>
        <w:autoSpaceDN w:val="0"/>
        <w:autoSpaceDE w:val="0"/>
        <w:widowControl/>
        <w:spacing w:line="368" w:lineRule="exact" w:before="6" w:after="0"/>
        <w:ind w:left="200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［１］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郑永军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砂卵石地层盾构穿越多重重大风险源施工技术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［Ｊ］．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市</w:t>
      </w:r>
    </w:p>
    <w:p>
      <w:pPr>
        <w:autoSpaceDN w:val="0"/>
        <w:autoSpaceDE w:val="0"/>
        <w:widowControl/>
        <w:spacing w:line="368" w:lineRule="exact" w:before="0" w:after="0"/>
        <w:ind w:left="626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政技术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，２０１９，３７（４）：１５１⁃１５３，１５７．</w:t>
      </w:r>
    </w:p>
    <w:p>
      <w:pPr>
        <w:autoSpaceDN w:val="0"/>
        <w:autoSpaceDE w:val="0"/>
        <w:widowControl/>
        <w:spacing w:line="368" w:lineRule="exact" w:before="0" w:after="0"/>
        <w:ind w:left="200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［２］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杜晓红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田班虎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一种处理入侵盾构施工区域锚索的施工技术</w:t>
      </w:r>
    </w:p>
    <w:p>
      <w:pPr>
        <w:autoSpaceDN w:val="0"/>
        <w:autoSpaceDE w:val="0"/>
        <w:widowControl/>
        <w:spacing w:line="368" w:lineRule="exact" w:before="0" w:after="0"/>
        <w:ind w:left="626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研究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［Ｊ］．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工程建设与设计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，２０１７（１８）：３３⁃３５．</w:t>
      </w:r>
    </w:p>
    <w:p>
      <w:pPr>
        <w:autoSpaceDN w:val="0"/>
        <w:autoSpaceDE w:val="0"/>
        <w:widowControl/>
        <w:spacing w:line="368" w:lineRule="exact" w:before="0" w:after="0"/>
        <w:ind w:left="200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［３］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施广鑫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刘五一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王石溪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等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􀆰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半盖挖车站盾构钢套筒平移接</w:t>
      </w:r>
    </w:p>
    <w:p>
      <w:pPr>
        <w:autoSpaceDN w:val="0"/>
        <w:autoSpaceDE w:val="0"/>
        <w:widowControl/>
        <w:spacing w:line="368" w:lineRule="exact" w:before="0" w:after="0"/>
        <w:ind w:left="626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收技术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［Ｊ］􀆰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城市住宅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，２０２１，２８（Ｓ１）：１７０⁃１７１􀆰</w:t>
      </w:r>
    </w:p>
    <w:p>
      <w:pPr>
        <w:autoSpaceDN w:val="0"/>
        <w:autoSpaceDE w:val="0"/>
        <w:widowControl/>
        <w:spacing w:line="368" w:lineRule="exact" w:before="0" w:after="0"/>
        <w:ind w:left="200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［４］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刘文艺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秦启强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􀆰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群桩基础沉降对邻近轨道交通盾构隧道影</w:t>
      </w:r>
    </w:p>
    <w:p>
      <w:pPr>
        <w:autoSpaceDN w:val="0"/>
        <w:autoSpaceDE w:val="0"/>
        <w:widowControl/>
        <w:spacing w:line="368" w:lineRule="exact" w:before="0" w:after="0"/>
        <w:ind w:left="626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响的数值分析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［Ｊ］􀆰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城市住宅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，２０２１，２８（６）：２２３⁃２２５􀆰</w:t>
      </w:r>
    </w:p>
    <w:p>
      <w:pPr>
        <w:autoSpaceDN w:val="0"/>
        <w:autoSpaceDE w:val="0"/>
        <w:widowControl/>
        <w:spacing w:line="368" w:lineRule="exact" w:before="0" w:after="0"/>
        <w:ind w:left="200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［５］ 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晋云雷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􀆰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穿越砂层小间距隧道间夹土注浆加固分析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［Ｊ］􀆰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城市</w:t>
      </w:r>
    </w:p>
    <w:p>
      <w:pPr>
        <w:autoSpaceDN w:val="0"/>
        <w:autoSpaceDE w:val="0"/>
        <w:widowControl/>
        <w:spacing w:line="368" w:lineRule="exact" w:before="0" w:after="0"/>
        <w:ind w:left="626" w:right="0" w:firstLine="0"/>
        <w:jc w:val="left"/>
      </w:pP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住宅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，２０２０，２７（１２）：２１３⁃２１４􀆰</w:t>
      </w:r>
    </w:p>
    <w:p>
      <w:pPr>
        <w:autoSpaceDN w:val="0"/>
        <w:tabs>
          <w:tab w:pos="654" w:val="left"/>
        </w:tabs>
        <w:autoSpaceDE w:val="0"/>
        <w:widowControl/>
        <w:spacing w:line="368" w:lineRule="exact" w:before="0" w:after="0"/>
        <w:ind w:left="200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 xml:space="preserve">［６］ </w:t>
      </w:r>
      <w:r>
        <w:tab/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胡建南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􀆰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和燕路过江隧道盾尾注浆控制管片上浮技术研究</w:t>
      </w:r>
    </w:p>
    <w:p>
      <w:pPr>
        <w:autoSpaceDN w:val="0"/>
        <w:autoSpaceDE w:val="0"/>
        <w:widowControl/>
        <w:spacing w:line="368" w:lineRule="exact" w:before="0" w:after="444"/>
        <w:ind w:left="626" w:right="0" w:firstLine="0"/>
        <w:jc w:val="left"/>
      </w:pP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［Ｊ］􀆰</w:t>
      </w:r>
      <w:r>
        <w:rPr>
          <w:w w:val="97.03750014305115"/>
          <w:rFonts w:ascii="FZSSK" w:hAnsi="FZSSK" w:eastAsia="FZSSK"/>
          <w:b w:val="0"/>
          <w:i w:val="0"/>
          <w:color w:val="000000"/>
          <w:sz w:val="16"/>
        </w:rPr>
        <w:t>城市住宅</w:t>
      </w:r>
      <w:r>
        <w:rPr>
          <w:w w:val="97.03750014305115"/>
          <w:rFonts w:ascii="E" w:hAnsi="E" w:eastAsia="E"/>
          <w:b w:val="0"/>
          <w:i w:val="0"/>
          <w:color w:val="000000"/>
          <w:sz w:val="16"/>
        </w:rPr>
        <w:t>，２０２０，２７（７）：２４０⁃２４１􀆰</w:t>
      </w:r>
    </w:p>
    <w:p>
      <w:pPr>
        <w:sectPr>
          <w:type w:val="nextColumn"/>
          <w:pgSz w:w="12246" w:h="17178"/>
          <w:pgMar w:top="570" w:right="1246" w:bottom="168" w:left="400" w:header="720" w:footer="720" w:gutter="0"/>
          <w:cols w:num="2" w:equalWidth="0">
            <w:col w:w="5718" w:space="0"/>
            <w:col w:w="4882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2246" w:h="17178"/>
      <w:pgMar w:top="570" w:right="1246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