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8"/>
        <w:ind w:left="0" w:right="0"/>
      </w:pPr>
    </w:p>
    <w:p>
      <w:pPr>
        <w:autoSpaceDN w:val="0"/>
        <w:autoSpaceDE w:val="0"/>
        <w:widowControl/>
        <w:spacing w:line="185" w:lineRule="auto" w:before="0" w:after="334"/>
        <w:ind w:left="1776" w:right="0" w:firstLine="0"/>
        <w:jc w:val="left"/>
      </w:pPr>
      <w:r>
        <w:rPr>
          <w:rFonts w:ascii="FZZZHONGJW" w:hAnsi="FZZZHONGJW" w:eastAsia="FZZZHONGJW"/>
          <w:b w:val="0"/>
          <w:i w:val="0"/>
          <w:color w:val="221F1F"/>
          <w:sz w:val="48"/>
        </w:rPr>
        <w:t>地下地铁站施工风险分析与应对措施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80.0" w:type="dxa"/>
      </w:tblPr>
      <w:tblGrid>
        <w:gridCol w:w="3615"/>
        <w:gridCol w:w="3615"/>
        <w:gridCol w:w="3615"/>
      </w:tblGrid>
      <w:tr>
        <w:trPr>
          <w:trHeight w:hRule="exact" w:val="392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20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20"/>
              </w:rPr>
              <w:t>何众颖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w w:val="97.16666539510092"/>
                <w:rFonts w:ascii="MicrosoftYaHei" w:hAnsi="MicrosoftYaHei" w:eastAsia="MicrosoftYaHei"/>
                <w:b w:val="0"/>
                <w:i w:val="0"/>
                <w:color w:val="221F1F"/>
                <w:sz w:val="12"/>
              </w:rPr>
              <w:t>1</w:t>
            </w:r>
            <w:r>
              <w:rPr>
                <w:rFonts w:ascii="MicrosoftYaHei" w:hAnsi="MicrosoftYaHei" w:eastAsia="MicrosoftYaHei"/>
                <w:b w:val="0"/>
                <w:i w:val="0"/>
                <w:color w:val="221F1F"/>
                <w:sz w:val="20"/>
              </w:rPr>
              <w:t xml:space="preserve">    师梁艳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44" w:right="0" w:firstLine="0"/>
              <w:jc w:val="left"/>
            </w:pPr>
            <w:r>
              <w:rPr>
                <w:w w:val="97.16666539510092"/>
                <w:rFonts w:ascii="MicrosoftYaHei" w:hAnsi="MicrosoftYaHei" w:eastAsia="MicrosoftYaHei"/>
                <w:b w:val="0"/>
                <w:i w:val="0"/>
                <w:color w:val="221F1F"/>
                <w:sz w:val="1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85" w:lineRule="auto" w:before="178" w:after="0"/>
        <w:ind w:left="2240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20"/>
        </w:rPr>
        <w:t>（南京江北新区建设工程设计施工图审查中心有限公司，江苏南京   210000）</w:t>
      </w:r>
    </w:p>
    <w:p>
      <w:pPr>
        <w:autoSpaceDN w:val="0"/>
        <w:autoSpaceDE w:val="0"/>
        <w:widowControl/>
        <w:spacing w:line="185" w:lineRule="auto" w:before="394" w:after="0"/>
        <w:ind w:left="740" w:right="0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7"/>
        </w:rPr>
        <w:t>摘要：</w:t>
      </w:r>
      <w:r>
        <w:rPr>
          <w:rFonts w:ascii="FZSYJW" w:hAnsi="FZSYJW" w:eastAsia="FZSYJW"/>
          <w:b w:val="0"/>
          <w:i w:val="0"/>
          <w:color w:val="221F1F"/>
          <w:sz w:val="17"/>
        </w:rPr>
        <w:t>为加强地下施工阶段的安全管控，基于地铁地下车站工程，采用风险矩阵法，对施工前期及施工期间的风险源分析。研究</w:t>
      </w:r>
    </w:p>
    <w:p>
      <w:pPr>
        <w:autoSpaceDN w:val="0"/>
        <w:autoSpaceDE w:val="0"/>
        <w:widowControl/>
        <w:spacing w:line="185" w:lineRule="auto" w:before="110" w:after="0"/>
        <w:ind w:left="740" w:right="0" w:firstLine="0"/>
        <w:jc w:val="left"/>
      </w:pPr>
      <w:r>
        <w:rPr>
          <w:rFonts w:ascii="FZSYJW" w:hAnsi="FZSYJW" w:eastAsia="FZSYJW"/>
          <w:b w:val="0"/>
          <w:i w:val="0"/>
          <w:color w:val="221F1F"/>
          <w:sz w:val="17"/>
        </w:rPr>
        <w:t>结果表明：本工程安全风险等级为III 级，在盾构掘进时，所采取具体措施和制定专项风险控制方案和应急预案，可保证施工安全。</w:t>
      </w:r>
    </w:p>
    <w:p>
      <w:pPr>
        <w:autoSpaceDN w:val="0"/>
        <w:autoSpaceDE w:val="0"/>
        <w:widowControl/>
        <w:spacing w:line="185" w:lineRule="auto" w:before="108" w:after="0"/>
        <w:ind w:left="740" w:right="0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7"/>
        </w:rPr>
        <w:t>关键词：</w:t>
      </w:r>
      <w:r>
        <w:rPr>
          <w:rFonts w:ascii="FZSYJW" w:hAnsi="FZSYJW" w:eastAsia="FZSYJW"/>
          <w:b w:val="0"/>
          <w:i w:val="0"/>
          <w:color w:val="221F1F"/>
          <w:sz w:val="17"/>
        </w:rPr>
        <w:t>地铁车站；盾构施工；风险矩阵法；风险分析</w:t>
      </w:r>
    </w:p>
    <w:p>
      <w:pPr>
        <w:autoSpaceDN w:val="0"/>
        <w:tabs>
          <w:tab w:pos="5844" w:val="left"/>
        </w:tabs>
        <w:autoSpaceDE w:val="0"/>
        <w:widowControl/>
        <w:spacing w:line="276" w:lineRule="exact" w:before="2544" w:after="42"/>
        <w:ind w:left="740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22"/>
        </w:rPr>
        <w:t>0   前言</w:t>
      </w:r>
      <w:r>
        <w:tab/>
      </w:r>
      <w:r>
        <w:rPr>
          <w:rFonts w:ascii="FZLTZHJW" w:hAnsi="FZLTZHJW" w:eastAsia="FZLTZHJW"/>
          <w:b w:val="0"/>
          <w:i w:val="0"/>
          <w:color w:val="221F1F"/>
          <w:sz w:val="20"/>
        </w:rPr>
        <w:t>1.1    水文地质条件</w:t>
      </w:r>
    </w:p>
    <w:p>
      <w:pPr>
        <w:sectPr>
          <w:pgSz w:w="11906" w:h="16157"/>
          <w:pgMar w:top="96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40" w:right="144" w:firstLine="352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在多种因素的影响下，地铁工程过程中经常发生各种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工程事故，而勘察不详施工不当、设计缺陷等因素是造成</w:t>
      </w:r>
    </w:p>
    <w:p>
      <w:pPr>
        <w:sectPr>
          <w:type w:val="continuous"/>
          <w:pgSz w:w="11906" w:h="16157"/>
          <w:pgMar w:top="966" w:right="662" w:bottom="148" w:left="400" w:header="720" w:footer="720" w:gutter="0"/>
          <w:cols w:num="2" w:equalWidth="0">
            <w:col w:w="5618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6"/>
        <w:ind w:left="226" w:right="288" w:firstLine="352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世纪城站至海昌路站区段穿越地表河流锦江，河流中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线与线路相交于里程YDK17+993 处。锦江在本区间段河</w:t>
      </w:r>
    </w:p>
    <w:p>
      <w:pPr>
        <w:sectPr>
          <w:type w:val="nextColumn"/>
          <w:pgSz w:w="11906" w:h="16157"/>
          <w:pgMar w:top="966" w:right="662" w:bottom="148" w:left="400" w:header="720" w:footer="720" w:gutter="0"/>
          <w:cols w:num="2" w:equalWidth="0">
            <w:col w:w="5618" w:space="0"/>
            <w:col w:w="5226" w:space="0"/>
          </w:cols>
          <w:docGrid w:linePitch="360"/>
        </w:sectPr>
      </w:pPr>
    </w:p>
    <w:p>
      <w:pPr>
        <w:autoSpaceDN w:val="0"/>
        <w:tabs>
          <w:tab w:pos="2062" w:val="left"/>
          <w:tab w:pos="5844" w:val="left"/>
        </w:tabs>
        <w:autoSpaceDE w:val="0"/>
        <w:widowControl/>
        <w:spacing w:line="204" w:lineRule="auto" w:before="0" w:after="0"/>
        <w:ind w:left="74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事故的重要原因</w:t>
      </w:r>
      <w:r>
        <w:rPr>
          <w:w w:val="102.608003616333"/>
          <w:rFonts w:ascii="FZSYJW" w:hAnsi="FZSYJW" w:eastAsia="FZSYJW"/>
          <w:b w:val="0"/>
          <w:i w:val="0"/>
          <w:color w:val="221F1F"/>
          <w:sz w:val="10"/>
        </w:rPr>
        <w:t>[1-3]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。为加强施工阶段的风险管理，确保地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宽约140m，勘察期间水深约1~6m，水流较急。实测河床</w:t>
      </w:r>
    </w:p>
    <w:p>
      <w:pPr>
        <w:autoSpaceDN w:val="0"/>
        <w:tabs>
          <w:tab w:pos="4252" w:val="left"/>
          <w:tab w:pos="5844" w:val="left"/>
        </w:tabs>
        <w:autoSpaceDE w:val="0"/>
        <w:widowControl/>
        <w:spacing w:line="206" w:lineRule="auto" w:before="86" w:after="0"/>
        <w:ind w:left="74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下工程施工安全，需对其施工风险进行评估</w:t>
      </w:r>
      <w:r>
        <w:rPr>
          <w:w w:val="102.608003616333"/>
          <w:rFonts w:ascii="FZSYJW" w:hAnsi="FZSYJW" w:eastAsia="FZSYJW"/>
          <w:b w:val="0"/>
          <w:i w:val="0"/>
          <w:color w:val="221F1F"/>
          <w:sz w:val="10"/>
        </w:rPr>
        <w:t>[4-9]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。目前常见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底标高约472m。河道规划200 年一遇洪水参数如下：洪水</w:t>
      </w:r>
    </w:p>
    <w:p>
      <w:pPr>
        <w:autoSpaceDN w:val="0"/>
        <w:tabs>
          <w:tab w:pos="5844" w:val="left"/>
          <w:tab w:pos="7394" w:val="left"/>
        </w:tabs>
        <w:autoSpaceDE w:val="0"/>
        <w:widowControl/>
        <w:spacing w:line="206" w:lineRule="auto" w:before="84" w:after="106"/>
        <w:ind w:left="740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的风险分析法主要有4 种，分别为模糊综合评判法、专家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 xml:space="preserve">流量为1740~1900m </w:t>
      </w:r>
      <w:r>
        <w:rPr>
          <w:w w:val="102.608003616333"/>
          <w:rFonts w:ascii="FZSYJW" w:hAnsi="FZSYJW" w:eastAsia="FZSYJW"/>
          <w:b w:val="0"/>
          <w:i w:val="0"/>
          <w:color w:val="221F1F"/>
          <w:sz w:val="10"/>
        </w:rPr>
        <w:t>3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/s，洪水深度为4.95~5.30m，洪水流速</w:t>
      </w:r>
    </w:p>
    <w:p>
      <w:pPr>
        <w:sectPr>
          <w:type w:val="continuous"/>
          <w:pgSz w:w="11906" w:h="16157"/>
          <w:pgMar w:top="96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740" w:right="228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调查法、层次分析法、和风险矩阵法。目前风险矩阵法比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较流行且实用，是一种定量与定性相结合的风险评价方法。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本文以西部某省会城市地下车站为例, 对盾构施工段采用风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险矩阵法进行安全风险分析，以确保工程顺利进行。</w:t>
      </w:r>
    </w:p>
    <w:p>
      <w:pPr>
        <w:sectPr>
          <w:type w:val="continuous"/>
          <w:pgSz w:w="11906" w:h="16157"/>
          <w:pgMar w:top="966" w:right="662" w:bottom="148" w:left="400" w:header="720" w:footer="720" w:gutter="0"/>
          <w:cols w:num="2" w:equalWidth="0">
            <w:col w:w="5618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226" w:right="352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为3.25~3.32m/s，洪水位为481.4m，洪水冲刷深度为5m。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现水底底部主要为卵石，局部为淤泥，厚1~2m。该河道为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天然河道，未设防渗措施。</w:t>
      </w:r>
    </w:p>
    <w:p>
      <w:pPr>
        <w:autoSpaceDN w:val="0"/>
        <w:tabs>
          <w:tab w:pos="458" w:val="left"/>
        </w:tabs>
        <w:autoSpaceDE w:val="0"/>
        <w:widowControl/>
        <w:spacing w:line="245" w:lineRule="auto" w:before="100" w:after="90"/>
        <w:ind w:left="226" w:right="288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1.2    影响施工的建筑物</w:t>
      </w:r>
      <w:r>
        <w:br/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 xml:space="preserve"> 区间由北向南位设置于天府大道，下穿既有1 号线过街</w:t>
      </w:r>
    </w:p>
    <w:p>
      <w:pPr>
        <w:sectPr>
          <w:type w:val="nextColumn"/>
          <w:pgSz w:w="11906" w:h="16157"/>
          <w:pgMar w:top="966" w:right="662" w:bottom="148" w:left="400" w:header="720" w:footer="720" w:gutter="0"/>
          <w:cols w:num="2" w:equalWidth="0">
            <w:col w:w="5618" w:space="0"/>
            <w:col w:w="5226" w:space="0"/>
          </w:cols>
          <w:docGrid w:linePitch="360"/>
        </w:sectPr>
      </w:pPr>
    </w:p>
    <w:p>
      <w:pPr>
        <w:autoSpaceDN w:val="0"/>
        <w:tabs>
          <w:tab w:pos="5844" w:val="left"/>
        </w:tabs>
        <w:autoSpaceDE w:val="0"/>
        <w:widowControl/>
        <w:spacing w:line="276" w:lineRule="exact" w:before="0" w:after="0"/>
        <w:ind w:left="740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22"/>
        </w:rPr>
        <w:t>1   工程概况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通道、锦江、加油站、既有1 号线。</w:t>
      </w:r>
    </w:p>
    <w:p>
      <w:pPr>
        <w:autoSpaceDN w:val="0"/>
        <w:tabs>
          <w:tab w:pos="1092" w:val="left"/>
          <w:tab w:pos="5844" w:val="left"/>
        </w:tabs>
        <w:autoSpaceDE w:val="0"/>
        <w:widowControl/>
        <w:spacing w:line="290" w:lineRule="exact" w:before="0" w:after="70"/>
        <w:ind w:left="740" w:right="244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根据本区间详勘报告资料，盾构施工穿越的土层状况如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下：海昌路站始发端YDK22+250~YDK22+150 及世纪城站</w:t>
      </w:r>
      <w:r>
        <w:tab/>
      </w:r>
      <w:r>
        <w:rPr>
          <w:rFonts w:ascii="AdobeHeitiStd" w:hAnsi="AdobeHeitiStd" w:eastAsia="AdobeHeitiStd"/>
          <w:b w:val="0"/>
          <w:i w:val="0"/>
          <w:color w:val="221F1F"/>
          <w:sz w:val="22"/>
        </w:rPr>
        <w:t>2   盾构法段安全风险分析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始发端YDK15+820~YDK16+250 段，为中密实卵石土&lt;3-</w:t>
      </w:r>
      <w:r>
        <w:tab/>
      </w:r>
      <w:r>
        <w:rPr>
          <w:rFonts w:ascii="FZLTZHJW" w:hAnsi="FZLTZHJW" w:eastAsia="FZLTZHJW"/>
          <w:b w:val="0"/>
          <w:i w:val="0"/>
          <w:color w:val="221F1F"/>
          <w:sz w:val="20"/>
        </w:rPr>
        <w:t>2.1    地质风险</w:t>
      </w:r>
    </w:p>
    <w:p>
      <w:pPr>
        <w:sectPr>
          <w:type w:val="continuous"/>
          <w:pgSz w:w="11906" w:h="16157"/>
          <w:pgMar w:top="96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740" w:right="228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8-2&gt;、密实卵石土&lt;3-8-3&gt;；YDK16+250~YDK22+150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段为中等风化泥岩&lt;5-1-3&gt;、强风化泥岩&lt;5-1-2&gt; 以及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局部、中等风化砂岩&lt;5-2-3&gt;。</w:t>
      </w:r>
    </w:p>
    <w:p>
      <w:pPr>
        <w:sectPr>
          <w:type w:val="continuous"/>
          <w:pgSz w:w="11906" w:h="16157"/>
          <w:pgMar w:top="966" w:right="662" w:bottom="148" w:left="400" w:header="720" w:footer="720" w:gutter="0"/>
          <w:cols w:num="2" w:equalWidth="0">
            <w:col w:w="5618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434"/>
        <w:ind w:left="226" w:right="352" w:firstLine="352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本区段的地质风险因素和风险事件与等级评估如表1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所示。其中风险发生概率等级标准和风险后果等级标准，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参考城市轨道交通地下工程建设风险管理规范。</w:t>
      </w:r>
    </w:p>
    <w:p>
      <w:pPr>
        <w:sectPr>
          <w:type w:val="nextColumn"/>
          <w:pgSz w:w="11906" w:h="16157"/>
          <w:pgMar w:top="966" w:right="662" w:bottom="148" w:left="400" w:header="720" w:footer="720" w:gutter="0"/>
          <w:cols w:num="2" w:equalWidth="0">
            <w:col w:w="5618" w:space="0"/>
            <w:col w:w="5226" w:space="0"/>
          </w:cols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0" w:right="3740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表1   地质风险因素、风险事件及风险评估</w:t>
      </w:r>
    </w:p>
    <w:p>
      <w:pPr>
        <w:autoSpaceDN w:val="0"/>
        <w:autoSpaceDE w:val="0"/>
        <w:widowControl/>
        <w:spacing w:line="185" w:lineRule="auto" w:before="134" w:after="6"/>
        <w:ind w:left="0" w:right="1610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4"/>
        </w:rPr>
        <w:t>风险评估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1807"/>
        <w:gridCol w:w="1807"/>
        <w:gridCol w:w="1807"/>
        <w:gridCol w:w="1807"/>
        <w:gridCol w:w="1807"/>
        <w:gridCol w:w="1807"/>
      </w:tblGrid>
      <w:tr>
        <w:trPr>
          <w:trHeight w:hRule="exact" w:val="422"/>
        </w:trPr>
        <w:tc>
          <w:tcPr>
            <w:tcW w:type="dxa" w:w="106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风险类别</w:t>
            </w:r>
          </w:p>
        </w:tc>
        <w:tc>
          <w:tcPr>
            <w:tcW w:type="dxa" w:w="24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风险因素</w:t>
            </w:r>
          </w:p>
        </w:tc>
        <w:tc>
          <w:tcPr>
            <w:tcW w:type="dxa" w:w="308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风险事件</w:t>
            </w:r>
          </w:p>
        </w:tc>
        <w:tc>
          <w:tcPr>
            <w:tcW w:type="dxa" w:w="110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226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发生概率</w:t>
            </w:r>
          </w:p>
        </w:tc>
        <w:tc>
          <w:tcPr>
            <w:tcW w:type="dxa" w:w="102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风险后果</w:t>
            </w:r>
          </w:p>
        </w:tc>
        <w:tc>
          <w:tcPr>
            <w:tcW w:type="dxa" w:w="102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风险等级</w:t>
            </w:r>
          </w:p>
        </w:tc>
      </w:tr>
      <w:tr>
        <w:trPr>
          <w:trHeight w:hRule="exact" w:val="258"/>
        </w:trPr>
        <w:tc>
          <w:tcPr>
            <w:tcW w:type="dxa" w:w="106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强风化、中风化泥岩钙质泥岩</w:t>
            </w:r>
          </w:p>
        </w:tc>
        <w:tc>
          <w:tcPr>
            <w:tcW w:type="dxa" w:w="308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盾构机姿态控制难度大，刀盘磨损严重</w:t>
            </w:r>
          </w:p>
        </w:tc>
        <w:tc>
          <w:tcPr>
            <w:tcW w:type="dxa" w:w="110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2" w:after="0"/>
              <w:ind w:left="0" w:right="464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102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D</w:t>
            </w:r>
          </w:p>
        </w:tc>
        <w:tc>
          <w:tcPr>
            <w:tcW w:type="dxa" w:w="102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82" w:lineRule="auto" w:before="6" w:after="6"/>
        <w:ind w:left="964" w:right="0" w:firstLine="0"/>
        <w:jc w:val="left"/>
      </w:pPr>
      <w:r>
        <w:rPr>
          <w:rFonts w:ascii="FZLTXHJW" w:hAnsi="FZLTXHJW" w:eastAsia="FZLTXHJW"/>
          <w:b w:val="0"/>
          <w:i w:val="0"/>
          <w:color w:val="221F1F"/>
          <w:sz w:val="14"/>
        </w:rPr>
        <w:t>地质风险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2169"/>
        <w:gridCol w:w="2169"/>
        <w:gridCol w:w="2169"/>
        <w:gridCol w:w="2169"/>
        <w:gridCol w:w="2169"/>
      </w:tblGrid>
      <w:tr>
        <w:trPr>
          <w:trHeight w:hRule="exact" w:val="252"/>
        </w:trPr>
        <w:tc>
          <w:tcPr>
            <w:tcW w:type="dxa" w:w="338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698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局部软硬不均</w:t>
            </w:r>
          </w:p>
        </w:tc>
        <w:tc>
          <w:tcPr>
            <w:tcW w:type="dxa" w:w="322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736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对周围土体扰动变形坍塌、涌水</w:t>
            </w:r>
          </w:p>
        </w:tc>
        <w:tc>
          <w:tcPr>
            <w:tcW w:type="dxa" w:w="108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444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10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C</w:t>
            </w:r>
          </w:p>
        </w:tc>
        <w:tc>
          <w:tcPr>
            <w:tcW w:type="dxa" w:w="102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85" w:lineRule="auto" w:before="94" w:after="82"/>
        <w:ind w:left="0" w:right="4464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4"/>
        </w:rPr>
        <w:t>地质风险综合评级：III 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2"/>
        <w:gridCol w:w="5422"/>
      </w:tblGrid>
      <w:tr>
        <w:trPr>
          <w:trHeight w:hRule="exact" w:val="488"/>
        </w:trPr>
        <w:tc>
          <w:tcPr>
            <w:tcW w:type="dxa" w:w="10820"/>
            <w:gridSpan w:val="2"/>
            <w:tcBorders>
              <w:top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10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ZLTXHJW" w:hAnsi="FZLTXHJW" w:eastAsia="FZLTXHJW"/>
                <w:b w:val="0"/>
                <w:i w:val="0"/>
                <w:color w:val="626366"/>
                <w:sz w:val="15"/>
              </w:rPr>
              <w:t>CM&amp;M 2023.02</w:t>
            </w:r>
          </w:p>
        </w:tc>
        <w:tc>
          <w:tcPr>
            <w:tcW w:type="dxa" w:w="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96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381000</wp:posOffset>
            </wp:positionV>
            <wp:extent cx="2654300" cy="215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78" w:val="left"/>
        </w:tabs>
        <w:autoSpaceDE w:val="0"/>
        <w:widowControl/>
        <w:spacing w:line="226" w:lineRule="exact" w:before="0" w:after="0"/>
        <w:ind w:left="158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18"/>
        </w:rPr>
        <w:t>用户·施工</w:t>
      </w:r>
      <w:r>
        <w:tab/>
      </w:r>
      <w:r>
        <w:rPr>
          <w:rFonts w:ascii="AkzidenzGroteskBQ" w:hAnsi="AkzidenzGroteskBQ" w:eastAsia="AkzidenzGroteskBQ"/>
          <w:b w:val="0"/>
          <w:i w:val="0"/>
          <w:color w:val="FFFFFF"/>
          <w:sz w:val="16"/>
        </w:rPr>
        <w:t>CONSUMERS</w:t>
      </w:r>
      <w:r>
        <w:rPr>
          <w:rFonts w:ascii="AkzidenzGroteskBQ" w:hAnsi="AkzidenzGroteskBQ" w:eastAsia="AkzidenzGroteskBQ"/>
          <w:b w:val="0"/>
          <w:i w:val="0"/>
          <w:color w:val="FFFFFF"/>
          <w:sz w:val="12"/>
        </w:rPr>
        <w:t xml:space="preserve"> &amp; </w:t>
      </w:r>
      <w:r>
        <w:rPr>
          <w:rFonts w:ascii="AkzidenzGroteskBQ" w:hAnsi="AkzidenzGroteskBQ" w:eastAsia="AkzidenzGroteskBQ"/>
          <w:b w:val="0"/>
          <w:i w:val="0"/>
          <w:color w:val="FFFFFF"/>
          <w:sz w:val="16"/>
        </w:rPr>
        <w:t>CONSTRUCTION</w:t>
      </w:r>
    </w:p>
    <w:p>
      <w:pPr>
        <w:autoSpaceDN w:val="0"/>
        <w:autoSpaceDE w:val="0"/>
        <w:widowControl/>
        <w:spacing w:line="185" w:lineRule="auto" w:before="1082" w:after="0"/>
        <w:ind w:left="0" w:right="3248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表2   主要施工风险因素、风险事件及风险评估</w:t>
      </w:r>
    </w:p>
    <w:p>
      <w:pPr>
        <w:autoSpaceDN w:val="0"/>
        <w:autoSpaceDE w:val="0"/>
        <w:widowControl/>
        <w:spacing w:line="185" w:lineRule="auto" w:before="136" w:after="6"/>
        <w:ind w:left="0" w:right="1026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4"/>
        </w:rPr>
        <w:t>风险评估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1734"/>
        <w:gridCol w:w="1734"/>
        <w:gridCol w:w="1734"/>
        <w:gridCol w:w="1734"/>
        <w:gridCol w:w="1734"/>
        <w:gridCol w:w="1734"/>
      </w:tblGrid>
      <w:tr>
        <w:trPr>
          <w:trHeight w:hRule="exact" w:val="422"/>
        </w:trPr>
        <w:tc>
          <w:tcPr>
            <w:tcW w:type="dxa" w:w="102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176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风险类别</w:t>
            </w:r>
          </w:p>
        </w:tc>
        <w:tc>
          <w:tcPr>
            <w:tcW w:type="dxa" w:w="118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风险因素</w:t>
            </w:r>
          </w:p>
        </w:tc>
        <w:tc>
          <w:tcPr>
            <w:tcW w:type="dxa" w:w="49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" w:after="0"/>
              <w:ind w:left="0" w:right="2118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风险事件</w:t>
            </w:r>
          </w:p>
        </w:tc>
        <w:tc>
          <w:tcPr>
            <w:tcW w:type="dxa" w:w="88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发生概率</w:t>
            </w:r>
          </w:p>
        </w:tc>
        <w:tc>
          <w:tcPr>
            <w:tcW w:type="dxa" w:w="8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风险后果</w:t>
            </w:r>
          </w:p>
        </w:tc>
        <w:tc>
          <w:tcPr>
            <w:tcW w:type="dxa" w:w="854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风险等级</w:t>
            </w:r>
          </w:p>
        </w:tc>
      </w:tr>
      <w:tr>
        <w:trPr>
          <w:trHeight w:hRule="exact" w:val="256"/>
        </w:trPr>
        <w:tc>
          <w:tcPr>
            <w:tcW w:type="dxa" w:w="1022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换刀风险</w:t>
            </w:r>
          </w:p>
        </w:tc>
        <w:tc>
          <w:tcPr>
            <w:tcW w:type="dxa" w:w="496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322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掌子面失稳、漏水，地表下沉大、甚至塌方，施工中存在严重的安全风险</w:t>
            </w:r>
          </w:p>
        </w:tc>
        <w:tc>
          <w:tcPr>
            <w:tcW w:type="dxa" w:w="88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4</w:t>
            </w:r>
          </w:p>
        </w:tc>
        <w:tc>
          <w:tcPr>
            <w:tcW w:type="dxa" w:w="86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B</w:t>
            </w:r>
          </w:p>
        </w:tc>
        <w:tc>
          <w:tcPr>
            <w:tcW w:type="dxa" w:w="854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85" w:lineRule="auto" w:before="6" w:after="4"/>
        <w:ind w:left="864" w:right="0" w:firstLine="0"/>
        <w:jc w:val="left"/>
      </w:pPr>
      <w:r>
        <w:rPr>
          <w:rFonts w:ascii="FZLTXHJW" w:hAnsi="FZLTXHJW" w:eastAsia="FZLTXHJW"/>
          <w:b w:val="0"/>
          <w:i w:val="0"/>
          <w:color w:val="221F1F"/>
          <w:sz w:val="14"/>
        </w:rPr>
        <w:t>盾构法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1734"/>
        <w:gridCol w:w="1734"/>
        <w:gridCol w:w="1734"/>
        <w:gridCol w:w="1734"/>
        <w:gridCol w:w="1734"/>
        <w:gridCol w:w="1734"/>
      </w:tblGrid>
      <w:tr>
        <w:trPr>
          <w:trHeight w:hRule="exact" w:val="252"/>
        </w:trPr>
        <w:tc>
          <w:tcPr>
            <w:tcW w:type="dxa" w:w="10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降水施工</w:t>
            </w:r>
          </w:p>
        </w:tc>
        <w:tc>
          <w:tcPr>
            <w:tcW w:type="dxa" w:w="1860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196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盾构始发到达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漏水、塌方，施工中安全风险严重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37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C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Ⅱ</w:t>
            </w:r>
          </w:p>
        </w:tc>
      </w:tr>
      <w:tr>
        <w:trPr>
          <w:trHeight w:hRule="exact" w:val="340"/>
        </w:trPr>
        <w:tc>
          <w:tcPr>
            <w:tcW w:type="dxa" w:w="1734"/>
            <w:vMerge/>
            <w:tcBorders/>
          </w:tcPr>
          <w:p/>
        </w:tc>
        <w:tc>
          <w:tcPr>
            <w:tcW w:type="dxa" w:w="1734"/>
            <w:vMerge/>
            <w:tcBorders>
              <w:bottom w:sz="4.0" w:val="single" w:color="#221F1F"/>
            </w:tcBorders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存在基坑涌水风险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37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C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Ⅱ</w:t>
            </w:r>
          </w:p>
        </w:tc>
      </w:tr>
      <w:tr>
        <w:trPr>
          <w:trHeight w:hRule="exact" w:val="340"/>
        </w:trPr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联络通道</w:t>
            </w:r>
          </w:p>
        </w:tc>
        <w:tc>
          <w:tcPr>
            <w:tcW w:type="dxa" w:w="1734"/>
            <w:vMerge/>
            <w:tcBorders>
              <w:bottom w:sz="4.0" w:val="single" w:color="#221F1F"/>
            </w:tcBorders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暗挖工程，存在塌方风险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37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C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Ⅱ</w:t>
            </w:r>
          </w:p>
        </w:tc>
      </w:tr>
      <w:tr>
        <w:trPr>
          <w:trHeight w:hRule="exact" w:val="344"/>
        </w:trPr>
        <w:tc>
          <w:tcPr>
            <w:tcW w:type="dxa" w:w="100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风井始发</w:t>
            </w:r>
          </w:p>
        </w:tc>
        <w:tc>
          <w:tcPr>
            <w:tcW w:type="dxa" w:w="1734"/>
            <w:vMerge/>
            <w:tcBorders>
              <w:bottom w:sz="4.0" w:val="single" w:color="#221F1F"/>
            </w:tcBorders>
          </w:tcPr>
          <w:p/>
        </w:tc>
        <w:tc>
          <w:tcPr>
            <w:tcW w:type="dxa" w:w="3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存在涌水及管片失稳风险</w:t>
            </w:r>
          </w:p>
        </w:tc>
        <w:tc>
          <w:tcPr>
            <w:tcW w:type="dxa" w:w="13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37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C</w:t>
            </w:r>
          </w:p>
        </w:tc>
        <w:tc>
          <w:tcPr>
            <w:tcW w:type="dxa" w:w="87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Ⅱ</w:t>
            </w:r>
          </w:p>
        </w:tc>
      </w:tr>
    </w:tbl>
    <w:p>
      <w:pPr>
        <w:autoSpaceDN w:val="0"/>
        <w:autoSpaceDE w:val="0"/>
        <w:widowControl/>
        <w:spacing w:line="185" w:lineRule="auto" w:before="482" w:after="0"/>
        <w:ind w:left="0" w:right="3408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表3   环境风险因素、风险事件和风险评估</w:t>
      </w:r>
    </w:p>
    <w:p>
      <w:pPr>
        <w:autoSpaceDN w:val="0"/>
        <w:autoSpaceDE w:val="0"/>
        <w:widowControl/>
        <w:spacing w:line="182" w:lineRule="auto" w:before="136" w:after="6"/>
        <w:ind w:left="0" w:right="1026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4"/>
        </w:rPr>
        <w:t>风险评估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1734"/>
        <w:gridCol w:w="1734"/>
        <w:gridCol w:w="1734"/>
        <w:gridCol w:w="1734"/>
        <w:gridCol w:w="1734"/>
        <w:gridCol w:w="1734"/>
      </w:tblGrid>
      <w:tr>
        <w:trPr>
          <w:trHeight w:hRule="exact" w:val="422"/>
        </w:trPr>
        <w:tc>
          <w:tcPr>
            <w:tcW w:type="dxa" w:w="250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风险类别</w:t>
            </w:r>
          </w:p>
        </w:tc>
        <w:tc>
          <w:tcPr>
            <w:tcW w:type="dxa" w:w="17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风险因素</w:t>
            </w:r>
          </w:p>
        </w:tc>
        <w:tc>
          <w:tcPr>
            <w:tcW w:type="dxa" w:w="29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风险事件</w:t>
            </w:r>
          </w:p>
        </w:tc>
        <w:tc>
          <w:tcPr>
            <w:tcW w:type="dxa" w:w="8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7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发生概率</w:t>
            </w:r>
          </w:p>
        </w:tc>
        <w:tc>
          <w:tcPr>
            <w:tcW w:type="dxa" w:w="8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7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风险后果</w:t>
            </w:r>
          </w:p>
        </w:tc>
        <w:tc>
          <w:tcPr>
            <w:tcW w:type="dxa" w:w="854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7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风险等级</w:t>
            </w:r>
          </w:p>
        </w:tc>
      </w:tr>
      <w:tr>
        <w:trPr>
          <w:trHeight w:hRule="exact" w:val="290"/>
        </w:trPr>
        <w:tc>
          <w:tcPr>
            <w:tcW w:type="dxa" w:w="2502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地表建、构筑物：上方、两侧建筑</w:t>
            </w:r>
          </w:p>
        </w:tc>
        <w:tc>
          <w:tcPr>
            <w:tcW w:type="dxa" w:w="174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既有建筑物</w:t>
            </w:r>
          </w:p>
        </w:tc>
        <w:tc>
          <w:tcPr>
            <w:tcW w:type="dxa" w:w="296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下沉量大，开裂，影响结构安全</w:t>
            </w:r>
          </w:p>
        </w:tc>
        <w:tc>
          <w:tcPr>
            <w:tcW w:type="dxa" w:w="84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4</w:t>
            </w:r>
          </w:p>
        </w:tc>
        <w:tc>
          <w:tcPr>
            <w:tcW w:type="dxa" w:w="86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D</w:t>
            </w:r>
          </w:p>
        </w:tc>
        <w:tc>
          <w:tcPr>
            <w:tcW w:type="dxa" w:w="854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Ⅳ</w:t>
            </w:r>
          </w:p>
        </w:tc>
      </w:tr>
      <w:tr>
        <w:trPr>
          <w:trHeight w:hRule="exact" w:val="220"/>
        </w:trPr>
        <w:tc>
          <w:tcPr>
            <w:tcW w:type="dxa" w:w="2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隧道下穿既有1 号线及过街通道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既有1 号线及过街通道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沉降大，影响使用安全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B</w:t>
            </w:r>
          </w:p>
        </w:tc>
        <w:tc>
          <w:tcPr>
            <w:tcW w:type="dxa" w:w="8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56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2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富士康铁路专用线框架涵</w:t>
            </w:r>
          </w:p>
        </w:tc>
        <w:tc>
          <w:tcPr>
            <w:tcW w:type="dxa" w:w="1734"/>
            <w:vMerge/>
            <w:tcBorders/>
          </w:tcPr>
          <w:p/>
        </w:tc>
        <w:tc>
          <w:tcPr>
            <w:tcW w:type="dxa" w:w="1734"/>
            <w:vMerge/>
            <w:tcBorders/>
          </w:tcPr>
          <w:p/>
        </w:tc>
        <w:tc>
          <w:tcPr>
            <w:tcW w:type="dxa" w:w="1734"/>
            <w:vMerge/>
            <w:tcBorders/>
          </w:tcPr>
          <w:p/>
        </w:tc>
        <w:tc>
          <w:tcPr>
            <w:tcW w:type="dxa" w:w="1734"/>
            <w:vMerge/>
            <w:tcBorders/>
          </w:tcPr>
          <w:p/>
        </w:tc>
        <w:tc>
          <w:tcPr>
            <w:tcW w:type="dxa" w:w="173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隧道下穿锦江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锦江河道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下沉量大、开裂，造成底板破裂，造成喷涌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B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</w:t>
            </w:r>
          </w:p>
        </w:tc>
      </w:tr>
      <w:tr>
        <w:trPr>
          <w:trHeight w:hRule="exact" w:val="340"/>
        </w:trPr>
        <w:tc>
          <w:tcPr>
            <w:tcW w:type="dxa" w:w="2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世海区间顶管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DN1600 污水管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存在塌方、涌水安全风险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B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</w:t>
            </w:r>
          </w:p>
        </w:tc>
      </w:tr>
      <w:tr>
        <w:trPr>
          <w:trHeight w:hRule="exact" w:val="356"/>
        </w:trPr>
        <w:tc>
          <w:tcPr>
            <w:tcW w:type="dxa" w:w="2502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盾构下穿加油站</w:t>
            </w:r>
          </w:p>
        </w:tc>
        <w:tc>
          <w:tcPr>
            <w:tcW w:type="dxa" w:w="17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天府大道</w:t>
            </w:r>
          </w:p>
        </w:tc>
        <w:tc>
          <w:tcPr>
            <w:tcW w:type="dxa" w:w="29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管线沉量大，正常使用受影响</w:t>
            </w:r>
          </w:p>
        </w:tc>
        <w:tc>
          <w:tcPr>
            <w:tcW w:type="dxa" w:w="84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86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C</w:t>
            </w:r>
          </w:p>
        </w:tc>
        <w:tc>
          <w:tcPr>
            <w:tcW w:type="dxa" w:w="854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85" w:lineRule="auto" w:before="92" w:after="522"/>
        <w:ind w:left="0" w:right="4450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4"/>
        </w:rPr>
        <w:t>综合评级：I 级</w:t>
      </w:r>
    </w:p>
    <w:p>
      <w:pPr>
        <w:sectPr>
          <w:pgSz w:w="11906" w:h="16157"/>
          <w:pgMar w:top="334" w:right="1104" w:bottom="144" w:left="400" w:header="720" w:footer="720" w:gutter="0"/>
          <w:cols/>
          <w:docGrid w:linePitch="360"/>
        </w:sectPr>
      </w:pPr>
    </w:p>
    <w:p>
      <w:pPr>
        <w:autoSpaceDN w:val="0"/>
        <w:tabs>
          <w:tab w:pos="972" w:val="left"/>
        </w:tabs>
        <w:autoSpaceDE w:val="0"/>
        <w:widowControl/>
        <w:spacing w:line="245" w:lineRule="auto" w:before="0" w:after="0"/>
        <w:ind w:left="620" w:right="144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2.2    隧道施工产生的风险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施工主要的风险因素、风险事件及风险等级如表2 所示。</w:t>
      </w:r>
    </w:p>
    <w:p>
      <w:pPr>
        <w:autoSpaceDN w:val="0"/>
        <w:tabs>
          <w:tab w:pos="972" w:val="left"/>
        </w:tabs>
        <w:autoSpaceDE w:val="0"/>
        <w:widowControl/>
        <w:spacing w:line="245" w:lineRule="auto" w:before="102" w:after="0"/>
        <w:ind w:left="620" w:right="144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2.3    环境风险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本区间盾构法隧道主要的环境风险点及风险等级如表3</w:t>
      </w:r>
    </w:p>
    <w:p>
      <w:pPr>
        <w:sectPr>
          <w:type w:val="continuous"/>
          <w:pgSz w:w="11906" w:h="16157"/>
          <w:pgMar w:top="334" w:right="1104" w:bottom="144" w:left="400" w:header="720" w:footer="720" w:gutter="0"/>
          <w:cols w:num="2" w:equalWidth="0">
            <w:col w:w="5540" w:space="0"/>
            <w:col w:w="4862" w:space="0"/>
          </w:cols>
          <w:docGrid w:linePitch="360"/>
        </w:sectPr>
      </w:pPr>
    </w:p>
    <w:p>
      <w:pPr>
        <w:autoSpaceDN w:val="0"/>
        <w:tabs>
          <w:tab w:pos="540" w:val="left"/>
        </w:tabs>
        <w:autoSpaceDE w:val="0"/>
        <w:widowControl/>
        <w:spacing w:line="245" w:lineRule="auto" w:before="0" w:after="0"/>
        <w:ind w:left="188" w:right="144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3.2    土建安全风险控制措施及建议</w:t>
      </w:r>
      <w:r>
        <w:br/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盾构掘进时，具体风险因素及预防措施如表6 所示。</w:t>
      </w:r>
    </w:p>
    <w:p>
      <w:pPr>
        <w:autoSpaceDN w:val="0"/>
        <w:autoSpaceDE w:val="0"/>
        <w:widowControl/>
        <w:spacing w:line="185" w:lineRule="auto" w:before="340" w:after="66"/>
        <w:ind w:left="0" w:right="1334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表6   风险因素及预防措施表</w:t>
      </w:r>
    </w:p>
    <w:p>
      <w:pPr>
        <w:sectPr>
          <w:type w:val="nextColumn"/>
          <w:pgSz w:w="11906" w:h="16157"/>
          <w:pgMar w:top="334" w:right="1104" w:bottom="144" w:left="400" w:header="720" w:footer="720" w:gutter="0"/>
          <w:cols w:num="2" w:equalWidth="0">
            <w:col w:w="5540" w:space="0"/>
            <w:col w:w="48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248"/>
        </w:trPr>
        <w:tc>
          <w:tcPr>
            <w:tcW w:type="dxa" w:w="5106"/>
            <w:gridSpan w:val="6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所示。</w:t>
            </w:r>
          </w:p>
        </w:tc>
        <w:tc>
          <w:tcPr>
            <w:tcW w:type="dxa" w:w="2374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风险因素</w:t>
            </w:r>
          </w:p>
        </w:tc>
        <w:tc>
          <w:tcPr>
            <w:tcW w:type="dxa" w:w="227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预防措施</w:t>
            </w:r>
          </w:p>
        </w:tc>
      </w:tr>
      <w:tr>
        <w:trPr>
          <w:trHeight w:hRule="exact" w:val="192"/>
        </w:trPr>
        <w:tc>
          <w:tcPr>
            <w:tcW w:type="dxa" w:w="5106"/>
            <w:gridSpan w:val="6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0" w:after="0"/>
              <w:ind w:left="0" w:right="0" w:firstLine="0"/>
              <w:jc w:val="left"/>
            </w:pP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22"/>
              </w:rPr>
              <w:t>3   土建安全风险评估及控制</w:t>
            </w:r>
          </w:p>
        </w:tc>
        <w:tc>
          <w:tcPr>
            <w:tcW w:type="dxa" w:w="2374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联络通道处于强风化和中风化的</w:t>
            </w:r>
          </w:p>
        </w:tc>
        <w:tc>
          <w:tcPr>
            <w:tcW w:type="dxa" w:w="227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开挖时应超前注浆、控制开挖</w:t>
            </w:r>
          </w:p>
        </w:tc>
      </w:tr>
      <w:tr>
        <w:trPr>
          <w:trHeight w:hRule="exact" w:val="200"/>
        </w:trPr>
        <w:tc>
          <w:tcPr>
            <w:tcW w:type="dxa" w:w="7800"/>
            <w:gridSpan w:val="6"/>
            <w:vMerge/>
            <w:tcBorders>
              <w:top w:sz="2.0" w:val="single" w:color="#221F1F"/>
            </w:tcBorders>
          </w:tcPr>
          <w:p/>
        </w:tc>
        <w:tc>
          <w:tcPr>
            <w:tcW w:type="dxa" w:w="2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泥岩中</w:t>
            </w:r>
          </w:p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进尺，及时喷锚支护</w:t>
            </w:r>
          </w:p>
        </w:tc>
      </w:tr>
      <w:tr>
        <w:trPr>
          <w:trHeight w:hRule="exact" w:val="200"/>
        </w:trPr>
        <w:tc>
          <w:tcPr>
            <w:tcW w:type="dxa" w:w="7800"/>
            <w:gridSpan w:val="6"/>
            <w:vMerge/>
            <w:tcBorders>
              <w:top w:sz="2.0" w:val="single" w:color="#221F1F"/>
            </w:tcBorders>
          </w:tcPr>
          <w:p/>
        </w:tc>
        <w:tc>
          <w:tcPr>
            <w:tcW w:type="dxa" w:w="2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区间地质软硬不均，局部存在中风</w:t>
            </w:r>
          </w:p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勤检查和更换刀具，控制掘进</w:t>
            </w:r>
          </w:p>
        </w:tc>
      </w:tr>
      <w:tr>
        <w:trPr>
          <w:trHeight w:hRule="exact" w:val="80"/>
        </w:trPr>
        <w:tc>
          <w:tcPr>
            <w:tcW w:type="dxa" w:w="7800"/>
            <w:gridSpan w:val="6"/>
            <w:vMerge/>
            <w:tcBorders>
              <w:top w:sz="2.0" w:val="single" w:color="#221F1F"/>
            </w:tcBorders>
          </w:tcPr>
          <w:p/>
        </w:tc>
        <w:tc>
          <w:tcPr>
            <w:tcW w:type="dxa" w:w="2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化钙质泥岩</w:t>
            </w:r>
          </w:p>
        </w:tc>
        <w:tc>
          <w:tcPr>
            <w:tcW w:type="dxa" w:w="22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速度</w:t>
            </w:r>
          </w:p>
        </w:tc>
      </w:tr>
      <w:tr>
        <w:trPr>
          <w:trHeight w:hRule="exact" w:val="140"/>
        </w:trPr>
        <w:tc>
          <w:tcPr>
            <w:tcW w:type="dxa" w:w="510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left"/>
            </w:pPr>
            <w:r>
              <w:rPr>
                <w:rFonts w:ascii="FZLTZHJW" w:hAnsi="FZLTZHJW" w:eastAsia="FZLTZHJW"/>
                <w:b w:val="0"/>
                <w:i w:val="0"/>
                <w:color w:val="221F1F"/>
                <w:sz w:val="20"/>
              </w:rPr>
              <w:t>3.1    评估结果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7800"/>
            <w:gridSpan w:val="6"/>
            <w:vMerge/>
            <w:tcBorders/>
          </w:tcPr>
          <w:p/>
        </w:tc>
        <w:tc>
          <w:tcPr>
            <w:tcW w:type="dxa" w:w="2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断层破碎带的不良影响</w:t>
            </w:r>
          </w:p>
        </w:tc>
        <w:tc>
          <w:tcPr>
            <w:tcW w:type="dxa" w:w="22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加强地面监控，控制好掘进参数</w:t>
            </w:r>
          </w:p>
        </w:tc>
      </w:tr>
      <w:tr>
        <w:trPr>
          <w:trHeight w:hRule="exact" w:val="220"/>
        </w:trPr>
        <w:tc>
          <w:tcPr>
            <w:tcW w:type="dxa" w:w="510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352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世纪城站至海昌路站区间各评判因素对风险等级的隶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7800"/>
            <w:gridSpan w:val="6"/>
            <w:vMerge/>
            <w:tcBorders/>
          </w:tcPr>
          <w:p/>
        </w:tc>
        <w:tc>
          <w:tcPr>
            <w:tcW w:type="dxa" w:w="2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下穿绕城高架桥</w:t>
            </w:r>
          </w:p>
        </w:tc>
        <w:tc>
          <w:tcPr>
            <w:tcW w:type="dxa" w:w="22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加强过程监测，控制掘进的速</w:t>
            </w:r>
          </w:p>
        </w:tc>
      </w:tr>
      <w:tr>
        <w:trPr>
          <w:trHeight w:hRule="exact" w:val="84"/>
        </w:trPr>
        <w:tc>
          <w:tcPr>
            <w:tcW w:type="dxa" w:w="510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属度如表4 所示。经综合评定，本区间土建工程安全风险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7800"/>
            <w:gridSpan w:val="6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度和相关参数</w:t>
            </w:r>
          </w:p>
        </w:tc>
      </w:tr>
      <w:tr>
        <w:trPr>
          <w:trHeight w:hRule="exact" w:val="260"/>
        </w:trPr>
        <w:tc>
          <w:tcPr>
            <w:tcW w:type="dxa" w:w="510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总体等级为III 级，如表5 所示。</w:t>
            </w:r>
          </w:p>
        </w:tc>
        <w:tc>
          <w:tcPr>
            <w:tcW w:type="dxa" w:w="2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各种管线比较密集，局部斜交</w:t>
            </w:r>
          </w:p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加强监测，对管线采取预加固</w:t>
            </w:r>
          </w:p>
        </w:tc>
      </w:tr>
      <w:tr>
        <w:trPr>
          <w:trHeight w:hRule="exact" w:val="220"/>
        </w:trPr>
        <w:tc>
          <w:tcPr>
            <w:tcW w:type="dxa" w:w="7800"/>
            <w:gridSpan w:val="6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措施，合理设定掘进参数</w:t>
            </w:r>
          </w:p>
        </w:tc>
      </w:tr>
      <w:tr>
        <w:trPr>
          <w:trHeight w:hRule="exact" w:val="240"/>
        </w:trPr>
        <w:tc>
          <w:tcPr>
            <w:tcW w:type="dxa" w:w="5106"/>
            <w:gridSpan w:val="6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2" w:after="0"/>
              <w:ind w:left="192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6"/>
              </w:rPr>
              <w:t>表4   世纪城站至海昌路站区间各评判因素对风险等级隶属度</w:t>
            </w:r>
          </w:p>
        </w:tc>
        <w:tc>
          <w:tcPr>
            <w:tcW w:type="dxa" w:w="2374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6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盾构范围在市政道路下方</w:t>
            </w:r>
          </w:p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加强监测，合理设定掘进参数，</w:t>
            </w:r>
          </w:p>
        </w:tc>
      </w:tr>
      <w:tr>
        <w:trPr>
          <w:trHeight w:hRule="exact" w:val="230"/>
        </w:trPr>
        <w:tc>
          <w:tcPr>
            <w:tcW w:type="dxa" w:w="7800"/>
            <w:gridSpan w:val="6"/>
            <w:vMerge/>
            <w:tcBorders>
              <w:bottom w:sz="4.0" w:val="single" w:color="#221F1F"/>
            </w:tcBorders>
          </w:tcPr>
          <w:p/>
        </w:tc>
        <w:tc>
          <w:tcPr>
            <w:tcW w:type="dxa" w:w="1300"/>
            <w:vMerge/>
            <w:tcBorders>
              <w:bottom w:sz="4.0" w:val="single" w:color="#221F1F"/>
            </w:tcBorders>
          </w:tcPr>
          <w:p/>
        </w:tc>
        <w:tc>
          <w:tcPr>
            <w:tcW w:type="dxa" w:w="22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必要时地面预加固</w:t>
            </w:r>
          </w:p>
        </w:tc>
      </w:tr>
      <w:tr>
        <w:trPr>
          <w:trHeight w:hRule="exact" w:val="210"/>
        </w:trPr>
        <w:tc>
          <w:tcPr>
            <w:tcW w:type="dxa" w:w="1040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评判对象因素</w:t>
            </w:r>
          </w:p>
        </w:tc>
        <w:tc>
          <w:tcPr>
            <w:tcW w:type="dxa" w:w="1560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指标值</w:t>
            </w:r>
          </w:p>
        </w:tc>
        <w:tc>
          <w:tcPr>
            <w:tcW w:type="dxa" w:w="520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</w:t>
            </w:r>
          </w:p>
        </w:tc>
        <w:tc>
          <w:tcPr>
            <w:tcW w:type="dxa" w:w="500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</w:t>
            </w:r>
          </w:p>
        </w:tc>
        <w:tc>
          <w:tcPr>
            <w:tcW w:type="dxa" w:w="520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  <w:tc>
          <w:tcPr>
            <w:tcW w:type="dxa" w:w="966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4" w:after="0"/>
              <w:ind w:left="190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IV</w:t>
            </w:r>
          </w:p>
        </w:tc>
        <w:tc>
          <w:tcPr>
            <w:tcW w:type="dxa" w:w="2374"/>
            <w:vMerge w:val="restart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3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盾构下穿锦江</w:t>
            </w:r>
          </w:p>
        </w:tc>
        <w:tc>
          <w:tcPr>
            <w:tcW w:type="dxa" w:w="22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加强监测，控制掘进速度和相</w:t>
            </w:r>
          </w:p>
        </w:tc>
      </w:tr>
      <w:tr>
        <w:trPr>
          <w:trHeight w:hRule="exact" w:val="108"/>
        </w:trPr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4.0" w:val="single" w:color="#221F1F"/>
              <w:bottom w:sz="2.0" w:val="single" w:color="#221F1F"/>
            </w:tcBorders>
          </w:tcPr>
          <w:p/>
        </w:tc>
        <w:tc>
          <w:tcPr>
            <w:tcW w:type="dxa" w:w="2278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关参数</w:t>
            </w:r>
          </w:p>
        </w:tc>
      </w:tr>
      <w:tr>
        <w:trPr>
          <w:trHeight w:hRule="exact" w:val="132"/>
        </w:trPr>
        <w:tc>
          <w:tcPr>
            <w:tcW w:type="dxa" w:w="104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地质风险</w:t>
            </w:r>
          </w:p>
        </w:tc>
        <w:tc>
          <w:tcPr>
            <w:tcW w:type="dxa" w:w="156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一级平均等级为III 级</w:t>
            </w:r>
          </w:p>
        </w:tc>
        <w:tc>
          <w:tcPr>
            <w:tcW w:type="dxa" w:w="52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</w:t>
            </w:r>
          </w:p>
        </w:tc>
        <w:tc>
          <w:tcPr>
            <w:tcW w:type="dxa" w:w="50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</w:t>
            </w:r>
          </w:p>
        </w:tc>
        <w:tc>
          <w:tcPr>
            <w:tcW w:type="dxa" w:w="52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1</w:t>
            </w:r>
          </w:p>
        </w:tc>
        <w:tc>
          <w:tcPr>
            <w:tcW w:type="dxa" w:w="966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216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</w:t>
            </w:r>
          </w:p>
        </w:tc>
        <w:tc>
          <w:tcPr>
            <w:tcW w:type="dxa" w:w="2374"/>
            <w:vMerge w:val="restart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7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盾构下穿加油站</w:t>
            </w:r>
          </w:p>
        </w:tc>
        <w:tc>
          <w:tcPr>
            <w:tcW w:type="dxa" w:w="2278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300"/>
            <w:vMerge/>
            <w:tcBorders>
              <w:top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2.0" w:val="single" w:color="#221F1F"/>
            </w:tcBorders>
          </w:tcPr>
          <w:p/>
        </w:tc>
        <w:tc>
          <w:tcPr>
            <w:tcW w:type="dxa" w:w="1300"/>
            <w:vMerge/>
            <w:tcBorders>
              <w:top w:sz="2.0" w:val="single" w:color="#221F1F"/>
              <w:bottom w:sz="4.0" w:val="single" w:color="#221F1F"/>
            </w:tcBorders>
          </w:tcPr>
          <w:p/>
        </w:tc>
        <w:tc>
          <w:tcPr>
            <w:tcW w:type="dxa" w:w="2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加强监测，合理设定掘进参数，</w:t>
            </w:r>
          </w:p>
        </w:tc>
      </w:tr>
      <w:tr>
        <w:trPr>
          <w:trHeight w:hRule="exact" w:val="232"/>
        </w:trPr>
        <w:tc>
          <w:tcPr>
            <w:tcW w:type="dxa" w:w="10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施工风险</w:t>
            </w:r>
          </w:p>
        </w:tc>
        <w:tc>
          <w:tcPr>
            <w:tcW w:type="dxa" w:w="156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一级平均等级为III 级</w:t>
            </w:r>
          </w:p>
        </w:tc>
        <w:tc>
          <w:tcPr>
            <w:tcW w:type="dxa" w:w="5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</w:t>
            </w:r>
          </w:p>
        </w:tc>
        <w:tc>
          <w:tcPr>
            <w:tcW w:type="dxa" w:w="50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0.8</w:t>
            </w:r>
          </w:p>
        </w:tc>
        <w:tc>
          <w:tcPr>
            <w:tcW w:type="dxa" w:w="5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0.2</w:t>
            </w:r>
          </w:p>
        </w:tc>
        <w:tc>
          <w:tcPr>
            <w:tcW w:type="dxa" w:w="96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8" w:after="0"/>
              <w:ind w:left="216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</w:t>
            </w:r>
          </w:p>
        </w:tc>
        <w:tc>
          <w:tcPr>
            <w:tcW w:type="dxa" w:w="1300"/>
            <w:vMerge/>
            <w:tcBorders>
              <w:top w:sz="2.0" w:val="single" w:color="#221F1F"/>
              <w:bottom w:sz="4.0" w:val="single" w:color="#221F1F"/>
            </w:tcBorders>
          </w:tcPr>
          <w:p/>
        </w:tc>
        <w:tc>
          <w:tcPr>
            <w:tcW w:type="dxa" w:w="227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178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必要时预加固</w:t>
            </w:r>
          </w:p>
        </w:tc>
      </w:tr>
      <w:tr>
        <w:trPr>
          <w:trHeight w:hRule="exact" w:val="328"/>
        </w:trPr>
        <w:tc>
          <w:tcPr>
            <w:tcW w:type="dxa" w:w="10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环境风险</w:t>
            </w:r>
          </w:p>
        </w:tc>
        <w:tc>
          <w:tcPr>
            <w:tcW w:type="dxa" w:w="1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一级平均等级为III 级</w:t>
            </w:r>
          </w:p>
        </w:tc>
        <w:tc>
          <w:tcPr>
            <w:tcW w:type="dxa" w:w="5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0.6</w:t>
            </w:r>
          </w:p>
        </w:tc>
        <w:tc>
          <w:tcPr>
            <w:tcW w:type="dxa" w:w="50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</w:t>
            </w:r>
          </w:p>
        </w:tc>
        <w:tc>
          <w:tcPr>
            <w:tcW w:type="dxa" w:w="5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0.2</w:t>
            </w:r>
          </w:p>
        </w:tc>
        <w:tc>
          <w:tcPr>
            <w:tcW w:type="dxa" w:w="96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2" w:after="0"/>
              <w:ind w:left="154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0.2</w:t>
            </w:r>
          </w:p>
        </w:tc>
        <w:tc>
          <w:tcPr>
            <w:tcW w:type="dxa" w:w="23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type w:val="continuous"/>
          <w:pgSz w:w="11906" w:h="16157"/>
          <w:pgMar w:top="334" w:right="1104" w:bottom="1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400" w:after="60"/>
        <w:ind w:left="0" w:right="1782" w:firstLine="0"/>
        <w:jc w:val="right"/>
      </w:pPr>
      <w:r>
        <w:rPr>
          <w:rFonts w:ascii="FZLTXHJW" w:hAnsi="FZLTXHJW" w:eastAsia="FZLTXHJW"/>
          <w:b w:val="0"/>
          <w:i w:val="0"/>
          <w:color w:val="221F1F"/>
          <w:sz w:val="16"/>
        </w:rPr>
        <w:t>表5   区间风险等级表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080"/>
        <w:gridCol w:w="2080"/>
        <w:gridCol w:w="2080"/>
        <w:gridCol w:w="2080"/>
        <w:gridCol w:w="2080"/>
      </w:tblGrid>
      <w:tr>
        <w:trPr>
          <w:trHeight w:hRule="exact" w:val="318"/>
        </w:trPr>
        <w:tc>
          <w:tcPr>
            <w:tcW w:type="dxa" w:w="76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类别</w:t>
            </w:r>
          </w:p>
        </w:tc>
        <w:tc>
          <w:tcPr>
            <w:tcW w:type="dxa" w:w="100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地质风险</w:t>
            </w:r>
          </w:p>
        </w:tc>
        <w:tc>
          <w:tcPr>
            <w:tcW w:type="dxa" w:w="96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施工风险</w:t>
            </w:r>
          </w:p>
        </w:tc>
        <w:tc>
          <w:tcPr>
            <w:tcW w:type="dxa" w:w="960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环境风险</w:t>
            </w:r>
          </w:p>
        </w:tc>
        <w:tc>
          <w:tcPr>
            <w:tcW w:type="dxa" w:w="974"/>
            <w:tcBorders>
              <w:top w:sz="4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总体风险</w:t>
            </w:r>
          </w:p>
        </w:tc>
      </w:tr>
      <w:tr>
        <w:trPr>
          <w:trHeight w:hRule="exact" w:val="320"/>
        </w:trPr>
        <w:tc>
          <w:tcPr>
            <w:tcW w:type="dxa" w:w="76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级别</w:t>
            </w:r>
          </w:p>
        </w:tc>
        <w:tc>
          <w:tcPr>
            <w:tcW w:type="dxa" w:w="100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  <w:tc>
          <w:tcPr>
            <w:tcW w:type="dxa" w:w="96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  <w:tc>
          <w:tcPr>
            <w:tcW w:type="dxa" w:w="960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  <w:tc>
          <w:tcPr>
            <w:tcW w:type="dxa" w:w="974"/>
            <w:tcBorders>
              <w:top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0" w:right="0" w:firstLine="0"/>
              <w:jc w:val="center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334" w:right="1104" w:bottom="144" w:left="400" w:header="720" w:footer="720" w:gutter="0"/>
          <w:cols w:num="2" w:equalWidth="0">
            <w:col w:w="5504" w:space="0"/>
            <w:col w:w="4898" w:space="0"/>
          </w:cols>
          <w:docGrid w:linePitch="360"/>
        </w:sectPr>
      </w:pPr>
    </w:p>
    <w:p>
      <w:pPr>
        <w:autoSpaceDN w:val="0"/>
        <w:tabs>
          <w:tab w:pos="576" w:val="left"/>
        </w:tabs>
        <w:autoSpaceDE w:val="0"/>
        <w:widowControl/>
        <w:spacing w:line="257" w:lineRule="auto" w:before="0" w:after="538"/>
        <w:ind w:left="224" w:right="0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3.3    专项风险控制</w:t>
      </w:r>
      <w:r>
        <w:br/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本项目的风险控制应从各个环节控制把关，包括方案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编制，施工工艺、技术方案，现场的检查监控等，以确保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风险被控制在可以接受的范围。为了有效减少降低风险，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增加项目的安全性，本文建议采取以下措施：</w:t>
      </w:r>
    </w:p>
    <w:p>
      <w:pPr>
        <w:sectPr>
          <w:type w:val="nextColumn"/>
          <w:pgSz w:w="11906" w:h="16157"/>
          <w:pgMar w:top="334" w:right="1104" w:bottom="144" w:left="400" w:header="720" w:footer="720" w:gutter="0"/>
          <w:cols w:num="2" w:equalWidth="0">
            <w:col w:w="5504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NewRomanPSMT" w:hAnsi="TimesNewRomanPSMT" w:eastAsia="TimesNewRomanPSMT"/>
          <w:b w:val="0"/>
          <w:i w:val="0"/>
          <w:color w:val="221F1F"/>
          <w:sz w:val="19"/>
        </w:rPr>
        <w:t>262</w:t>
      </w:r>
    </w:p>
    <w:p>
      <w:pPr>
        <w:sectPr>
          <w:type w:val="continuous"/>
          <w:pgSz w:w="11906" w:h="16157"/>
          <w:pgMar w:top="334" w:right="1104" w:bottom="144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2967990</wp:posOffset>
            </wp:positionH>
            <wp:positionV relativeFrom="page">
              <wp:posOffset>6943090</wp:posOffset>
            </wp:positionV>
            <wp:extent cx="3957319" cy="251697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7319" cy="25169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6743700</wp:posOffset>
            </wp:positionH>
            <wp:positionV relativeFrom="page">
              <wp:posOffset>9194800</wp:posOffset>
            </wp:positionV>
            <wp:extent cx="762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8801100</wp:posOffset>
            </wp:positionV>
            <wp:extent cx="508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6870700</wp:posOffset>
            </wp:positionH>
            <wp:positionV relativeFrom="page">
              <wp:posOffset>8737600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9258300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9258300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8712200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8382000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7975600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7747000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8597900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8369300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7823200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9309100</wp:posOffset>
            </wp:positionV>
            <wp:extent cx="38100" cy="254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9309100</wp:posOffset>
            </wp:positionV>
            <wp:extent cx="50800" cy="25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8902700</wp:posOffset>
            </wp:positionV>
            <wp:extent cx="25400" cy="25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8877300</wp:posOffset>
            </wp:positionV>
            <wp:extent cx="25400" cy="25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6489700</wp:posOffset>
            </wp:positionH>
            <wp:positionV relativeFrom="page">
              <wp:posOffset>8686800</wp:posOffset>
            </wp:positionV>
            <wp:extent cx="25400" cy="254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8547100</wp:posOffset>
            </wp:positionV>
            <wp:extent cx="25400" cy="25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8458200</wp:posOffset>
            </wp:positionV>
            <wp:extent cx="25400" cy="254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8178800</wp:posOffset>
            </wp:positionV>
            <wp:extent cx="38100" cy="25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8826500</wp:posOffset>
            </wp:positionV>
            <wp:extent cx="38100" cy="254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8826500</wp:posOffset>
            </wp:positionV>
            <wp:extent cx="25400" cy="25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8318500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9220200</wp:posOffset>
            </wp:positionV>
            <wp:extent cx="25400" cy="25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9042400</wp:posOffset>
            </wp:positionV>
            <wp:extent cx="25400" cy="254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8724900</wp:posOffset>
            </wp:positionV>
            <wp:extent cx="508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8674100</wp:posOffset>
            </wp:positionV>
            <wp:extent cx="381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8394700</wp:posOffset>
            </wp:positionV>
            <wp:extent cx="25400" cy="25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7962900</wp:posOffset>
            </wp:positionV>
            <wp:extent cx="25400" cy="254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7759700</wp:posOffset>
            </wp:positionV>
            <wp:extent cx="25400" cy="25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7759700</wp:posOffset>
            </wp:positionV>
            <wp:extent cx="38100" cy="25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7747000</wp:posOffset>
            </wp:positionV>
            <wp:extent cx="762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7734300</wp:posOffset>
            </wp:positionV>
            <wp:extent cx="50800" cy="254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7670800</wp:posOffset>
            </wp:positionV>
            <wp:extent cx="25400" cy="25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7099300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157"/>
          <w:pgMar w:top="986" w:right="662" w:bottom="148" w:left="400" w:header="720" w:footer="720" w:gutter="0"/>
          <w:cols/>
          <w:docGrid w:linePitch="360"/>
        </w:sectPr>
      </w:pPr>
    </w:p>
    <w:p>
      <w:pPr>
        <w:autoSpaceDN w:val="0"/>
        <w:tabs>
          <w:tab w:pos="1086" w:val="left"/>
        </w:tabs>
        <w:autoSpaceDE w:val="0"/>
        <w:widowControl/>
        <w:spacing w:line="245" w:lineRule="auto" w:before="0" w:after="0"/>
        <w:ind w:left="734" w:right="144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8"/>
        </w:rPr>
        <w:t>3.3.1   围护结构施工风险描述及其控制措施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围护结构施工的风险包括：槽孔歪曲，垂直度超出范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0"/>
        <w:ind w:left="226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符合国家的法律法规和相关规范。</w:t>
      </w:r>
    </w:p>
    <w:p>
      <w:pPr>
        <w:autoSpaceDN w:val="0"/>
        <w:autoSpaceDE w:val="0"/>
        <w:widowControl/>
        <w:spacing w:line="185" w:lineRule="auto" w:before="108" w:after="106"/>
        <w:ind w:left="578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六是可读性原则。应急预案要使用方便，易于理解，</w:t>
      </w:r>
    </w:p>
    <w:p>
      <w:pPr>
        <w:sectPr>
          <w:type w:val="nextColumn"/>
          <w:pgSz w:w="11906" w:h="16157"/>
          <w:pgMar w:top="986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tabs>
          <w:tab w:pos="5836" w:val="left"/>
        </w:tabs>
        <w:autoSpaceDE w:val="0"/>
        <w:widowControl/>
        <w:spacing w:line="185" w:lineRule="auto" w:before="0" w:after="106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围；槽底沉渣过厚，钢筋笼难以下放到位，引发槽内土体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逻辑通顺。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44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坍塌、预埋错位等；地连墙浇筑过程中中断时间过长，形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成墙体缺陷，引发渗漏。</w:t>
      </w:r>
    </w:p>
    <w:p>
      <w:pPr>
        <w:autoSpaceDN w:val="0"/>
        <w:autoSpaceDE w:val="0"/>
        <w:widowControl/>
        <w:spacing w:line="269" w:lineRule="auto" w:before="106" w:after="0"/>
        <w:ind w:left="734" w:right="268" w:firstLine="352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围护结构施工风险控制措施包括：编制围护结构的建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设方案，对关键工序进行设计与建设；选择经验丰富的施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工队，合理使用机械；完善配套设施，严格控制泥浆质量，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准备充足的备用材料、设备；加强现场管理，关键工序现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场严格控制把关，确保各工序间连续施工；严格执行地连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墙质量管理制度。</w:t>
      </w:r>
    </w:p>
    <w:p>
      <w:pPr>
        <w:autoSpaceDN w:val="0"/>
        <w:tabs>
          <w:tab w:pos="1086" w:val="left"/>
        </w:tabs>
        <w:autoSpaceDE w:val="0"/>
        <w:widowControl/>
        <w:spacing w:line="264" w:lineRule="auto" w:before="102" w:after="0"/>
        <w:ind w:left="734" w:right="144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8"/>
        </w:rPr>
        <w:t>3.3.2   基坑开挖施工风险及其控制措施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基坑开挖施工风险包括：基坑开挖及结构施工未及时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支撑、换撑，造成地连墙变形过大，结构损坏；未快速封闭，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造成基底管涌、隆起；边坡失稳造成机械损伤、人员伤亡；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地连墙接缝渗漏，造成地下水土流失。</w:t>
      </w:r>
    </w:p>
    <w:p>
      <w:pPr>
        <w:autoSpaceDN w:val="0"/>
        <w:autoSpaceDE w:val="0"/>
        <w:widowControl/>
        <w:spacing w:line="266" w:lineRule="auto" w:before="106" w:after="0"/>
        <w:ind w:left="734" w:right="268" w:firstLine="352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基坑开挖施工风险控制措施如下：编制基坑施工的专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项方案，并组织专家进行分析和检验；遵照深基坑的施工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方法进行放坡、开挖、支护；施工期间，基坑开挖一定要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做到先撑后挖，及时准确施加预应力；掌握好边墙施工与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拆撑的衔接，及时更换倒撑；分跨跳仓施工底板，及时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 w:num="2" w:equalWidth="0">
            <w:col w:w="5652" w:space="0"/>
            <w:col w:w="5192" w:space="0"/>
          </w:cols>
          <w:docGrid w:linePitch="360"/>
        </w:sectPr>
      </w:pPr>
    </w:p>
    <w:p>
      <w:pPr>
        <w:autoSpaceDN w:val="0"/>
        <w:tabs>
          <w:tab w:pos="536" w:val="left"/>
        </w:tabs>
        <w:autoSpaceDE w:val="0"/>
        <w:widowControl/>
        <w:spacing w:line="264" w:lineRule="auto" w:before="0" w:after="0"/>
        <w:ind w:left="184" w:right="144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8"/>
        </w:rPr>
        <w:t>3.4.2   应急预案工作流程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根据工程的实际现状，对施工风险和环境风险评估之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后，针对本项目特别制定紧迫状况的应急方案。日常加强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教育和演习锻炼，提高抢险小组及相关工作人员的实战能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力，最大限度的减少损失。应急预案工作流程图如图1 所示。</w:t>
      </w:r>
    </w:p>
    <w:p>
      <w:pPr>
        <w:autoSpaceDN w:val="0"/>
        <w:tabs>
          <w:tab w:pos="536" w:val="left"/>
        </w:tabs>
        <w:autoSpaceDE w:val="0"/>
        <w:widowControl/>
        <w:spacing w:line="271" w:lineRule="auto" w:before="100" w:after="0"/>
        <w:ind w:left="184" w:right="288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3.5    实例应急措施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地铁施工过程周期较长、施工环境复杂，为了避免突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发事件造成人员伤亡，提高施工效率，需编制相应的应急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预案。依据本项目的工法特点及地质情况，制定本工程突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发事件及处理措施如下：</w:t>
      </w:r>
      <w:r>
        <w:br/>
      </w:r>
      <w:r>
        <w:rPr>
          <w:rFonts w:ascii="FZLTHJW" w:hAnsi="FZLTHJW" w:eastAsia="FZLTHJW"/>
          <w:b w:val="0"/>
          <w:i w:val="0"/>
          <w:color w:val="221F1F"/>
          <w:sz w:val="18"/>
        </w:rPr>
        <w:t>3.5.1   隧道进水风险的处理措施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盾构法施工段隧道周边的地质环境是重点管控对象，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尤其是上水管道的位置、管道直径大小、水压、埋深及周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边的地质条件。对于恶劣灾害性的天气如暴风雨等，要持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续关注其动态并做出有效的防护措施。必须布置防水构造，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并采用相应排水措施，如布置一些沙袋和水泥袋在隧道洞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口处，防止水流入隧道。</w:t>
      </w:r>
    </w:p>
    <w:p>
      <w:pPr>
        <w:autoSpaceDN w:val="0"/>
        <w:autoSpaceDE w:val="0"/>
        <w:widowControl/>
        <w:spacing w:line="185" w:lineRule="auto" w:before="102" w:after="98"/>
        <w:ind w:left="184" w:right="0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8"/>
        </w:rPr>
        <w:t>3.5.2   冷冻法联络通道风险的处理措施</w:t>
      </w:r>
    </w:p>
    <w:p>
      <w:pPr>
        <w:sectPr>
          <w:type w:val="nextColumn"/>
          <w:pgSz w:w="11906" w:h="16157"/>
          <w:pgMar w:top="986" w:right="662" w:bottom="148" w:left="400" w:header="720" w:footer="720" w:gutter="0"/>
          <w:cols w:num="2" w:equalWidth="0">
            <w:col w:w="5652" w:space="0"/>
            <w:col w:w="5192" w:space="0"/>
          </w:cols>
          <w:docGrid w:linePitch="360"/>
        </w:sectPr>
      </w:pPr>
    </w:p>
    <w:p>
      <w:pPr>
        <w:autoSpaceDN w:val="0"/>
        <w:tabs>
          <w:tab w:pos="6188" w:val="left"/>
        </w:tabs>
        <w:autoSpaceDE w:val="0"/>
        <w:widowControl/>
        <w:spacing w:line="185" w:lineRule="auto" w:before="0" w:after="102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封闭。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编写联络通道( 兼泵房) 明挖工程的针对性的施工方案，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/>
          <w:docGrid w:linePitch="360"/>
        </w:sectPr>
      </w:pPr>
    </w:p>
    <w:p>
      <w:pPr>
        <w:autoSpaceDN w:val="0"/>
        <w:tabs>
          <w:tab w:pos="1086" w:val="left"/>
        </w:tabs>
        <w:autoSpaceDE w:val="0"/>
        <w:widowControl/>
        <w:spacing w:line="250" w:lineRule="auto" w:before="0" w:after="0"/>
        <w:ind w:left="734" w:right="144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8"/>
        </w:rPr>
        <w:t>3.3.3   结构施工风险及其控制措施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结构施工风险包括：混凝土结构架体搭设不规范，造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成架体失稳；施工缝渗漏，基坑积水，边墙钢筋锈蚀。</w:t>
      </w:r>
    </w:p>
    <w:p>
      <w:pPr>
        <w:autoSpaceDN w:val="0"/>
        <w:autoSpaceDE w:val="0"/>
        <w:widowControl/>
        <w:spacing w:line="245" w:lineRule="auto" w:before="106" w:after="0"/>
        <w:ind w:left="734" w:right="144" w:firstLine="352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结构施工风险控制措施如下：针对结构、模板和脚手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架专门编写施工方案；结构、模板、脚手架等施工必须严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26" w:right="288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并邀请相关专家组进行论证。进行地面加固，加固体积为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区间结构顶部、底部及两侧各3m 厚区域。</w:t>
      </w:r>
    </w:p>
    <w:p>
      <w:pPr>
        <w:autoSpaceDN w:val="0"/>
        <w:autoSpaceDE w:val="0"/>
        <w:widowControl/>
        <w:spacing w:line="252" w:lineRule="auto" w:before="106" w:after="106"/>
        <w:ind w:left="226" w:right="358" w:firstLine="352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不断提高技术工人的专业能力，严格把控关键部位的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施工质量。增强对盐水温度、冻土温度、隧道结构与地表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沉降的测量。发现漏水、流砂立即停止开挖，采取措施进</w:t>
      </w:r>
    </w:p>
    <w:p>
      <w:pPr>
        <w:sectPr>
          <w:type w:val="nextColumn"/>
          <w:pgSz w:w="11906" w:h="16157"/>
          <w:pgMar w:top="986" w:right="662" w:bottom="148" w:left="400" w:header="720" w:footer="720" w:gutter="0"/>
          <w:cols w:num="2" w:equalWidth="0">
            <w:col w:w="5610" w:space="0"/>
            <w:col w:w="52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615"/>
        <w:gridCol w:w="3615"/>
        <w:gridCol w:w="3615"/>
      </w:tblGrid>
      <w:tr>
        <w:trPr>
          <w:trHeight w:hRule="exact" w:val="242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格按照已经批准的方案，若有变更必须经过审批；现场严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3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行封堵。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2" w:after="0"/>
              <w:ind w:left="0" w:right="174" w:firstLine="0"/>
              <w:jc w:val="right"/>
            </w:pPr>
            <w:r>
              <w:rPr>
                <w:w w:val="97.77777989705405"/>
                <w:rFonts w:ascii="KaiTi" w:hAnsi="KaiTi" w:eastAsia="KaiTi"/>
                <w:b w:val="0"/>
                <w:i w:val="0"/>
                <w:color w:val="221F1F"/>
                <w:sz w:val="18"/>
              </w:rPr>
              <w:t>（转下页）</w:t>
            </w:r>
          </w:p>
        </w:tc>
      </w:tr>
      <w:tr>
        <w:trPr>
          <w:trHeight w:hRule="exact" w:val="30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格履行验收制度，严格控制地连墙的工程质量；基坑挖时，</w:t>
            </w:r>
          </w:p>
        </w:tc>
        <w:tc>
          <w:tcPr>
            <w:tcW w:type="dxa" w:w="3615"/>
            <w:vMerge/>
            <w:tcBorders/>
          </w:tcPr>
          <w:p/>
        </w:tc>
        <w:tc>
          <w:tcPr>
            <w:tcW w:type="dxa" w:w="36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5" w:lineRule="auto" w:before="54" w:after="106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要及时对地连墙的渗漏点做封堵工作；做好各种缝隙、车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站与附属、盾构敬意衔接处的防止漏水处理工作。</w:t>
      </w:r>
    </w:p>
    <w:p>
      <w:pPr>
        <w:autoSpaceDN w:val="0"/>
        <w:tabs>
          <w:tab w:pos="1086" w:val="left"/>
        </w:tabs>
        <w:autoSpaceDE w:val="0"/>
        <w:widowControl/>
        <w:spacing w:line="245" w:lineRule="auto" w:before="100" w:after="0"/>
        <w:ind w:left="734" w:right="864" w:firstLine="0"/>
        <w:jc w:val="left"/>
      </w:pPr>
      <w:r>
        <w:rPr>
          <w:rFonts w:ascii="FZLTZHJW" w:hAnsi="FZLTZHJW" w:eastAsia="FZLTZHJW"/>
          <w:b w:val="0"/>
          <w:i w:val="0"/>
          <w:color w:val="221F1F"/>
          <w:sz w:val="20"/>
        </w:rPr>
        <w:t>3.4    应急救援预案</w:t>
      </w:r>
      <w:r>
        <w:br/>
      </w:r>
      <w:r>
        <w:rPr>
          <w:rFonts w:ascii="FZLTHJW" w:hAnsi="FZLTHJW" w:eastAsia="FZLTHJW"/>
          <w:b w:val="0"/>
          <w:i w:val="0"/>
          <w:color w:val="221F1F"/>
          <w:sz w:val="18"/>
        </w:rPr>
        <w:t>3.4.1   应急预案编制的原则</w:t>
      </w:r>
      <w:r>
        <w:br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一是针对性原则。需要针对不同工程建设中潜</w:t>
      </w:r>
    </w:p>
    <w:p>
      <w:pPr>
        <w:sectPr>
          <w:type w:val="continuous"/>
          <w:pgSz w:w="11906" w:h="16157"/>
          <w:pgMar w:top="986" w:right="662" w:bottom="148" w:left="400" w:header="720" w:footer="720" w:gutter="0"/>
          <w:cols w:num="2" w:equalWidth="0">
            <w:col w:w="5624" w:space="0"/>
            <w:col w:w="522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848"/>
        <w:ind w:left="926" w:right="0" w:firstLine="0"/>
        <w:jc w:val="left"/>
      </w:pPr>
      <w:r>
        <w:rPr>
          <w:rFonts w:ascii="FZLTXHJW" w:hAnsi="FZLTXHJW" w:eastAsia="FZLTXHJW"/>
          <w:b w:val="0"/>
          <w:i w:val="0"/>
          <w:color w:val="221F1F"/>
          <w:sz w:val="14"/>
        </w:rPr>
        <w:t>危险源及环境因素识别、评价</w:t>
      </w:r>
    </w:p>
    <w:p>
      <w:pPr>
        <w:sectPr>
          <w:type w:val="nextColumn"/>
          <w:pgSz w:w="11906" w:h="16157"/>
          <w:pgMar w:top="986" w:right="662" w:bottom="148" w:left="400" w:header="720" w:footer="720" w:gutter="0"/>
          <w:cols w:num="2" w:equalWidth="0">
            <w:col w:w="5624" w:space="0"/>
            <w:col w:w="52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422"/>
        <w:gridCol w:w="5422"/>
      </w:tblGrid>
      <w:tr>
        <w:trPr>
          <w:trHeight w:hRule="exact" w:val="336"/>
        </w:trPr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在的风险事故，制定相应的应急预案。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480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编制应急预案</w:t>
            </w:r>
          </w:p>
        </w:tc>
      </w:tr>
    </w:tbl>
    <w:p>
      <w:pPr>
        <w:autoSpaceDN w:val="0"/>
        <w:autoSpaceDE w:val="0"/>
        <w:widowControl/>
        <w:spacing w:line="185" w:lineRule="auto" w:before="52" w:after="16"/>
        <w:ind w:left="1086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二是科学性原则。应急预案的编制应在全面调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422"/>
        <w:gridCol w:w="5422"/>
      </w:tblGrid>
      <w:tr>
        <w:trPr>
          <w:trHeight w:hRule="exact" w:val="338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查基础上，结合专家的意见，进行科学验证，从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1400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成立抢险领导小组</w:t>
            </w:r>
          </w:p>
        </w:tc>
      </w:tr>
    </w:tbl>
    <w:p>
      <w:pPr>
        <w:autoSpaceDN w:val="0"/>
        <w:autoSpaceDE w:val="0"/>
        <w:widowControl/>
        <w:spacing w:line="185" w:lineRule="auto" w:before="52" w:after="24"/>
        <w:ind w:left="734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而编制出决策流程和处置方法。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615"/>
        <w:gridCol w:w="3615"/>
        <w:gridCol w:w="3615"/>
      </w:tblGrid>
      <w:tr>
        <w:trPr>
          <w:trHeight w:hRule="exact" w:val="32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72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三是可操作性原则。应急预案在有重大事件发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550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组建抢险队、救护车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2" w:after="0"/>
              <w:ind w:left="0" w:right="32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进行评审、修订</w:t>
            </w:r>
          </w:p>
        </w:tc>
      </w:tr>
      <w:tr>
        <w:trPr>
          <w:trHeight w:hRule="exact" w:val="32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生时，必须能够快速、有效的实施，以最大限度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4" w:after="0"/>
              <w:ind w:left="0" w:right="550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配备应急物资、设备</w:t>
            </w:r>
          </w:p>
        </w:tc>
        <w:tc>
          <w:tcPr>
            <w:tcW w:type="dxa" w:w="3615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37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降低损害。</w:t>
            </w:r>
          </w:p>
        </w:tc>
        <w:tc>
          <w:tcPr>
            <w:tcW w:type="dxa" w:w="3615"/>
            <w:vMerge/>
            <w:tcBorders/>
          </w:tcPr>
          <w:p/>
        </w:tc>
        <w:tc>
          <w:tcPr>
            <w:tcW w:type="dxa" w:w="36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auto" w:before="56" w:after="24"/>
        <w:ind w:left="1086" w:right="0" w:firstLine="0"/>
        <w:jc w:val="left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四是完整性原则。启动应急预案时，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69"/>
        <w:gridCol w:w="2169"/>
        <w:gridCol w:w="2169"/>
        <w:gridCol w:w="2169"/>
        <w:gridCol w:w="2169"/>
      </w:tblGrid>
      <w:tr>
        <w:trPr>
          <w:trHeight w:hRule="exact" w:val="318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4" w:after="0"/>
              <w:ind w:left="73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要确保有关部门给予支持。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0" w:after="0"/>
              <w:ind w:left="414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定期评审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90" w:right="0" w:firstLine="0"/>
              <w:jc w:val="lef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应急知识教育、培训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0" w:after="0"/>
              <w:ind w:left="0" w:right="272" w:firstLine="0"/>
              <w:jc w:val="right"/>
            </w:pPr>
            <w:r>
              <w:rPr>
                <w:rFonts w:ascii="FZLTXHJW" w:hAnsi="FZLTXHJW" w:eastAsia="FZLTXHJW"/>
                <w:b w:val="0"/>
                <w:i w:val="0"/>
                <w:color w:val="221F1F"/>
                <w:sz w:val="14"/>
              </w:rPr>
              <w:t>实施应急预案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263</w:t>
            </w:r>
          </w:p>
        </w:tc>
      </w:tr>
      <w:tr>
        <w:trPr>
          <w:trHeight w:hRule="exact" w:val="500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6" w:after="0"/>
              <w:ind w:left="1086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五是合规性原则。应急预案的条文需</w:t>
            </w:r>
          </w:p>
        </w:tc>
        <w:tc>
          <w:tcPr>
            <w:tcW w:type="dxa" w:w="6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70" w:after="0"/>
              <w:ind w:left="0" w:right="2008" w:firstLine="0"/>
              <w:jc w:val="right"/>
            </w:pPr>
            <w:r>
              <w:rPr>
                <w:rFonts w:ascii="FZLTHJW" w:hAnsi="FZLTHJW" w:eastAsia="FZLTHJW"/>
                <w:b w:val="0"/>
                <w:i w:val="0"/>
                <w:color w:val="221F1F"/>
                <w:sz w:val="16"/>
              </w:rPr>
              <w:t>图1   应急预案工作流程</w:t>
            </w:r>
          </w:p>
        </w:tc>
        <w:tc>
          <w:tcPr>
            <w:tcW w:type="dxa" w:w="2169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10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ZLTXHJW" w:hAnsi="FZLTXHJW" w:eastAsia="FZLTXHJW"/>
                <w:b w:val="0"/>
                <w:i w:val="0"/>
                <w:color w:val="626366"/>
                <w:sz w:val="15"/>
              </w:rPr>
              <w:t>CM&amp;M 2023.02</w:t>
            </w:r>
          </w:p>
        </w:tc>
        <w:tc>
          <w:tcPr>
            <w:tcW w:type="dxa" w:w="21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157"/>
          <w:pgMar w:top="986" w:right="662" w:bottom="14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54300" cy="215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7" w:lineRule="auto" w:before="994" w:after="0"/>
        <w:ind w:left="990" w:right="0" w:firstLine="0"/>
        <w:jc w:val="left"/>
      </w:pPr>
      <w:r>
        <w:rPr>
          <w:w w:val="98.99494647979736"/>
          <w:rFonts w:ascii="FZZZHONGJW" w:hAnsi="FZZZHONGJW" w:eastAsia="FZZZHONGJW"/>
          <w:b w:val="0"/>
          <w:i w:val="0"/>
          <w:color w:val="221F1F"/>
          <w:sz w:val="48"/>
        </w:rPr>
        <w:t>地铁车站机电设备安装中综合管线施工技术探讨</w:t>
      </w:r>
    </w:p>
    <w:p>
      <w:pPr>
        <w:autoSpaceDN w:val="0"/>
        <w:autoSpaceDE w:val="0"/>
        <w:widowControl/>
        <w:spacing w:line="185" w:lineRule="auto" w:before="402" w:after="0"/>
        <w:ind w:left="0" w:right="4698" w:firstLine="0"/>
        <w:jc w:val="right"/>
      </w:pPr>
      <w:r>
        <w:rPr>
          <w:rFonts w:ascii="MicrosoftYaHei" w:hAnsi="MicrosoftYaHei" w:eastAsia="MicrosoftYaHei"/>
          <w:b w:val="0"/>
          <w:i w:val="0"/>
          <w:color w:val="221F1F"/>
          <w:sz w:val="20"/>
        </w:rPr>
        <w:t>李雪</w:t>
      </w:r>
    </w:p>
    <w:p>
      <w:pPr>
        <w:autoSpaceDN w:val="0"/>
        <w:autoSpaceDE w:val="0"/>
        <w:widowControl/>
        <w:spacing w:line="185" w:lineRule="auto" w:before="238" w:after="0"/>
        <w:ind w:left="0" w:right="2522" w:firstLine="0"/>
        <w:jc w:val="right"/>
      </w:pPr>
      <w:r>
        <w:rPr>
          <w:rFonts w:ascii="FZSYJW" w:hAnsi="FZSYJW" w:eastAsia="FZSYJW"/>
          <w:b w:val="0"/>
          <w:i w:val="0"/>
          <w:color w:val="221F1F"/>
          <w:sz w:val="20"/>
        </w:rPr>
        <w:t>（中铁十九局集团电务工程有限公司，北京   100162）</w:t>
      </w:r>
    </w:p>
    <w:p>
      <w:pPr>
        <w:autoSpaceDN w:val="0"/>
        <w:autoSpaceDE w:val="0"/>
        <w:widowControl/>
        <w:spacing w:line="266" w:lineRule="auto" w:before="394" w:after="0"/>
        <w:ind w:left="1020" w:right="22" w:firstLine="0"/>
        <w:jc w:val="both"/>
      </w:pPr>
      <w:r>
        <w:rPr>
          <w:rFonts w:ascii="FZLTHJW" w:hAnsi="FZLTHJW" w:eastAsia="FZLTHJW"/>
          <w:b w:val="0"/>
          <w:i w:val="0"/>
          <w:color w:val="221F1F"/>
          <w:sz w:val="17"/>
        </w:rPr>
        <w:t>摘要：</w:t>
      </w:r>
      <w:r>
        <w:rPr>
          <w:rFonts w:ascii="FZSYJW" w:hAnsi="FZSYJW" w:eastAsia="FZSYJW"/>
          <w:b w:val="0"/>
          <w:i w:val="0"/>
          <w:color w:val="221F1F"/>
          <w:sz w:val="17"/>
        </w:rPr>
        <w:t>相对于地上交通设施建设来说，地铁线路相关机电设备安装大多位于地下区域内，其实际施工空间较为狭小，并且机电设</w:t>
      </w:r>
      <w:r>
        <w:rPr>
          <w:rFonts w:ascii="FZSYJW" w:hAnsi="FZSYJW" w:eastAsia="FZSYJW"/>
          <w:b w:val="0"/>
          <w:i w:val="0"/>
          <w:color w:val="221F1F"/>
          <w:sz w:val="17"/>
        </w:rPr>
        <w:t>备安装中管线施工会对周边建筑物造成影响。因此，在地铁车站机电设备安装中，必须要综合考虑管线施工的安全性和合理性。</w:t>
      </w:r>
      <w:r>
        <w:rPr>
          <w:rFonts w:ascii="FZSYJW" w:hAnsi="FZSYJW" w:eastAsia="FZSYJW"/>
          <w:b w:val="0"/>
          <w:i w:val="0"/>
          <w:color w:val="221F1F"/>
          <w:sz w:val="17"/>
        </w:rPr>
        <w:t>以青岛市地铁四号线为例，按照地铁车站机电设备安装中综合管理施工原则，结合BIM 技术，从分专业建模、BIM 模型整合应</w:t>
      </w:r>
      <w:r>
        <w:rPr>
          <w:rFonts w:ascii="FZSYJW" w:hAnsi="FZSYJW" w:eastAsia="FZSYJW"/>
          <w:b w:val="0"/>
          <w:i w:val="0"/>
          <w:color w:val="221F1F"/>
          <w:sz w:val="17"/>
        </w:rPr>
        <w:t>用两个角度，分析地铁车站机电设备安装中综合管理施工技术要点。</w:t>
      </w:r>
    </w:p>
    <w:p>
      <w:pPr>
        <w:autoSpaceDN w:val="0"/>
        <w:autoSpaceDE w:val="0"/>
        <w:widowControl/>
        <w:spacing w:line="185" w:lineRule="auto" w:before="110" w:after="0"/>
        <w:ind w:left="1020" w:right="0" w:firstLine="0"/>
        <w:jc w:val="left"/>
      </w:pPr>
      <w:r>
        <w:rPr>
          <w:rFonts w:ascii="FZLTHJW" w:hAnsi="FZLTHJW" w:eastAsia="FZLTHJW"/>
          <w:b w:val="0"/>
          <w:i w:val="0"/>
          <w:color w:val="221F1F"/>
          <w:sz w:val="17"/>
        </w:rPr>
        <w:t>关键词：</w:t>
      </w:r>
      <w:r>
        <w:rPr>
          <w:rFonts w:ascii="FZSYJW" w:hAnsi="FZSYJW" w:eastAsia="FZSYJW"/>
          <w:b w:val="0"/>
          <w:i w:val="0"/>
          <w:color w:val="221F1F"/>
          <w:sz w:val="17"/>
        </w:rPr>
        <w:t>地铁车站；机电设备；综合管线施工技术</w:t>
      </w:r>
    </w:p>
    <w:p>
      <w:pPr>
        <w:autoSpaceDN w:val="0"/>
        <w:tabs>
          <w:tab w:pos="6122" w:val="left"/>
        </w:tabs>
        <w:autoSpaceDE w:val="0"/>
        <w:widowControl/>
        <w:spacing w:line="276" w:lineRule="exact" w:before="1034" w:after="42"/>
        <w:ind w:left="1020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22"/>
        </w:rPr>
        <w:t>1   工程概况</w:t>
      </w:r>
      <w:r>
        <w:tab/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号线与3 号线换乘车站。由于涉及到线路换乘问题，且所</w:t>
      </w:r>
    </w:p>
    <w:p>
      <w:pPr>
        <w:sectPr>
          <w:pgSz w:w="11906" w:h="16157"/>
          <w:pgMar w:top="300" w:right="1112" w:bottom="14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0"/>
        <w:ind w:left="1020" w:right="226" w:firstLine="352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青岛地铁4 号线作为青岛市主城区东西向主干线，其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线路总体呈现为东西走向，线路全长约30.718km，整个地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铁线路均为地下线，共设置25 座地铁车站。青岛地铁4 号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线途经人口密集的市南区和市北区等处，施工过程会对沿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线环境造成一定影响，所以在选线、设计以及综合管线施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工中必须要对相关因素进行综合考虑，并采取针对性措施。</w:t>
      </w:r>
    </w:p>
    <w:p>
      <w:pPr>
        <w:sectPr>
          <w:type w:val="continuous"/>
          <w:pgSz w:w="11906" w:h="16157"/>
          <w:pgMar w:top="300" w:right="1112" w:bottom="144" w:left="0" w:header="720" w:footer="720" w:gutter="0"/>
          <w:cols w:num="2" w:equalWidth="0">
            <w:col w:w="5896" w:space="0"/>
            <w:col w:w="4898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226" w:right="28" w:firstLine="0"/>
        <w:jc w:val="both"/>
      </w:pP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在区域内存在大量原有建筑物，导致线路整体施工难度大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幅度提升。为保障地铁车站机电设备安装中综合管线施工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的有序推进，具体施工中采用BIM 技术作为综合管线施工</w:t>
      </w:r>
      <w:r>
        <w:rPr>
          <w:w w:val="97.77777989705405"/>
          <w:rFonts w:ascii="FZSYJW" w:hAnsi="FZSYJW" w:eastAsia="FZSYJW"/>
          <w:b w:val="0"/>
          <w:i w:val="0"/>
          <w:color w:val="221F1F"/>
          <w:sz w:val="18"/>
        </w:rPr>
        <w:t>指导，以此来提前发现和解决管线碰撞问题。</w:t>
      </w:r>
    </w:p>
    <w:p>
      <w:pPr>
        <w:autoSpaceDN w:val="0"/>
        <w:autoSpaceDE w:val="0"/>
        <w:widowControl/>
        <w:spacing w:line="276" w:lineRule="exact" w:before="388" w:after="36"/>
        <w:ind w:left="226" w:right="0" w:firstLine="0"/>
        <w:jc w:val="left"/>
      </w:pPr>
      <w:r>
        <w:rPr>
          <w:rFonts w:ascii="AdobeHeitiStd" w:hAnsi="AdobeHeitiStd" w:eastAsia="AdobeHeitiStd"/>
          <w:b w:val="0"/>
          <w:i w:val="0"/>
          <w:color w:val="221F1F"/>
          <w:sz w:val="22"/>
        </w:rPr>
        <w:t>2   综合管线施工技术要点</w:t>
      </w:r>
    </w:p>
    <w:p>
      <w:pPr>
        <w:sectPr>
          <w:type w:val="nextColumn"/>
          <w:pgSz w:w="11906" w:h="16157"/>
          <w:pgMar w:top="300" w:right="1112" w:bottom="144" w:left="0" w:header="720" w:footer="720" w:gutter="0"/>
          <w:cols w:num="2" w:equalWidth="0">
            <w:col w:w="5896" w:space="0"/>
            <w:col w:w="48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598"/>
        <w:gridCol w:w="3598"/>
        <w:gridCol w:w="3598"/>
      </w:tblGrid>
      <w:tr>
        <w:trPr>
          <w:trHeight w:hRule="exact" w:val="256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1172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青岛地铁4 号线中鞍山路站为4 号线与8 号线换乘车站，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82" w:right="0" w:firstLine="0"/>
              <w:jc w:val="left"/>
            </w:pPr>
            <w:r>
              <w:rPr>
                <w:rFonts w:ascii="FZLTZHJW" w:hAnsi="FZLTZHJW" w:eastAsia="FZLTZHJW"/>
                <w:b w:val="0"/>
                <w:i w:val="0"/>
                <w:color w:val="221F1F"/>
                <w:sz w:val="20"/>
              </w:rPr>
              <w:t>2.1    分专业建模</w:t>
            </w:r>
          </w:p>
        </w:tc>
      </w:tr>
      <w:tr>
        <w:trPr>
          <w:trHeight w:hRule="exact" w:val="596"/>
        </w:trPr>
        <w:tc>
          <w:tcPr>
            <w:tcW w:type="dxa" w:w="5740"/>
            <w:tcBorders>
              <w:bottom w:sz="8.0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海泊桥站为4 号线与1 号线南延线换乘车站，错埠岭站为4</w:t>
            </w:r>
          </w:p>
        </w:tc>
        <w:tc>
          <w:tcPr>
            <w:tcW w:type="dxa" w:w="4834"/>
            <w:gridSpan w:val="2"/>
            <w:tcBorders>
              <w:bottom w:sz="8.0" w:val="single" w:color="#80828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50" w:after="0"/>
              <w:ind w:left="534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鞍山路站基于BIM 技术实施分专业建模，具体涉及专</w:t>
            </w:r>
          </w:p>
        </w:tc>
      </w:tr>
      <w:tr>
        <w:trPr>
          <w:trHeight w:hRule="exact" w:val="584"/>
        </w:trPr>
        <w:tc>
          <w:tcPr>
            <w:tcW w:type="dxa" w:w="5740"/>
            <w:tcBorders>
              <w:top w:sz="8.0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2" w:after="0"/>
              <w:ind w:left="1172" w:right="0" w:firstLine="0"/>
              <w:jc w:val="left"/>
            </w:pPr>
            <w:r>
              <w:rPr>
                <w:w w:val="97.77777989705405"/>
                <w:rFonts w:ascii="KaiTi" w:hAnsi="KaiTi" w:eastAsia="KaiTi"/>
                <w:b w:val="0"/>
                <w:i w:val="0"/>
                <w:color w:val="221F1F"/>
                <w:sz w:val="18"/>
              </w:rPr>
              <w:t>（接上页）</w:t>
            </w:r>
          </w:p>
        </w:tc>
        <w:tc>
          <w:tcPr>
            <w:tcW w:type="dxa" w:w="4834"/>
            <w:gridSpan w:val="2"/>
            <w:tcBorders>
              <w:top w:sz="8.0" w:val="single" w:color="#80828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8" w:after="0"/>
              <w:ind w:left="0" w:right="1936" w:firstLine="0"/>
              <w:jc w:val="right"/>
            </w:pPr>
            <w:r>
              <w:rPr>
                <w:w w:val="97.77777989705405"/>
                <w:rFonts w:ascii="AdobeHeitiStd" w:hAnsi="AdobeHeitiStd" w:eastAsia="AdobeHeitiStd"/>
                <w:b w:val="0"/>
                <w:i w:val="0"/>
                <w:color w:val="221F1F"/>
                <w:sz w:val="18"/>
              </w:rPr>
              <w:t xml:space="preserve">参考文献 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820" w:right="0" w:firstLine="0"/>
              <w:jc w:val="left"/>
            </w:pPr>
            <w:r>
              <w:rPr>
                <w:rFonts w:ascii="FZLTHJW" w:hAnsi="FZLTHJW" w:eastAsia="FZLTHJW"/>
                <w:b w:val="0"/>
                <w:i w:val="0"/>
                <w:color w:val="221F1F"/>
                <w:sz w:val="18"/>
              </w:rPr>
              <w:t>3.5.3   火灾事故的处理措施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[1]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蒋频, 李远富. 基于主成分分析的地铁车站施工风险评估研究</w:t>
            </w:r>
          </w:p>
        </w:tc>
      </w:tr>
      <w:tr>
        <w:trPr>
          <w:trHeight w:hRule="exact" w:val="28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8" w:after="0"/>
              <w:ind w:left="1172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遇到火灾事故时，应立刻疏通现场，有序组织撤离，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[J]. 现代隧道技术,2021,58(1):67-74.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并保证现场的完整性。抢险技术人员立刻检查现场情况。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[2]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叶新丰, 王霆, 赵智涛, 等. 城市轨道交通施工安全风险监控系</w:t>
            </w:r>
          </w:p>
        </w:tc>
      </w:tr>
      <w:tr>
        <w:trPr>
          <w:trHeight w:hRule="exact" w:val="28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按照实际情况和现有的文件，共同迅速决策，采用有效的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2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统升级设计与功能创新[J]. 都市快轨交通,2021,34(1):110-114.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应急措施。当事发现场旁边的居民受到威胁时，应立刻通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[3]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何谨涵. 市政工程施工过程面临安全风险及防控措施[J]. 中国</w:t>
            </w:r>
          </w:p>
        </w:tc>
      </w:tr>
      <w:tr>
        <w:trPr>
          <w:trHeight w:hRule="exact" w:val="28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告相关政府部门及相关居委会。发生电气火警，应立刻切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建设信息化,2020(19):70-71.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0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断起火部位电源，使用干粉类型灭火器灭火。发生气体火警，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[4]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沈金能. 大断面红黏土铁路隧道施工安全风险评价及对策[J].</w:t>
            </w:r>
          </w:p>
        </w:tc>
      </w:tr>
      <w:tr>
        <w:trPr>
          <w:trHeight w:hRule="exact" w:val="228"/>
        </w:trPr>
        <w:tc>
          <w:tcPr>
            <w:tcW w:type="dxa" w:w="5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12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应立刻关闭气体阀门，使用干粉类型灭火器灭火。</w:t>
            </w:r>
          </w:p>
        </w:tc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2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[5]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石河子科技,2020(5):20-21.</w:t>
            </w:r>
          </w:p>
        </w:tc>
      </w:tr>
      <w:tr>
        <w:trPr>
          <w:trHeight w:hRule="exact" w:val="272"/>
        </w:trPr>
        <w:tc>
          <w:tcPr>
            <w:tcW w:type="dxa" w:w="3598"/>
            <w:vMerge/>
            <w:tcBorders/>
          </w:tcPr>
          <w:p/>
        </w:tc>
        <w:tc>
          <w:tcPr>
            <w:tcW w:type="dxa" w:w="3598"/>
            <w:vMerge/>
            <w:tcBorders/>
          </w:tcPr>
          <w:p/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杨战勇. 某轨道交通1 号线盾构施工安全风险管理[J]. 科技经</w:t>
            </w:r>
          </w:p>
        </w:tc>
      </w:tr>
      <w:tr>
        <w:trPr>
          <w:trHeight w:hRule="exact" w:val="280"/>
        </w:trPr>
        <w:tc>
          <w:tcPr>
            <w:tcW w:type="dxa" w:w="5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0" w:after="0"/>
              <w:ind w:left="820" w:right="0" w:firstLine="0"/>
              <w:jc w:val="left"/>
            </w:pPr>
            <w:r>
              <w:rPr>
                <w:rFonts w:ascii="AdobeHeitiStd" w:hAnsi="AdobeHeitiStd" w:eastAsia="AdobeHeitiStd"/>
                <w:b w:val="0"/>
                <w:i w:val="0"/>
                <w:color w:val="221F1F"/>
                <w:sz w:val="22"/>
              </w:rPr>
              <w:t>4   结语</w:t>
            </w:r>
          </w:p>
        </w:tc>
        <w:tc>
          <w:tcPr>
            <w:tcW w:type="dxa" w:w="4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4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[6]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2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济导刊,2020,28(27):53+52.</w:t>
            </w:r>
          </w:p>
        </w:tc>
      </w:tr>
      <w:tr>
        <w:trPr>
          <w:trHeight w:hRule="exact" w:val="240"/>
        </w:trPr>
        <w:tc>
          <w:tcPr>
            <w:tcW w:type="dxa" w:w="3598"/>
            <w:vMerge/>
            <w:tcBorders/>
          </w:tcPr>
          <w:p/>
        </w:tc>
        <w:tc>
          <w:tcPr>
            <w:tcW w:type="dxa" w:w="3598"/>
            <w:vMerge/>
            <w:tcBorders/>
          </w:tcPr>
          <w:p/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江洪. 中心城区地下道路建设风险分析及对策[J]. 城市道桥与</w:t>
            </w:r>
          </w:p>
        </w:tc>
      </w:tr>
      <w:tr>
        <w:trPr>
          <w:trHeight w:hRule="exact" w:val="28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8" w:after="0"/>
              <w:ind w:left="1172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为加强地下施工阶段的安全管控，本文基于地铁地下车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防洪,2020(9):111-116+17-18.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站工程，采用风险矩阵法，对施工前期及施工期间的风险源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[7]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18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金学胜. 地铁深基坑施工风险及控制措施探讨[J]. 工程技术研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分析。研究结果表明，本工程安全风险等级为III 级。鉴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2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究,2020,5(17):176-177.</w:t>
            </w:r>
          </w:p>
        </w:tc>
      </w:tr>
      <w:tr>
        <w:trPr>
          <w:trHeight w:hRule="exact" w:val="28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2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于此，为施工过程中的风险制定专项风险控制措施，并编制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[8]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6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冯亮, 邓志力, 肖国峰. 尾矿库溃坝影响下的道路建设安全评</w:t>
            </w:r>
          </w:p>
        </w:tc>
      </w:tr>
      <w:tr>
        <w:trPr>
          <w:trHeight w:hRule="exact" w:val="30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专项的风险控制措施。为了避免发生突发事件对项目、人员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0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估和风险防控研究[J]. 路基工程,2021(2):198-204.</w:t>
            </w:r>
          </w:p>
        </w:tc>
      </w:tr>
      <w:tr>
        <w:trPr>
          <w:trHeight w:hRule="exact" w:val="28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4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造成不良影响，提出了风险控制措施、紧急预案，将风险控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68" w:firstLine="0"/>
              <w:jc w:val="righ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[9] </w:t>
            </w:r>
          </w:p>
        </w:tc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center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>刘杰, 王文建. 盾构隧道下穿铁路路基应对措施及安全评估[J].</w:t>
            </w:r>
          </w:p>
        </w:tc>
      </w:tr>
      <w:tr>
        <w:trPr>
          <w:trHeight w:hRule="exact" w:val="520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8" w:after="0"/>
              <w:ind w:left="820" w:right="0" w:firstLine="0"/>
              <w:jc w:val="left"/>
            </w:pPr>
            <w:r>
              <w:rPr>
                <w:w w:val="97.77777989705405"/>
                <w:rFonts w:ascii="FZSYJW" w:hAnsi="FZSYJW" w:eastAsia="FZSYJW"/>
                <w:b w:val="0"/>
                <w:i w:val="0"/>
                <w:color w:val="221F1F"/>
                <w:sz w:val="18"/>
              </w:rPr>
              <w:t>制在源头，可为决策车站土建施工安全生产管理提供参考。</w:t>
            </w:r>
          </w:p>
        </w:tc>
        <w:tc>
          <w:tcPr>
            <w:tcW w:type="dxa" w:w="48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494" w:right="0" w:firstLine="0"/>
              <w:jc w:val="left"/>
            </w:pPr>
            <w:r>
              <w:rPr>
                <w:rFonts w:ascii="FZSYJW" w:hAnsi="FZSYJW" w:eastAsia="FZSYJW"/>
                <w:b w:val="0"/>
                <w:i w:val="0"/>
                <w:color w:val="221F1F"/>
                <w:sz w:val="16"/>
              </w:rPr>
              <w:t xml:space="preserve"> 路基工程,2020(2):169-174.</w:t>
            </w:r>
          </w:p>
        </w:tc>
      </w:tr>
      <w:tr>
        <w:trPr>
          <w:trHeight w:hRule="exact" w:val="508"/>
        </w:trPr>
        <w:tc>
          <w:tcPr>
            <w:tcW w:type="dxa" w:w="105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52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9"/>
              </w:rPr>
              <w:t>264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157"/>
      <w:pgMar w:top="300" w:right="1112" w:bottom="14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