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419100</wp:posOffset>
            </wp:positionV>
            <wp:extent cx="6896100" cy="31779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17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auto" w:before="0" w:after="0"/>
        <w:ind w:left="1296" w:right="0" w:firstLine="0"/>
        <w:jc w:val="left"/>
      </w:pPr>
      <w:r>
        <w:rPr>
          <w:rFonts w:ascii="MicrosoftYaHei" w:hAnsi="MicrosoftYaHei" w:eastAsia="MicrosoftYaHei"/>
          <w:b w:val="0"/>
          <w:i w:val="0"/>
          <w:color w:val="00A9A3"/>
          <w:sz w:val="24"/>
        </w:rPr>
        <w:t>本刊特稿</w:t>
      </w:r>
    </w:p>
    <w:p>
      <w:pPr>
        <w:autoSpaceDN w:val="0"/>
        <w:autoSpaceDE w:val="0"/>
        <w:widowControl/>
        <w:spacing w:line="187" w:lineRule="auto" w:before="800" w:after="0"/>
        <w:ind w:left="810" w:right="0" w:firstLine="0"/>
        <w:jc w:val="left"/>
      </w:pPr>
      <w:r>
        <w:rPr>
          <w:rFonts w:ascii="FZLTZHK" w:hAnsi="FZLTZHK" w:eastAsia="FZLTZHK"/>
          <w:b w:val="0"/>
          <w:i w:val="0"/>
          <w:color w:val="00A9AC"/>
          <w:sz w:val="41"/>
        </w:rPr>
        <w:t>南通轨道交通特殊地质条件下盾构施工的风险及对策</w:t>
      </w:r>
    </w:p>
    <w:p>
      <w:pPr>
        <w:autoSpaceDN w:val="0"/>
        <w:autoSpaceDE w:val="0"/>
        <w:widowControl/>
        <w:spacing w:line="192" w:lineRule="auto" w:before="718" w:after="0"/>
        <w:ind w:left="0" w:right="0" w:firstLine="0"/>
        <w:jc w:val="center"/>
      </w:pPr>
      <w:r>
        <w:rPr>
          <w:rFonts w:ascii="FZLTZHK" w:hAnsi="FZLTZHK" w:eastAsia="FZLTZHK"/>
          <w:b w:val="0"/>
          <w:i w:val="0"/>
          <w:color w:val="221F1F"/>
          <w:sz w:val="19"/>
        </w:rPr>
        <w:t>廖云洋</w:t>
      </w:r>
      <w:r>
        <w:rPr>
          <w:rFonts w:ascii="FZLTXHK" w:hAnsi="FZLTXHK" w:eastAsia="FZLTXHK"/>
          <w:b w:val="0"/>
          <w:i w:val="0"/>
          <w:color w:val="221F1F"/>
          <w:sz w:val="19"/>
        </w:rPr>
        <w:t xml:space="preserve">/LIAO Yunyang </w:t>
      </w:r>
      <w:r>
        <w:rPr>
          <w:w w:val="101.70228264548562"/>
          <w:rFonts w:ascii="FZLTXHK" w:hAnsi="FZLTXHK" w:eastAsia="FZLTXHK"/>
          <w:b w:val="0"/>
          <w:i w:val="0"/>
          <w:color w:val="221F1F"/>
          <w:sz w:val="11"/>
        </w:rPr>
        <w:t>1</w:t>
      </w:r>
      <w:r>
        <w:rPr>
          <w:rFonts w:ascii="FZLTZHK" w:hAnsi="FZLTZHK" w:eastAsia="FZLTZHK"/>
          <w:b w:val="0"/>
          <w:i w:val="0"/>
          <w:color w:val="221F1F"/>
          <w:sz w:val="19"/>
        </w:rPr>
        <w:t>陈叔</w:t>
      </w:r>
      <w:r>
        <w:rPr>
          <w:rFonts w:ascii="FZLTXHK" w:hAnsi="FZLTXHK" w:eastAsia="FZLTXHK"/>
          <w:b w:val="0"/>
          <w:i w:val="0"/>
          <w:color w:val="221F1F"/>
          <w:sz w:val="19"/>
        </w:rPr>
        <w:t xml:space="preserve">/CHEN Shu </w:t>
      </w:r>
      <w:r>
        <w:rPr>
          <w:w w:val="101.70228264548562"/>
          <w:rFonts w:ascii="FZLTXHK" w:hAnsi="FZLTXHK" w:eastAsia="FZLTXHK"/>
          <w:b w:val="0"/>
          <w:i w:val="0"/>
          <w:color w:val="221F1F"/>
          <w:sz w:val="11"/>
        </w:rPr>
        <w:t>2</w:t>
      </w:r>
    </w:p>
    <w:p>
      <w:pPr>
        <w:autoSpaceDN w:val="0"/>
        <w:autoSpaceDE w:val="0"/>
        <w:widowControl/>
        <w:spacing w:line="182" w:lineRule="auto" w:before="96" w:after="0"/>
        <w:ind w:left="888" w:right="0" w:firstLine="0"/>
        <w:jc w:val="left"/>
      </w:pPr>
      <w:r>
        <w:rPr>
          <w:rFonts w:ascii="FZLTXHK" w:hAnsi="FZLTXHK" w:eastAsia="FZLTXHK"/>
          <w:b w:val="0"/>
          <w:i w:val="0"/>
          <w:color w:val="221F1F"/>
          <w:sz w:val="19"/>
        </w:rPr>
        <w:t xml:space="preserve">（1. 中铁二局集团第五工程有限公司，四川 成都 610091； 2. 中铁二局集团有限公司，四川  成都 610031） </w:t>
      </w:r>
    </w:p>
    <w:p>
      <w:pPr>
        <w:autoSpaceDN w:val="0"/>
        <w:autoSpaceDE w:val="0"/>
        <w:widowControl/>
        <w:spacing w:line="245" w:lineRule="auto" w:before="960" w:after="0"/>
        <w:ind w:left="1442" w:right="1860" w:firstLine="0"/>
        <w:jc w:val="both"/>
      </w:pPr>
      <w:r>
        <w:rPr>
          <w:rFonts w:ascii="FZLTZHK" w:hAnsi="FZLTZHK" w:eastAsia="FZLTZHK"/>
          <w:b w:val="0"/>
          <w:i w:val="0"/>
          <w:color w:val="221F1F"/>
          <w:sz w:val="17"/>
        </w:rPr>
        <w:t>摘要：</w:t>
      </w:r>
      <w:r>
        <w:rPr>
          <w:rFonts w:ascii="FZLTXHK" w:hAnsi="FZLTXHK" w:eastAsia="FZLTXHK"/>
          <w:b w:val="0"/>
          <w:i w:val="0"/>
          <w:color w:val="221F1F"/>
          <w:sz w:val="17"/>
        </w:rPr>
        <w:t>南通市轨道交通1 号线一期工程北起通州区平潮镇，向东连接至南通经济技术开发区振兴路。轨道交</w:t>
      </w:r>
      <w:r>
        <w:rPr>
          <w:rFonts w:ascii="FZLTXHK" w:hAnsi="FZLTXHK" w:eastAsia="FZLTXHK"/>
          <w:b w:val="0"/>
          <w:i w:val="0"/>
          <w:color w:val="221F1F"/>
          <w:sz w:val="17"/>
        </w:rPr>
        <w:t>通1 号线一期全长39.46km，共设车站28 座，其中换乘站5 座。工程第3 标段盾构施工区间，地处南通</w:t>
      </w:r>
      <w:r>
        <w:rPr>
          <w:rFonts w:ascii="FZLTXHK" w:hAnsi="FZLTXHK" w:eastAsia="FZLTXHK"/>
          <w:b w:val="0"/>
          <w:i w:val="0"/>
          <w:color w:val="221F1F"/>
          <w:sz w:val="17"/>
        </w:rPr>
        <w:t>市中心，穿越5A 景区濠河风景区、中心商业区、城市主干道、农贸市场及老旧居民区，与既有建筑及河床</w:t>
      </w:r>
      <w:r>
        <w:rPr>
          <w:rFonts w:ascii="FZLTXHK" w:hAnsi="FZLTXHK" w:eastAsia="FZLTXHK"/>
          <w:b w:val="0"/>
          <w:i w:val="0"/>
          <w:color w:val="221F1F"/>
          <w:sz w:val="17"/>
        </w:rPr>
        <w:t>底部距离近。同时区间线路设计转弯半径小，转弯曲线距离长，工程施工难度大、风险高。因此，必须采</w:t>
      </w:r>
      <w:r>
        <w:rPr>
          <w:rFonts w:ascii="FZLTXHK" w:hAnsi="FZLTXHK" w:eastAsia="FZLTXHK"/>
          <w:b w:val="0"/>
          <w:i w:val="0"/>
          <w:color w:val="221F1F"/>
          <w:sz w:val="17"/>
        </w:rPr>
        <w:t>用相应对策和特殊施工方法，才能安全完成施工任务。</w:t>
      </w:r>
    </w:p>
    <w:p>
      <w:pPr>
        <w:autoSpaceDN w:val="0"/>
        <w:autoSpaceDE w:val="0"/>
        <w:widowControl/>
        <w:spacing w:line="182" w:lineRule="auto" w:before="364" w:after="0"/>
        <w:ind w:left="1442" w:right="0" w:firstLine="0"/>
        <w:jc w:val="left"/>
      </w:pPr>
      <w:r>
        <w:rPr>
          <w:rFonts w:ascii="FZLTZHK" w:hAnsi="FZLTZHK" w:eastAsia="FZLTZHK"/>
          <w:b w:val="0"/>
          <w:i w:val="0"/>
          <w:color w:val="221F1F"/>
          <w:sz w:val="17"/>
        </w:rPr>
        <w:t>关键词：</w:t>
      </w:r>
      <w:r>
        <w:rPr>
          <w:rFonts w:ascii="FZLTXHK" w:hAnsi="FZLTXHK" w:eastAsia="FZLTXHK"/>
          <w:b w:val="0"/>
          <w:i w:val="0"/>
          <w:color w:val="221F1F"/>
          <w:sz w:val="17"/>
        </w:rPr>
        <w:t>南通地铁；盾构施工；风险及对策</w:t>
      </w:r>
    </w:p>
    <w:p>
      <w:pPr>
        <w:autoSpaceDN w:val="0"/>
        <w:autoSpaceDE w:val="0"/>
        <w:widowControl/>
        <w:spacing w:line="240" w:lineRule="exact" w:before="262" w:after="0"/>
        <w:ind w:left="13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DOI:10.13824/j.cnki.cmtm.2020.06.006</w:t>
      </w:r>
    </w:p>
    <w:p>
      <w:pPr>
        <w:autoSpaceDN w:val="0"/>
        <w:tabs>
          <w:tab w:pos="1102" w:val="left"/>
          <w:tab w:pos="5978" w:val="left"/>
        </w:tabs>
        <w:autoSpaceDE w:val="0"/>
        <w:widowControl/>
        <w:spacing w:line="245" w:lineRule="auto" w:before="420" w:after="0"/>
        <w:ind w:left="734" w:right="1008" w:firstLine="0"/>
        <w:jc w:val="left"/>
      </w:pPr>
      <w:r>
        <w:rPr>
          <w:rFonts w:ascii="FZLTZHK" w:hAnsi="FZLTZHK" w:eastAsia="FZLTZHK"/>
          <w:b w:val="0"/>
          <w:i w:val="0"/>
          <w:color w:val="221F1F"/>
          <w:sz w:val="19"/>
        </w:rPr>
        <w:t>1  引言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距560m，位于环西文化广场站至孩儿巷路站，平均站间</w:t>
      </w:r>
      <w:r>
        <w:rPr>
          <w:rFonts w:ascii="HYa2gj" w:hAnsi="HYa2gj" w:eastAsia="HYa2gj"/>
          <w:b w:val="0"/>
          <w:i w:val="0"/>
          <w:color w:val="221F1F"/>
          <w:sz w:val="17"/>
        </w:rPr>
        <w:t>南通位于长江入海口北翼，素有“江海门户”之称，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距1.438km。</w:t>
      </w:r>
    </w:p>
    <w:p>
      <w:pPr>
        <w:autoSpaceDN w:val="0"/>
        <w:tabs>
          <w:tab w:pos="5978" w:val="left"/>
          <w:tab w:pos="6346" w:val="left"/>
        </w:tabs>
        <w:autoSpaceDE w:val="0"/>
        <w:widowControl/>
        <w:spacing w:line="305" w:lineRule="auto" w:before="128" w:after="0"/>
        <w:ind w:left="734" w:right="1008" w:firstLine="0"/>
        <w:jc w:val="left"/>
      </w:pPr>
      <w:r>
        <w:rPr>
          <w:rFonts w:ascii="HYa2gj" w:hAnsi="HYa2gj" w:eastAsia="HYa2gj"/>
          <w:b w:val="0"/>
          <w:i w:val="0"/>
          <w:color w:val="221F1F"/>
          <w:sz w:val="17"/>
        </w:rPr>
        <w:t>地形为长江冲积平原，基本为粉砂、砂质粉土及填土，地</w:t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南通市轨道交通1 号线一期工程共分为4 个标段，01</w:t>
      </w:r>
      <w:r>
        <w:rPr>
          <w:rFonts w:ascii="HYa2gj" w:hAnsi="HYa2gj" w:eastAsia="HYa2gj"/>
          <w:b w:val="0"/>
          <w:i w:val="0"/>
          <w:color w:val="221F1F"/>
          <w:sz w:val="17"/>
        </w:rPr>
        <w:t>下水位高、地质情况恶劣。南通市轨道交通1 号线一期工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标为1 号线一期工程设计起点至深南路站（不含）（6 站</w:t>
      </w:r>
      <w:r>
        <w:rPr>
          <w:rFonts w:ascii="HYa2gj" w:hAnsi="HYa2gj" w:eastAsia="HYa2gj"/>
          <w:b w:val="0"/>
          <w:i w:val="0"/>
          <w:color w:val="221F1F"/>
          <w:sz w:val="17"/>
        </w:rPr>
        <w:t>程第2、3 标段盾构施工线路穿越河流、道路、老旧建筑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6 区间2 出入线）；02 标为深南路站至中级法院站（不含）</w:t>
      </w:r>
      <w:r>
        <w:rPr>
          <w:rFonts w:ascii="HYa2gj" w:hAnsi="HYa2gj" w:eastAsia="HYa2gj"/>
          <w:b w:val="0"/>
          <w:i w:val="0"/>
          <w:color w:val="221F1F"/>
          <w:sz w:val="17"/>
        </w:rPr>
        <w:t>群，与既有建筑最小距离为1.5 米，区间覆土最大埋深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（7 站7 区间），1 车辆段（平东车辆段）；03 标为中级</w:t>
      </w:r>
      <w:r>
        <w:rPr>
          <w:rFonts w:ascii="HYa2gj" w:hAnsi="HYa2gj" w:eastAsia="HYa2gj"/>
          <w:b w:val="0"/>
          <w:i w:val="0"/>
          <w:color w:val="221F1F"/>
          <w:sz w:val="17"/>
        </w:rPr>
        <w:t>23.14m，最小埋深7.22m，与河床底部最小距离为9.33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法院站至盘香路站（8 站7 区间），主变电站，1 停车场；</w:t>
      </w:r>
      <w:r>
        <w:rPr>
          <w:rFonts w:ascii="HYa2gj" w:hAnsi="HYa2gj" w:eastAsia="HYa2gj"/>
          <w:b w:val="0"/>
          <w:i w:val="0"/>
          <w:color w:val="221F1F"/>
          <w:sz w:val="17"/>
        </w:rPr>
        <w:t>米，线路最小转弯半径为350 米。盾构施工区间平均地下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04 标为盘香路站（不含）至1 号线一期设计终点（7 站7</w:t>
      </w:r>
      <w:r>
        <w:rPr>
          <w:rFonts w:ascii="HYa2gj" w:hAnsi="HYa2gj" w:eastAsia="HYa2gj"/>
          <w:b w:val="0"/>
          <w:i w:val="0"/>
          <w:color w:val="221F1F"/>
          <w:sz w:val="17"/>
        </w:rPr>
        <w:t>水位为2.3 米，为控制地表沉降，施工中不允许采用降水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手段。由于该标段位于南通城市中心，设计盾构施工有多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8"/>
        <w:gridCol w:w="3828"/>
        <w:gridCol w:w="3828"/>
      </w:tblGrid>
      <w:tr>
        <w:trPr>
          <w:trHeight w:hRule="exact" w:val="4504"/>
        </w:trPr>
        <w:tc>
          <w:tcPr>
            <w:tcW w:type="dxa" w:w="5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28" w:after="0"/>
              <w:ind w:left="734" w:right="432" w:firstLine="0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处短距离掘进，需要盾构机频繁地进出洞。这些客观条件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和主观要求，给盾构施工带来极大的施工风险，施工方案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及组织管理，必须制定相应对策才能保证工程安全正常进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行。</w:t>
            </w:r>
          </w:p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286" w:lineRule="auto" w:before="358" w:after="0"/>
              <w:ind w:left="734" w:right="432" w:firstLine="0"/>
              <w:jc w:val="left"/>
            </w:pPr>
            <w:r>
              <w:rPr>
                <w:rFonts w:ascii="FZLTZHK" w:hAnsi="FZLTZHK" w:eastAsia="FZLTZHK"/>
                <w:b w:val="0"/>
                <w:i w:val="0"/>
                <w:color w:val="221F1F"/>
                <w:sz w:val="19"/>
              </w:rPr>
              <w:t>2  南通地铁概况及地质主要情况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7"/>
              </w:rPr>
              <w:t>2.1  南通地铁概况</w:t>
            </w:r>
            <w:r>
              <w:br/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南通地铁现正在建设的是南通市轨道交通1 号线和2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号线，其中1 号线一期工程北起通州区平潮镇，向东连接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南通火车西站—长泰路—永和路—纬六路—人民路—工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农路—崇川路—新开路—通盛大道，经通州区、港闸区、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崇川区至终点南通经济技术开发区振兴路。轨道1 号线一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期全长39.46km，共设车站28 座，其中换乘站5 座。最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大站间距3000m，位于居康路站至宏兴路站；最小站间</w:t>
            </w:r>
          </w:p>
        </w:tc>
        <w:tc>
          <w:tcPr>
            <w:tcW w:type="dxa" w:w="5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97579" cy="257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79" cy="257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85" w:lineRule="auto" w:before="26" w:after="0"/>
              <w:ind w:left="45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15"/>
              </w:rPr>
              <w:t>图1  线路走向图</w:t>
            </w:r>
          </w:p>
        </w:tc>
      </w:tr>
      <w:tr>
        <w:trPr>
          <w:trHeight w:hRule="exact" w:val="6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yriadPro" w:hAnsi="MyriadPro" w:eastAsia="MyriadPro"/>
                <w:b w:val="0"/>
                <w:i w:val="0"/>
                <w:color w:val="221F1F"/>
                <w:sz w:val="20"/>
              </w:rPr>
              <w:t>50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56" w:after="0"/>
              <w:ind w:left="6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2"/>
              </w:rPr>
              <w:t>建设机械技术与管理</w:t>
            </w:r>
            <w:r>
              <w:rPr>
                <w:rFonts w:ascii="FZLTZHK" w:hAnsi="FZLTZHK" w:eastAsia="FZLTZHK"/>
                <w:b w:val="0"/>
                <w:i w:val="0"/>
                <w:color w:val="221F1F"/>
                <w:sz w:val="12"/>
              </w:rPr>
              <w:t xml:space="preserve"> 2020.06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5" w:h="16157"/>
          <w:pgMar w:top="370" w:right="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736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4224020</wp:posOffset>
            </wp:positionH>
            <wp:positionV relativeFrom="page">
              <wp:posOffset>7048500</wp:posOffset>
            </wp:positionV>
            <wp:extent cx="2453639" cy="231213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639" cy="2312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8369300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8483600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8458200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8064500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7404100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8686800</wp:posOffset>
            </wp:positionV>
            <wp:extent cx="38100" cy="2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7937500</wp:posOffset>
            </wp:positionV>
            <wp:extent cx="254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7581900</wp:posOffset>
            </wp:positionV>
            <wp:extent cx="25400" cy="25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auto" w:before="0" w:after="870"/>
        <w:ind w:left="0" w:right="774" w:firstLine="0"/>
        <w:jc w:val="right"/>
      </w:pPr>
      <w:r>
        <w:rPr>
          <w:rFonts w:ascii="MicrosoftYaHei" w:hAnsi="MicrosoftYaHei" w:eastAsia="MicrosoftYaHei"/>
          <w:b w:val="0"/>
          <w:i w:val="0"/>
          <w:color w:val="00A9A3"/>
          <w:sz w:val="24"/>
        </w:rPr>
        <w:t>本刊特稿</w:t>
      </w:r>
    </w:p>
    <w:p>
      <w:pPr>
        <w:sectPr>
          <w:pgSz w:w="11905" w:h="16157"/>
          <w:pgMar w:top="370" w:right="10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03320" cy="143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43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157"/>
          <w:pgMar w:top="370" w:right="1000" w:bottom="168" w:left="420" w:header="720" w:footer="720" w:gutter="0"/>
          <w:cols w:num="2" w:equalWidth="0">
            <w:col w:w="6772" w:space="0"/>
            <w:col w:w="3713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226" w:right="0" w:firstLine="0"/>
        <w:jc w:val="left"/>
      </w:pPr>
      <w:r>
        <w:rPr>
          <w:rFonts w:ascii="HYa2gj" w:hAnsi="HYa2gj" w:eastAsia="HYa2gj"/>
          <w:b w:val="0"/>
          <w:i w:val="0"/>
          <w:color w:val="221F1F"/>
          <w:sz w:val="17"/>
        </w:rPr>
        <w:t>现象；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3.1.5 由于要穿越市区道路、河流、老旧房</w:t>
      </w:r>
      <w:r>
        <w:rPr>
          <w:rFonts w:ascii="HYa2gj" w:hAnsi="HYa2gj" w:eastAsia="HYa2gj"/>
          <w:b w:val="0"/>
          <w:i w:val="0"/>
          <w:color w:val="221F1F"/>
          <w:sz w:val="17"/>
        </w:rPr>
        <w:t>屋和市场，盾构机掘进控制和管理也是一个</w:t>
      </w:r>
      <w:r>
        <w:rPr>
          <w:rFonts w:ascii="HYa2gj" w:hAnsi="HYa2gj" w:eastAsia="HYa2gj"/>
          <w:b w:val="0"/>
          <w:i w:val="0"/>
          <w:color w:val="221F1F"/>
          <w:sz w:val="17"/>
        </w:rPr>
        <w:t>风险点。</w:t>
      </w:r>
    </w:p>
    <w:p>
      <w:pPr>
        <w:autoSpaceDN w:val="0"/>
        <w:tabs>
          <w:tab w:pos="596" w:val="left"/>
        </w:tabs>
        <w:autoSpaceDE w:val="0"/>
        <w:widowControl/>
        <w:spacing w:line="269" w:lineRule="auto" w:before="104" w:after="22"/>
        <w:ind w:left="226" w:right="0" w:firstLine="0"/>
        <w:jc w:val="left"/>
      </w:pPr>
      <w:r>
        <w:rPr>
          <w:rFonts w:ascii="FZLTXHK" w:hAnsi="FZLTXHK" w:eastAsia="FZLTXHK"/>
          <w:b w:val="0"/>
          <w:i w:val="0"/>
          <w:color w:val="221F1F"/>
          <w:sz w:val="17"/>
        </w:rPr>
        <w:t>3.2  针对盾构施工主要风险点的风险对策</w:t>
      </w:r>
      <w:r>
        <w:rPr>
          <w:rFonts w:ascii="HYa2gj" w:hAnsi="HYa2gj" w:eastAsia="HYa2gj"/>
          <w:b w:val="0"/>
          <w:i w:val="0"/>
          <w:color w:val="221F1F"/>
          <w:sz w:val="17"/>
        </w:rPr>
        <w:t>3.2.1  盾构机选型风险对策</w:t>
      </w:r>
      <w:r>
        <w:br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根据地质情况分析，区间隧道所穿越的</w:t>
      </w:r>
      <w:r>
        <w:rPr>
          <w:rFonts w:ascii="HYa2gj" w:hAnsi="HYa2gj" w:eastAsia="HYa2gj"/>
          <w:b w:val="0"/>
          <w:i w:val="0"/>
          <w:color w:val="221F1F"/>
          <w:sz w:val="17"/>
        </w:rPr>
        <w:t>主要土层以泥水盾构机最为适宜，但泥水盾</w:t>
      </w:r>
    </w:p>
    <w:p>
      <w:pPr>
        <w:sectPr>
          <w:type w:val="nextColumn"/>
          <w:pgSz w:w="11905" w:h="16157"/>
          <w:pgMar w:top="370" w:right="1000" w:bottom="168" w:left="420" w:header="720" w:footer="720" w:gutter="0"/>
          <w:cols w:num="2" w:equalWidth="0">
            <w:col w:w="6772" w:space="0"/>
            <w:col w:w="3713" w:space="0"/>
          </w:cols>
          <w:docGrid w:linePitch="360"/>
        </w:sectPr>
      </w:pPr>
    </w:p>
    <w:p>
      <w:pPr>
        <w:autoSpaceDN w:val="0"/>
        <w:tabs>
          <w:tab w:pos="6998" w:val="left"/>
        </w:tabs>
        <w:autoSpaceDE w:val="0"/>
        <w:widowControl/>
        <w:spacing w:line="262" w:lineRule="auto" w:before="0" w:after="0"/>
        <w:ind w:left="714" w:right="0" w:firstLine="0"/>
        <w:jc w:val="left"/>
      </w:pPr>
      <w:r>
        <w:rPr>
          <w:rFonts w:ascii="MicrosoftYaHei" w:hAnsi="MicrosoftYaHei" w:eastAsia="MicrosoftYaHei"/>
          <w:b w:val="0"/>
          <w:i w:val="0"/>
          <w:color w:val="221F1F"/>
          <w:sz w:val="15"/>
        </w:rPr>
        <w:t>图2  具体位置示意图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构机价格高昂且也有其局限性。</w:t>
      </w:r>
    </w:p>
    <w:p>
      <w:pPr>
        <w:autoSpaceDN w:val="0"/>
        <w:tabs>
          <w:tab w:pos="1082" w:val="left"/>
          <w:tab w:pos="5978" w:val="left"/>
          <w:tab w:pos="7368" w:val="left"/>
        </w:tabs>
        <w:autoSpaceDE w:val="0"/>
        <w:widowControl/>
        <w:spacing w:line="305" w:lineRule="auto" w:before="128" w:after="0"/>
        <w:ind w:left="714" w:right="0" w:firstLine="0"/>
        <w:jc w:val="left"/>
      </w:pPr>
      <w:r>
        <w:tab/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该施工区间在南通市中心，临时用地困</w:t>
      </w:r>
      <w:r>
        <w:rPr>
          <w:rFonts w:ascii="HYa2gj" w:hAnsi="HYa2gj" w:eastAsia="HYa2gj"/>
          <w:b w:val="0"/>
          <w:i w:val="0"/>
          <w:color w:val="221F1F"/>
          <w:sz w:val="17"/>
        </w:rPr>
        <w:t>区间）。线路走向图详见下图1。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难，根本没有泥水盾构机所需泥浆制浆场地，且因毗邻</w:t>
      </w:r>
      <w:r>
        <w:rPr>
          <w:rFonts w:ascii="HYa2gj" w:hAnsi="HYa2gj" w:eastAsia="HYa2gj"/>
          <w:b w:val="0"/>
          <w:i w:val="0"/>
          <w:color w:val="221F1F"/>
          <w:sz w:val="17"/>
        </w:rPr>
        <w:t>本文涉及的盾构施工段为南通地铁1 号线03 标四工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5A 旅游景区，建设方对大气、水域的环保要求极其严格，</w:t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选用泥水盾构机不能获得通过。因此，经过多方论证，最</w:t>
      </w:r>
      <w:r>
        <w:rPr>
          <w:rFonts w:ascii="HYa2gj" w:hAnsi="HYa2gj" w:eastAsia="HYa2gj"/>
          <w:b w:val="0"/>
          <w:i w:val="0"/>
          <w:color w:val="221F1F"/>
          <w:sz w:val="17"/>
        </w:rPr>
        <w:t>区，包含2 站3 区间1 工作井，2 站为环西文化广场站、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环城东路站；3 区间为孩儿巷路站～环西文化广场站盾构</w:t>
      </w:r>
      <w:r>
        <w:br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终选用土压平衡盾构机，并针对风险点对土压平衡盾构机</w:t>
      </w:r>
      <w:r>
        <w:rPr>
          <w:rFonts w:ascii="HYa2gj" w:hAnsi="HYa2gj" w:eastAsia="HYa2gj"/>
          <w:b w:val="0"/>
          <w:i w:val="0"/>
          <w:color w:val="221F1F"/>
          <w:sz w:val="17"/>
        </w:rPr>
        <w:t>区间、环西文化广场站～环城东路站盾构区间、环城东路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的功能和参数提出特殊要求，分别选用了铁建重工和三三</w:t>
      </w:r>
      <w:r>
        <w:rPr>
          <w:rFonts w:ascii="HYa2gj" w:hAnsi="HYa2gj" w:eastAsia="HYa2gj"/>
          <w:b w:val="0"/>
          <w:i w:val="0"/>
          <w:color w:val="221F1F"/>
          <w:sz w:val="17"/>
        </w:rPr>
        <w:t>站～中级法院站盾构区间；1 工作井为环中区间工作井，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工业的土压平衡盾构机。</w:t>
      </w:r>
    </w:p>
    <w:p>
      <w:pPr>
        <w:autoSpaceDN w:val="0"/>
        <w:tabs>
          <w:tab w:pos="6346" w:val="left"/>
        </w:tabs>
        <w:autoSpaceDE w:val="0"/>
        <w:widowControl/>
        <w:spacing w:line="262" w:lineRule="auto" w:before="114" w:after="0"/>
        <w:ind w:left="714" w:right="144" w:firstLine="0"/>
        <w:jc w:val="left"/>
      </w:pP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⑴ 铁建重工土压平衡盾构机主要技术参数见表1。</w:t>
      </w:r>
      <w:r>
        <w:rPr>
          <w:rFonts w:ascii="HYa2gj" w:hAnsi="HYa2gj" w:eastAsia="HYa2gj"/>
          <w:b w:val="0"/>
          <w:i w:val="0"/>
          <w:color w:val="221F1F"/>
          <w:sz w:val="17"/>
        </w:rPr>
        <w:t>采用盾构法施工，隧道外径为6.2m；本区间含一个联络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通道兼泵房，埋深约29.65m；一个联络通道，埋深约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⑵ 三三工业土压平衡盾构机主要技术参数见表2。</w:t>
      </w:r>
    </w:p>
    <w:p>
      <w:pPr>
        <w:autoSpaceDN w:val="0"/>
        <w:tabs>
          <w:tab w:pos="1082" w:val="left"/>
          <w:tab w:pos="5978" w:val="left"/>
          <w:tab w:pos="6262" w:val="left"/>
          <w:tab w:pos="6346" w:val="left"/>
        </w:tabs>
        <w:autoSpaceDE w:val="0"/>
        <w:widowControl/>
        <w:spacing w:line="293" w:lineRule="auto" w:before="114" w:after="0"/>
        <w:ind w:left="714" w:right="0" w:firstLine="0"/>
        <w:jc w:val="left"/>
      </w:pPr>
      <w:r>
        <w:rPr>
          <w:rFonts w:ascii="HYa2gj" w:hAnsi="HYa2gj" w:eastAsia="HYa2gj"/>
          <w:b w:val="0"/>
          <w:i w:val="0"/>
          <w:color w:val="221F1F"/>
          <w:sz w:val="17"/>
        </w:rPr>
        <w:t>25.25m，具体位置示意图如图2。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3.2.2 盾构机防喷涌、防结泥饼、防地表沉降风险对策</w:t>
      </w:r>
      <w:r>
        <w:rPr>
          <w:rFonts w:ascii="FZLTXHK" w:hAnsi="FZLTXHK" w:eastAsia="FZLTXHK"/>
          <w:b w:val="0"/>
          <w:i w:val="0"/>
          <w:color w:val="221F1F"/>
          <w:sz w:val="17"/>
        </w:rPr>
        <w:t>2.2  南通市轨道交通1 号线一期工程第3 标段主要地质</w:t>
      </w:r>
      <w:r>
        <w:tab/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针对盾构机主要在砂土中掘进，沿线地下水丰富，掘</w:t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进过程中粉土、砂土易发生刀盘磨损、结泥饼、涌水、流</w:t>
      </w:r>
      <w:r>
        <w:rPr>
          <w:rFonts w:ascii="FZLTXHK" w:hAnsi="FZLTXHK" w:eastAsia="FZLTXHK"/>
          <w:b w:val="0"/>
          <w:i w:val="0"/>
          <w:color w:val="221F1F"/>
          <w:sz w:val="17"/>
        </w:rPr>
        <w:t>情况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拟建的南通市轨道交通1 号线一期工程第2、3 标段，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砂等事故，并引发开挖面失稳和地面沉陷，严重时会随着</w:t>
      </w:r>
      <w:r>
        <w:rPr>
          <w:rFonts w:ascii="HYa2gj" w:hAnsi="HYa2gj" w:eastAsia="HYa2gj"/>
          <w:b w:val="0"/>
          <w:i w:val="0"/>
          <w:color w:val="221F1F"/>
          <w:sz w:val="17"/>
        </w:rPr>
        <w:t>拟建场地20m 深度范围内分布的地层为灰色粉砂，有粉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地层空洞的扩大引起地面的突然塌陷等风险。加强地下水</w:t>
      </w:r>
      <w:r>
        <w:rPr>
          <w:rFonts w:ascii="HYa2gj" w:hAnsi="HYa2gj" w:eastAsia="HYa2gj"/>
          <w:b w:val="0"/>
          <w:i w:val="0"/>
          <w:color w:val="221F1F"/>
          <w:sz w:val="17"/>
        </w:rPr>
        <w:t>砂夹粉土处于液化土地层。场地浅部地下水属潜水类型，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控制工作，合理选择工作面压力，重视管片拼装时的止水</w:t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效果，是相应风险控制对策。</w:t>
      </w:r>
      <w:r>
        <w:rPr>
          <w:rFonts w:ascii="HYa2gj" w:hAnsi="HYa2gj" w:eastAsia="HYa2gj"/>
          <w:b w:val="0"/>
          <w:i w:val="0"/>
          <w:color w:val="221F1F"/>
          <w:sz w:val="17"/>
        </w:rPr>
        <w:t>主要接受大气降水的垂直补给和地表水体侧渗补给，以自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然蒸发为主要排泄途径，水位随季节性变化明显。场地潜</w:t>
      </w:r>
      <w:r>
        <w:tab/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具体方式为：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水与周边河道水可能存在一定水力联系，邻近河道的工程</w:t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（1）改善刀盘的耐磨性，使用不同的刀具，合理选择</w:t>
      </w:r>
      <w:r>
        <w:rPr>
          <w:rFonts w:ascii="HYa2gj" w:hAnsi="HYa2gj" w:eastAsia="HYa2gj"/>
          <w:b w:val="0"/>
          <w:i w:val="0"/>
          <w:color w:val="221F1F"/>
          <w:sz w:val="17"/>
        </w:rPr>
        <w:t>会受到河道水位变化的不利影响。工程局部区域填土厚度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掘进参数，这些优化设计加上选择合适的土体改良剂（如</w:t>
      </w:r>
      <w:r>
        <w:tab/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常用的泡沫、膨润土等），并根据地质情况，进行科学的</w:t>
      </w:r>
      <w:r>
        <w:rPr>
          <w:rFonts w:ascii="HYa2gj" w:hAnsi="HYa2gj" w:eastAsia="HYa2gj"/>
          <w:b w:val="0"/>
          <w:i w:val="0"/>
          <w:color w:val="221F1F"/>
          <w:sz w:val="17"/>
        </w:rPr>
        <w:t>较大，沿线分布有一定数量的明浜塘，浜塘底一般分布有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一定厚度的淤泥，工程地质性质差。</w:t>
      </w:r>
      <w:r>
        <w:tab/>
      </w:r>
      <w:r>
        <w:rPr>
          <w:rFonts w:ascii="HYa2gj" w:hAnsi="HYa2gj" w:eastAsia="HYa2gj"/>
          <w:b w:val="0"/>
          <w:i w:val="0"/>
          <w:color w:val="221F1F"/>
          <w:sz w:val="17"/>
        </w:rPr>
        <w:t>动态施工管理，改善土体的流塑性，使之切屑成流动型，</w:t>
      </w:r>
    </w:p>
    <w:p>
      <w:pPr>
        <w:autoSpaceDN w:val="0"/>
        <w:autoSpaceDE w:val="0"/>
        <w:widowControl/>
        <w:spacing w:line="295" w:lineRule="auto" w:before="358" w:after="68"/>
        <w:ind w:left="714" w:right="5184" w:firstLine="0"/>
        <w:jc w:val="left"/>
      </w:pPr>
      <w:r>
        <w:rPr>
          <w:rFonts w:ascii="FZLTZHK" w:hAnsi="FZLTZHK" w:eastAsia="FZLTZHK"/>
          <w:b w:val="0"/>
          <w:i w:val="0"/>
          <w:color w:val="221F1F"/>
          <w:sz w:val="19"/>
        </w:rPr>
        <w:t>3  该标段盾构施工主要风险点及对策</w:t>
      </w:r>
      <w:r>
        <w:br/>
      </w:r>
      <w:r>
        <w:rPr>
          <w:rFonts w:ascii="FZLTXHK" w:hAnsi="FZLTXHK" w:eastAsia="FZLTXHK"/>
          <w:b w:val="0"/>
          <w:i w:val="0"/>
          <w:color w:val="221F1F"/>
          <w:sz w:val="17"/>
        </w:rPr>
        <w:t>3.1  该标段盾构施工主要风险点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3.1.1 盾构掘进主要在灰色粉砂、粉砂夹粉土的液化土层、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粉砂为非液化土层、粉质粘土夹粉土、砂质粉土夹粉质粘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土层，沿线隧道底所处的土层存在着不均匀变化。另外，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线路最小转弯半径为350 米，因此盾构机的选型存在一定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风险；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3.1.2 盾构主要在砂土中掘进，掘进过程中粉土、砂土易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发生涌水、流砂等事故，并引发开挖面失稳和地面沉陷，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严重时会随着地层空洞的扩大引起地面的突然塌陷；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3.1.3 沿线地下水丰富，盾构进出洞和联络通道地下水会</w:t>
      </w:r>
      <w:r>
        <w:br/>
      </w:r>
      <w:r>
        <w:rPr>
          <w:rFonts w:ascii="HYa2gj" w:hAnsi="HYa2gj" w:eastAsia="HYa2gj"/>
          <w:b w:val="0"/>
          <w:i w:val="0"/>
          <w:color w:val="221F1F"/>
          <w:sz w:val="17"/>
        </w:rPr>
        <w:t>造成不利影响；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1"/>
        <w:gridCol w:w="2621"/>
        <w:gridCol w:w="2621"/>
        <w:gridCol w:w="2621"/>
      </w:tblGrid>
      <w:tr>
        <w:trPr>
          <w:trHeight w:hRule="exact" w:val="240"/>
        </w:trPr>
        <w:tc>
          <w:tcPr>
            <w:tcW w:type="dxa" w:w="6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714" w:right="0" w:firstLine="0"/>
              <w:jc w:val="left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3.1.4 盾构经常在软硬不同土层间推进施工，易发生偏斜</w:t>
            </w:r>
          </w:p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1284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15"/>
              </w:rPr>
              <w:t>图3 刀盘布置示意图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94" w:after="0"/>
              <w:ind w:left="0" w:right="0" w:firstLine="0"/>
              <w:jc w:val="right"/>
            </w:pPr>
            <w:r>
              <w:rPr>
                <w:rFonts w:ascii="MyriadPro" w:hAnsi="MyriadPro" w:eastAsia="MyriadPro"/>
                <w:b w:val="0"/>
                <w:i w:val="0"/>
                <w:color w:val="221F1F"/>
                <w:sz w:val="20"/>
              </w:rPr>
              <w:t>51</w:t>
            </w:r>
          </w:p>
        </w:tc>
      </w:tr>
      <w:tr>
        <w:trPr>
          <w:trHeight w:hRule="exact" w:val="260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2621"/>
            <w:vMerge/>
            <w:tcBorders/>
          </w:tcPr>
          <w:p/>
        </w:tc>
        <w:tc>
          <w:tcPr>
            <w:tcW w:type="dxa" w:w="2621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6" w:after="0"/>
              <w:ind w:left="0" w:right="120" w:firstLine="0"/>
              <w:jc w:val="right"/>
            </w:pPr>
            <w:r>
              <w:rPr>
                <w:rFonts w:ascii="FZLTZHK" w:hAnsi="FZLTZHK" w:eastAsia="FZLTZHK"/>
                <w:b w:val="0"/>
                <w:i w:val="0"/>
                <w:color w:val="221F1F"/>
                <w:sz w:val="12"/>
              </w:rPr>
              <w:t>2020.06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2"/>
              </w:rPr>
              <w:t xml:space="preserve">  建设机械技术与管理</w:t>
            </w:r>
          </w:p>
        </w:tc>
        <w:tc>
          <w:tcPr>
            <w:tcW w:type="dxa" w:w="26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5" w:h="16157"/>
          <w:pgMar w:top="370" w:right="100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6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96100" cy="31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38"/>
        <w:sectPr>
          <w:pgSz w:w="11905" w:h="16157"/>
          <w:pgMar w:top="330" w:right="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94"/>
        <w:ind w:left="714" w:right="0" w:firstLine="0"/>
        <w:jc w:val="left"/>
      </w:pPr>
      <w:r>
        <w:rPr>
          <w:rFonts w:ascii="MicrosoftYaHei" w:hAnsi="MicrosoftYaHei" w:eastAsia="MicrosoftYaHei"/>
          <w:b w:val="0"/>
          <w:i w:val="0"/>
          <w:color w:val="221F1F"/>
          <w:sz w:val="15"/>
        </w:rPr>
        <w:t>表1  铁建重工土压平衡盾构机主要技术参数表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3828"/>
        <w:gridCol w:w="3828"/>
        <w:gridCol w:w="3828"/>
      </w:tblGrid>
      <w:tr>
        <w:trPr>
          <w:trHeight w:hRule="exact" w:val="284"/>
        </w:trPr>
        <w:tc>
          <w:tcPr>
            <w:tcW w:type="dxa" w:w="720"/>
            <w:vMerge w:val="restart"/>
            <w:tcBorders>
              <w:top w:sz="4.0" w:val="single" w:color="#00A9AC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4" w:after="0"/>
              <w:ind w:left="144" w:right="144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整机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概述</w:t>
            </w:r>
          </w:p>
        </w:tc>
        <w:tc>
          <w:tcPr>
            <w:tcW w:type="dxa" w:w="1814"/>
            <w:tcBorders>
              <w:start w:sz="2.0" w:val="single" w:color="#221F1F"/>
              <w:top w:sz="4.0" w:val="single" w:color="#00A9AC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设备型号</w:t>
            </w:r>
          </w:p>
        </w:tc>
        <w:tc>
          <w:tcPr>
            <w:tcW w:type="dxa" w:w="2742"/>
            <w:tcBorders>
              <w:start w:sz="2.0" w:val="single" w:color="#221F1F"/>
              <w:top w:sz="4.0" w:val="single" w:color="#00A9AC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ZTE6410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主机长度(m)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8.5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2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整机总长(m)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2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84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总重（t）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450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装机功率（kW）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1500（仅设备上）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水平转弯半径(m)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200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纵向爬坡能力(‰ )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50</w:t>
            </w:r>
          </w:p>
        </w:tc>
      </w:tr>
      <w:tr>
        <w:trPr>
          <w:trHeight w:hRule="exact" w:val="284"/>
        </w:trPr>
        <w:tc>
          <w:tcPr>
            <w:tcW w:type="dxa" w:w="720"/>
            <w:vMerge w:val="restart"/>
            <w:tcBorders>
              <w:top w:sz="2.0" w:val="single" w:color="#00A9AC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88" w:after="0"/>
              <w:ind w:left="0" w:right="0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刀盘</w:t>
            </w:r>
          </w:p>
        </w:tc>
        <w:tc>
          <w:tcPr>
            <w:tcW w:type="dxa" w:w="1814"/>
            <w:tcBorders>
              <w:start w:sz="2.0" w:val="single" w:color="#221F1F"/>
              <w:top w:sz="2.0" w:val="single" w:color="#00A9AC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类型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00A9AC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辐条式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开挖直径（m）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6440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刀盘开口率（%）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40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主要结构件材质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Q345C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泡沫口数量（个）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0" w:right="0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主动搅拌臂数量（个）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2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耐磨措施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正面耐磨网格、周边耐磨网格</w:t>
            </w:r>
          </w:p>
        </w:tc>
      </w:tr>
      <w:tr>
        <w:trPr>
          <w:trHeight w:hRule="exact" w:val="284"/>
        </w:trPr>
        <w:tc>
          <w:tcPr>
            <w:tcW w:type="dxa" w:w="720"/>
            <w:vMerge w:val="restart"/>
            <w:tcBorders>
              <w:top w:sz="2.0" w:val="single" w:color="#00A9AC"/>
              <w:end w:sz="2.0" w:val="single" w:color="#221F1F"/>
              <w:bottom w:sz="4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982" w:after="0"/>
              <w:ind w:left="0" w:right="0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主驱动</w:t>
            </w:r>
          </w:p>
        </w:tc>
        <w:tc>
          <w:tcPr>
            <w:tcW w:type="dxa" w:w="1814"/>
            <w:tcBorders>
              <w:start w:sz="2.0" w:val="single" w:color="#221F1F"/>
              <w:top w:sz="2.0" w:val="single" w:color="#00A9AC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驱动型式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00A9AC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变频电机驱动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支承类型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中心支承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驱动数量（组）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转速范围（rpm）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0-2.4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额定扭矩（kNm）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5700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脱困扭矩（kNm）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6300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最大工作压力（bar）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10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主轴承类型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3 排圆柱滚子轴承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主轴承直径（mm）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3020</w:t>
            </w:r>
          </w:p>
        </w:tc>
      </w:tr>
      <w:tr>
        <w:trPr>
          <w:trHeight w:hRule="exact" w:val="286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主轴承寿命（h）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≮10000</w:t>
            </w:r>
          </w:p>
        </w:tc>
      </w:tr>
      <w:tr>
        <w:trPr>
          <w:trHeight w:hRule="exact" w:val="76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7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密封型式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外密封1 道端面聚氨酯密封+1 道轴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向聚氨酯密封+1 道唇形密封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内密封2 道唇形密封</w:t>
            </w:r>
          </w:p>
        </w:tc>
      </w:tr>
      <w:tr>
        <w:trPr>
          <w:trHeight w:hRule="exact" w:val="28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密封润滑方式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自动润滑</w:t>
            </w:r>
          </w:p>
        </w:tc>
      </w:tr>
      <w:tr>
        <w:trPr>
          <w:trHeight w:hRule="exact" w:val="26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814"/>
            <w:tcBorders>
              <w:start w:sz="2.0" w:val="single" w:color="#221F1F"/>
              <w:top w:sz="2.0" w:val="single" w:color="#221F1F"/>
              <w:end w:sz="2.0" w:val="single" w:color="#221F1F"/>
              <w:bottom w:sz="4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盾体主要结构件材质</w:t>
            </w:r>
          </w:p>
        </w:tc>
        <w:tc>
          <w:tcPr>
            <w:tcW w:type="dxa" w:w="2742"/>
            <w:tcBorders>
              <w:start w:sz="2.0" w:val="single" w:color="#221F1F"/>
              <w:top w:sz="2.0" w:val="single" w:color="#221F1F"/>
              <w:bottom w:sz="4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Q345B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5" w:h="16157"/>
          <w:pgMar w:top="330" w:right="0" w:bottom="168" w:left="420" w:header="720" w:footer="720" w:gutter="0"/>
          <w:cols w:num="2" w:equalWidth="0">
            <w:col w:w="6262" w:space="0"/>
            <w:col w:w="5223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94"/>
        <w:ind w:left="284" w:right="0" w:firstLine="0"/>
        <w:jc w:val="left"/>
      </w:pPr>
      <w:r>
        <w:rPr>
          <w:rFonts w:ascii="MicrosoftYaHei" w:hAnsi="MicrosoftYaHei" w:eastAsia="MicrosoftYaHei"/>
          <w:b w:val="0"/>
          <w:i w:val="0"/>
          <w:color w:val="221F1F"/>
          <w:sz w:val="15"/>
        </w:rPr>
        <w:t>表2  三三工业土压平衡盾构机主要技术参数表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7.99999999999955" w:type="dxa"/>
      </w:tblPr>
      <w:tblGrid>
        <w:gridCol w:w="3828"/>
        <w:gridCol w:w="3828"/>
        <w:gridCol w:w="3828"/>
      </w:tblGrid>
      <w:tr>
        <w:trPr>
          <w:trHeight w:hRule="exact" w:val="992"/>
        </w:trPr>
        <w:tc>
          <w:tcPr>
            <w:tcW w:type="dxa" w:w="418"/>
            <w:vMerge w:val="restart"/>
            <w:tcBorders>
              <w:top w:sz="4.0" w:val="single" w:color="#00A9AC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130" w:right="122" w:firstLine="0"/>
              <w:jc w:val="both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适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应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工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作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条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件</w:t>
            </w:r>
          </w:p>
        </w:tc>
        <w:tc>
          <w:tcPr>
            <w:tcW w:type="dxa" w:w="1486"/>
            <w:tcBorders>
              <w:start w:sz="2.0" w:val="single" w:color="#221F1F"/>
              <w:top w:sz="4.0" w:val="single" w:color="#00A9AC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84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地层土质种类</w:t>
            </w:r>
          </w:p>
        </w:tc>
        <w:tc>
          <w:tcPr>
            <w:tcW w:type="dxa" w:w="1912"/>
            <w:tcBorders>
              <w:start w:sz="2.0" w:val="single" w:color="#221F1F"/>
              <w:top w:sz="4.0" w:val="single" w:color="#00A9AC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适合于富水卵石、漂石、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软硬复合地层、微风化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岩层、粉质粘土、粉砂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地层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最小转弯曲线半径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250m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最大坡度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5%</w:t>
            </w:r>
          </w:p>
        </w:tc>
      </w:tr>
      <w:tr>
        <w:trPr>
          <w:trHeight w:hRule="exact" w:val="512"/>
        </w:trPr>
        <w:tc>
          <w:tcPr>
            <w:tcW w:type="dxa" w:w="3828"/>
            <w:vMerge/>
            <w:tcBorders>
              <w:top w:sz="4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适用管片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4" w:right="72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5500X6200-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1500/1200</w:t>
            </w:r>
          </w:p>
        </w:tc>
      </w:tr>
      <w:tr>
        <w:trPr>
          <w:trHeight w:hRule="exact" w:val="274"/>
        </w:trPr>
        <w:tc>
          <w:tcPr>
            <w:tcW w:type="dxa" w:w="418"/>
            <w:vMerge w:val="restart"/>
            <w:tcBorders>
              <w:top w:sz="2.0" w:val="single" w:color="#00A9AC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130" w:right="122" w:firstLine="0"/>
              <w:jc w:val="both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盾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构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整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体</w:t>
            </w:r>
          </w:p>
        </w:tc>
        <w:tc>
          <w:tcPr>
            <w:tcW w:type="dxa" w:w="1486"/>
            <w:tcBorders>
              <w:start w:sz="2.0" w:val="single" w:color="#221F1F"/>
              <w:top w:sz="2.0" w:val="single" w:color="#00A9AC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主机总长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00A9AC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约9m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主机总重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约320t</w:t>
            </w:r>
          </w:p>
        </w:tc>
      </w:tr>
      <w:tr>
        <w:trPr>
          <w:trHeight w:hRule="exact" w:val="272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开挖直径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6480mm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0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包括后配套总长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30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73m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包括后配套总重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约450t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装备总功率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1885kW</w:t>
            </w:r>
          </w:p>
        </w:tc>
      </w:tr>
      <w:tr>
        <w:trPr>
          <w:trHeight w:hRule="exact" w:val="274"/>
        </w:trPr>
        <w:tc>
          <w:tcPr>
            <w:tcW w:type="dxa" w:w="418"/>
            <w:vMerge w:val="restart"/>
            <w:tcBorders>
              <w:top w:sz="2.0" w:val="single" w:color="#00A9AC"/>
              <w:end w:sz="2.0" w:val="single" w:color="#221F1F"/>
              <w:bottom w:sz="2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0" w:after="0"/>
              <w:ind w:left="0" w:right="0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 xml:space="preserve">刀 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盘</w:t>
            </w:r>
          </w:p>
        </w:tc>
        <w:tc>
          <w:tcPr>
            <w:tcW w:type="dxa" w:w="1486"/>
            <w:tcBorders>
              <w:start w:sz="2.0" w:val="single" w:color="#221F1F"/>
              <w:top w:sz="2.0" w:val="single" w:color="#00A9AC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型式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00A9AC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复合式</w:t>
            </w:r>
          </w:p>
        </w:tc>
      </w:tr>
      <w:tr>
        <w:trPr>
          <w:trHeight w:hRule="exact" w:val="512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576" w:firstLine="0"/>
              <w:jc w:val="center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开挖、超挖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直径[mm]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开挖直径6440mm，超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挖直径6540mm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2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刀盘开口率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约40%</w:t>
            </w:r>
          </w:p>
        </w:tc>
      </w:tr>
      <w:tr>
        <w:trPr>
          <w:trHeight w:hRule="exact" w:val="274"/>
        </w:trPr>
        <w:tc>
          <w:tcPr>
            <w:tcW w:type="dxa" w:w="418"/>
            <w:vMerge w:val="restart"/>
            <w:tcBorders>
              <w:top w:sz="2.0" w:val="single" w:color="#00A9AC"/>
              <w:end w:sz="2.0" w:val="single" w:color="#221F1F"/>
              <w:bottom w:sz="4.0" w:val="single" w:color="#00A9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8" w:after="0"/>
              <w:ind w:left="130" w:right="122" w:firstLine="0"/>
              <w:jc w:val="both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驱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动</w:t>
            </w:r>
          </w:p>
        </w:tc>
        <w:tc>
          <w:tcPr>
            <w:tcW w:type="dxa" w:w="1486"/>
            <w:tcBorders>
              <w:start w:sz="2.0" w:val="single" w:color="#221F1F"/>
              <w:top w:sz="2.0" w:val="single" w:color="#00A9AC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驱动形式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00A9AC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变频电机驱动</w:t>
            </w:r>
          </w:p>
        </w:tc>
      </w:tr>
      <w:tr>
        <w:trPr>
          <w:trHeight w:hRule="exact" w:val="512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6" w:right="144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主驱动最大</w:t>
            </w:r>
            <w:r>
              <w:br/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承压能力（bar）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4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6.5bar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装备总功率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6*200=1200kW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主轴承寿命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大于1 万小时</w:t>
            </w:r>
          </w:p>
        </w:tc>
      </w:tr>
      <w:tr>
        <w:trPr>
          <w:trHeight w:hRule="exact" w:val="272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最大转速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3.2rpm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扭矩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6650kN · m</w:t>
            </w:r>
          </w:p>
        </w:tc>
      </w:tr>
      <w:tr>
        <w:trPr>
          <w:trHeight w:hRule="exact" w:val="27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脱困扭矩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8320kN· m</w:t>
            </w:r>
          </w:p>
        </w:tc>
      </w:tr>
      <w:tr>
        <w:trPr>
          <w:trHeight w:hRule="exact" w:val="272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扭矩系数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54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在额定扭矩时24.4</w:t>
            </w:r>
          </w:p>
        </w:tc>
      </w:tr>
      <w:tr>
        <w:trPr>
          <w:trHeight w:hRule="exact" w:val="514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50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主轴承规格尺寸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54" w:right="288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三列滚柱轴承，外径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3130mm</w:t>
            </w:r>
          </w:p>
        </w:tc>
      </w:tr>
      <w:tr>
        <w:trPr>
          <w:trHeight w:hRule="exact" w:val="492"/>
        </w:trPr>
        <w:tc>
          <w:tcPr>
            <w:tcW w:type="dxa" w:w="3828"/>
            <w:vMerge/>
            <w:tcBorders>
              <w:top w:sz="2.0" w:val="single" w:color="#00A9AC"/>
              <w:end w:sz="2.0" w:val="single" w:color="#221F1F"/>
              <w:bottom w:sz="4.0" w:val="single" w:color="#00A9AC"/>
            </w:tcBorders>
          </w:tcPr>
          <w:p/>
        </w:tc>
        <w:tc>
          <w:tcPr>
            <w:tcW w:type="dxa" w:w="1486"/>
            <w:tcBorders>
              <w:start w:sz="2.0" w:val="single" w:color="#221F1F"/>
              <w:top w:sz="2.0" w:val="single" w:color="#221F1F"/>
              <w:end w:sz="2.0" w:val="single" w:color="#221F1F"/>
              <w:bottom w:sz="4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8" w:after="0"/>
              <w:ind w:left="5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主驱动密封形式</w:t>
            </w:r>
          </w:p>
        </w:tc>
        <w:tc>
          <w:tcPr>
            <w:tcW w:type="dxa" w:w="1912"/>
            <w:tcBorders>
              <w:start w:sz="2.0" w:val="single" w:color="#221F1F"/>
              <w:top w:sz="2.0" w:val="single" w:color="#221F1F"/>
              <w:bottom w:sz="4.0" w:val="single" w:color="#00A9AC"/>
            </w:tcBorders>
            <w:shd w:fill="e2f3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4" w:right="144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阶梯油压单唇密封+ 双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6"/>
              </w:rPr>
              <w:t>唇密封</w:t>
            </w:r>
          </w:p>
        </w:tc>
      </w:tr>
    </w:tbl>
    <w:p>
      <w:pPr>
        <w:autoSpaceDN w:val="0"/>
        <w:autoSpaceDE w:val="0"/>
        <w:widowControl/>
        <w:spacing w:line="14" w:lineRule="exact" w:before="0" w:after="590"/>
        <w:ind w:left="0" w:right="0"/>
      </w:pPr>
    </w:p>
    <w:p>
      <w:pPr>
        <w:sectPr>
          <w:type w:val="nextColumn"/>
          <w:pgSz w:w="11905" w:h="16157"/>
          <w:pgMar w:top="330" w:right="0" w:bottom="168" w:left="420" w:header="720" w:footer="720" w:gutter="0"/>
          <w:cols w:num="2" w:equalWidth="0">
            <w:col w:w="6262" w:space="0"/>
            <w:col w:w="52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8"/>
        <w:gridCol w:w="3828"/>
        <w:gridCol w:w="3828"/>
      </w:tblGrid>
      <w:tr>
        <w:trPr>
          <w:trHeight w:hRule="exact" w:val="4164"/>
        </w:trPr>
        <w:tc>
          <w:tcPr>
            <w:tcW w:type="dxa" w:w="5532"/>
            <w:gridSpan w:val="2"/>
            <w:tcBorders>
              <w:end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2" w:after="0"/>
              <w:ind w:left="714" w:right="0" w:firstLine="0"/>
              <w:jc w:val="left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这样可以有效减少刀盘磨损。刀盘布置见图3。</w:t>
            </w:r>
          </w:p>
          <w:p>
            <w:pPr>
              <w:autoSpaceDN w:val="0"/>
              <w:autoSpaceDE w:val="0"/>
              <w:widowControl/>
              <w:spacing w:line="288" w:lineRule="auto" w:before="130" w:after="0"/>
              <w:ind w:left="714" w:right="442" w:firstLine="284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（2）优化刀盘设计，在刀盘面板上设置了6 个添加剂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注入孔及2 个主动搅拌棒，配置了添加剂注入系统，可根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据需要向开挖面添加泡沫、膨润土和聚合物，改善碴土的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流动性、止水性，减小刀盘面“泥饼”形成的机会。</w:t>
            </w:r>
          </w:p>
          <w:p>
            <w:pPr>
              <w:autoSpaceDN w:val="0"/>
              <w:autoSpaceDE w:val="0"/>
              <w:widowControl/>
              <w:spacing w:line="305" w:lineRule="auto" w:before="130" w:after="0"/>
              <w:ind w:left="714" w:right="442" w:firstLine="284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（3）盾构机螺旋输送机防喷涌设计：配备双闸门、防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涌门，在富水地层掘进作业时，可以通过交互开闭两道闸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门造成迷宫通道，缓冲和降低喷涌效果，螺旋机筒体上布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置有多个注入口，可通过这些孔注入膨润土或泡沫来改善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碴土的流动性，同时预留保压泵渣装置的连接法兰。通过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刀盘及土仓壁上的添加剂注入孔中的若干个注入孔往土仓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内注入膨润土和各种添加剂，并可向土仓注入压缩空气将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地下水置换和凝聚。特殊情况还可以采用聚合物对涌水进</w:t>
            </w:r>
          </w:p>
        </w:tc>
        <w:tc>
          <w:tcPr>
            <w:tcW w:type="dxa" w:w="5388"/>
            <w:vMerge w:val="restart"/>
            <w:tcBorders>
              <w:start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444" w:right="0" w:firstLine="0"/>
              <w:jc w:val="left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行抑止。螺旋输送机示意图见图4。</w:t>
            </w:r>
          </w:p>
          <w:p>
            <w:pPr>
              <w:autoSpaceDN w:val="0"/>
              <w:autoSpaceDE w:val="0"/>
              <w:widowControl/>
              <w:spacing w:line="302" w:lineRule="auto" w:before="128" w:after="0"/>
              <w:ind w:left="444" w:right="566" w:firstLine="284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（4）盾构机穿越软硬不同土层间及建筑时，注意不要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发生偏斜现象，以及引起的沉降，从而造成建筑受损及安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全质量事故。控制这个风险的措施是精细调整盾构机推进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速度、刀盘转速、正面土舱压力、出土量、同步注浆量等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施工参数，减少盾构的超挖和欠挖。必要时及时打开管片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内预留注浆管进行二次注浆，减少盾尾通过后隧道外周围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形成的建筑空隙。</w:t>
            </w:r>
          </w:p>
          <w:p>
            <w:pPr>
              <w:autoSpaceDN w:val="0"/>
              <w:autoSpaceDE w:val="0"/>
              <w:widowControl/>
              <w:spacing w:line="295" w:lineRule="auto" w:before="130" w:after="0"/>
              <w:ind w:left="444" w:right="566" w:firstLine="284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（5）由于本工程不允许采取降水，端头加固是控制本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工程风险的重点。盾构的始发、接收涉及盾构机刀盘的进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洞、出洞，容易引起涌水、涌泥及地表沉降，如果加固效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果不能达到设计要求，可能会造成始发失败的重大风险。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端头加固主要是采取水泥系加固和冻结法加固，这样可以</w:t>
            </w:r>
          </w:p>
        </w:tc>
      </w:tr>
      <w:tr>
        <w:trPr>
          <w:trHeight w:hRule="exact" w:val="6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yriadPro" w:hAnsi="MyriadPro" w:eastAsia="MyriadPro"/>
                <w:b w:val="0"/>
                <w:i w:val="0"/>
                <w:color w:val="221F1F"/>
                <w:sz w:val="20"/>
              </w:rPr>
              <w:t>52</w:t>
            </w:r>
          </w:p>
        </w:tc>
        <w:tc>
          <w:tcPr>
            <w:tcW w:type="dxa" w:w="4552"/>
            <w:tcBorders>
              <w:end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56" w:after="0"/>
              <w:ind w:left="66" w:right="0" w:firstLine="0"/>
              <w:jc w:val="left"/>
            </w:pPr>
            <w:r>
              <w:rPr>
                <w:rFonts w:ascii="FZLTXHK" w:hAnsi="FZLTXHK" w:eastAsia="FZLTXHK"/>
                <w:b w:val="0"/>
                <w:i w:val="0"/>
                <w:color w:val="221F1F"/>
                <w:sz w:val="12"/>
              </w:rPr>
              <w:t>建设机械技术与管理</w:t>
            </w:r>
            <w:r>
              <w:rPr>
                <w:rFonts w:ascii="FZLTZHK" w:hAnsi="FZLTZHK" w:eastAsia="FZLTZHK"/>
                <w:b w:val="0"/>
                <w:i w:val="0"/>
                <w:color w:val="221F1F"/>
                <w:sz w:val="12"/>
              </w:rPr>
              <w:t xml:space="preserve"> 2020.06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28"/>
            <w:vMerge/>
            <w:tcBorders>
              <w:start w:sz="2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5" w:h="16157"/>
          <w:pgMar w:top="330" w:right="0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05700" cy="736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7366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1224280</wp:posOffset>
            </wp:positionV>
            <wp:extent cx="3963670" cy="176004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17600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2743200</wp:posOffset>
            </wp:positionV>
            <wp:extent cx="76200" cy="76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1651000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1536700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1752600</wp:posOffset>
            </wp:positionV>
            <wp:extent cx="762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1739900</wp:posOffset>
            </wp:positionV>
            <wp:extent cx="2032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1714500</wp:posOffset>
            </wp:positionV>
            <wp:extent cx="38100" cy="762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1701800</wp:posOffset>
            </wp:positionV>
            <wp:extent cx="50800" cy="1143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1676400</wp:posOffset>
            </wp:positionV>
            <wp:extent cx="2032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1676400</wp:posOffset>
            </wp:positionV>
            <wp:extent cx="63500" cy="1270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1612900</wp:posOffset>
            </wp:positionV>
            <wp:extent cx="2032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1562100</wp:posOffset>
            </wp:positionV>
            <wp:extent cx="1905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1346200</wp:posOffset>
            </wp:positionV>
            <wp:extent cx="177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1206500</wp:posOffset>
            </wp:positionH>
            <wp:positionV relativeFrom="page">
              <wp:posOffset>1257300</wp:posOffset>
            </wp:positionV>
            <wp:extent cx="635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2717800</wp:posOffset>
            </wp:positionV>
            <wp:extent cx="25400" cy="25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1460500</wp:posOffset>
            </wp:positionV>
            <wp:extent cx="25400" cy="254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1422400</wp:posOffset>
            </wp:positionV>
            <wp:extent cx="25400" cy="25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768" w:after="34"/>
        <w:ind w:left="0" w:right="10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86280" cy="17373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7373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946"/>
        <w:gridCol w:w="3946"/>
        <w:gridCol w:w="3946"/>
      </w:tblGrid>
      <w:tr>
        <w:trPr>
          <w:trHeight w:hRule="exact" w:val="402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574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15"/>
              </w:rPr>
              <w:t>图4  螺旋输送机示意图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6" w:after="0"/>
              <w:ind w:left="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0830" cy="21424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2142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0" w:right="2484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15"/>
              </w:rPr>
              <w:t>图5  冻结法加固</w:t>
            </w:r>
          </w:p>
        </w:tc>
      </w:tr>
      <w:tr>
        <w:trPr>
          <w:trHeight w:hRule="exact" w:val="3200"/>
        </w:trPr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5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96390" cy="21526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2152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46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3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56510" cy="19126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10" cy="191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96"/>
        </w:trPr>
        <w:tc>
          <w:tcPr>
            <w:tcW w:type="dxa" w:w="3946"/>
            <w:vMerge/>
            <w:tcBorders/>
          </w:tcPr>
          <w:p/>
        </w:tc>
        <w:tc>
          <w:tcPr>
            <w:tcW w:type="dxa" w:w="3946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30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15"/>
              </w:rPr>
              <w:t>图9  洞门破除状况</w:t>
            </w:r>
          </w:p>
        </w:tc>
      </w:tr>
    </w:tbl>
    <w:p>
      <w:pPr>
        <w:autoSpaceDN w:val="0"/>
        <w:autoSpaceDE w:val="0"/>
        <w:widowControl/>
        <w:spacing w:line="185" w:lineRule="auto" w:before="10" w:after="342"/>
        <w:ind w:left="1134" w:right="0" w:firstLine="0"/>
        <w:jc w:val="left"/>
      </w:pPr>
      <w:r>
        <w:rPr>
          <w:rFonts w:ascii="MicrosoftYaHei" w:hAnsi="MicrosoftYaHei" w:eastAsia="MicrosoftYaHei"/>
          <w:b w:val="0"/>
          <w:i w:val="0"/>
          <w:color w:val="221F1F"/>
          <w:sz w:val="15"/>
        </w:rPr>
        <w:t>图6  延伸环                                  图7  钢丝刷</w:t>
      </w:r>
    </w:p>
    <w:p>
      <w:pPr>
        <w:sectPr>
          <w:pgSz w:w="11905" w:h="16157"/>
          <w:pgMar w:top="0" w:right="66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1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7499" cy="12115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7499" cy="12115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611630" cy="12115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21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76" w:after="0"/>
        <w:ind w:left="1134" w:right="0" w:firstLine="0"/>
        <w:jc w:val="left"/>
      </w:pPr>
      <w:r>
        <w:rPr>
          <w:rFonts w:ascii="MicrosoftYaHei" w:hAnsi="MicrosoftYaHei" w:eastAsia="MicrosoftYaHei"/>
          <w:b w:val="0"/>
          <w:i w:val="0"/>
          <w:color w:val="221F1F"/>
          <w:sz w:val="15"/>
        </w:rPr>
        <w:t>图8  套筒法接收</w:t>
      </w:r>
    </w:p>
    <w:p>
      <w:pPr>
        <w:sectPr>
          <w:type w:val="continuous"/>
          <w:pgSz w:w="11905" w:h="16157"/>
          <w:pgMar w:top="0" w:right="66" w:bottom="168" w:left="0" w:header="720" w:footer="720" w:gutter="0"/>
          <w:cols w:num="2" w:equalWidth="0">
            <w:col w:w="6460" w:space="0"/>
            <w:col w:w="5380" w:space="0"/>
          </w:cols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286" w:right="1068" w:firstLine="0"/>
        <w:jc w:val="both"/>
      </w:pPr>
      <w:r>
        <w:rPr>
          <w:rFonts w:ascii="HYa2gj" w:hAnsi="HYa2gj" w:eastAsia="HYa2gj"/>
          <w:b w:val="0"/>
          <w:i w:val="0"/>
          <w:color w:val="221F1F"/>
          <w:sz w:val="17"/>
        </w:rPr>
        <w:t>内浇筑适当强度砂浆混凝土基座，以承受盾构机自重</w:t>
      </w:r>
      <w:r>
        <w:rPr>
          <w:rFonts w:ascii="HYa2gj" w:hAnsi="HYa2gj" w:eastAsia="HYa2gj"/>
          <w:b w:val="0"/>
          <w:i w:val="0"/>
          <w:color w:val="221F1F"/>
          <w:sz w:val="17"/>
        </w:rPr>
        <w:t>压力。同时凿除洞门后，在整体接收装置内回填盾构</w:t>
      </w:r>
      <w:r>
        <w:rPr>
          <w:rFonts w:ascii="HYa2gj" w:hAnsi="HYa2gj" w:eastAsia="HYa2gj"/>
          <w:b w:val="0"/>
          <w:i w:val="0"/>
          <w:color w:val="221F1F"/>
          <w:sz w:val="17"/>
        </w:rPr>
        <w:t>土作为介质，保持装置内压力与土层压力平衡，保证</w:t>
      </w:r>
      <w:r>
        <w:rPr>
          <w:rFonts w:ascii="HYa2gj" w:hAnsi="HYa2gj" w:eastAsia="HYa2gj"/>
          <w:b w:val="0"/>
          <w:i w:val="0"/>
          <w:color w:val="221F1F"/>
          <w:sz w:val="17"/>
        </w:rPr>
        <w:t>接收过程中土体的稳定, 有效防止井外水土流失。套</w:t>
      </w:r>
      <w:r>
        <w:rPr>
          <w:rFonts w:ascii="HYa2gj" w:hAnsi="HYa2gj" w:eastAsia="HYa2gj"/>
          <w:b w:val="0"/>
          <w:i w:val="0"/>
          <w:color w:val="221F1F"/>
          <w:sz w:val="17"/>
        </w:rPr>
        <w:t>筒法接收见图8。</w:t>
      </w:r>
    </w:p>
    <w:p>
      <w:pPr>
        <w:autoSpaceDN w:val="0"/>
        <w:autoSpaceDE w:val="0"/>
        <w:widowControl/>
        <w:spacing w:line="276" w:lineRule="auto" w:before="128" w:after="358"/>
        <w:ind w:left="286" w:right="1068" w:firstLine="284"/>
        <w:jc w:val="both"/>
      </w:pPr>
      <w:r>
        <w:rPr>
          <w:rFonts w:ascii="HYa2gj" w:hAnsi="HYa2gj" w:eastAsia="HYa2gj"/>
          <w:b w:val="0"/>
          <w:i w:val="0"/>
          <w:color w:val="221F1F"/>
          <w:sz w:val="17"/>
        </w:rPr>
        <w:t>（8）虽然洞门实施了端头加固措施，但洞门破除</w:t>
      </w:r>
      <w:r>
        <w:rPr>
          <w:rFonts w:ascii="HYa2gj" w:hAnsi="HYa2gj" w:eastAsia="HYa2gj"/>
          <w:b w:val="0"/>
          <w:i w:val="0"/>
          <w:color w:val="221F1F"/>
          <w:sz w:val="17"/>
        </w:rPr>
        <w:t>风险预防及处理、避免洞门密封失效，仍然是控制工</w:t>
      </w:r>
      <w:r>
        <w:rPr>
          <w:rFonts w:ascii="HYa2gj" w:hAnsi="HYa2gj" w:eastAsia="HYa2gj"/>
          <w:b w:val="0"/>
          <w:i w:val="0"/>
          <w:color w:val="221F1F"/>
          <w:sz w:val="17"/>
        </w:rPr>
        <w:t>程风险的重点。图9 是洞门破除状况。</w:t>
      </w:r>
    </w:p>
    <w:p>
      <w:pPr>
        <w:sectPr>
          <w:type w:val="nextColumn"/>
          <w:pgSz w:w="11905" w:h="16157"/>
          <w:pgMar w:top="0" w:right="66" w:bottom="168" w:left="0" w:header="720" w:footer="720" w:gutter="0"/>
          <w:cols w:num="2" w:equalWidth="0">
            <w:col w:w="6460" w:space="0"/>
            <w:col w:w="53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960"/>
        <w:gridCol w:w="2960"/>
        <w:gridCol w:w="2960"/>
        <w:gridCol w:w="2960"/>
      </w:tblGrid>
      <w:tr>
        <w:trPr>
          <w:trHeight w:hRule="exact" w:val="2932"/>
        </w:trPr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934" w:right="0" w:firstLine="0"/>
              <w:jc w:val="left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有效控制风险。冻结法加固见图5。</w:t>
            </w:r>
          </w:p>
          <w:p>
            <w:pPr>
              <w:autoSpaceDN w:val="0"/>
              <w:autoSpaceDE w:val="0"/>
              <w:widowControl/>
              <w:spacing w:line="300" w:lineRule="auto" w:before="128" w:after="0"/>
              <w:ind w:left="934" w:right="612" w:firstLine="284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（6）始发洞门加装密封装置：延伸环+ 洞门钢丝刷，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在预埋洞门圈上安装L=700 的延伸环，在延伸环内圈焊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接两道洞门钢丝刷，见图6、图7。当刀盘抵在掌子面时，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盾体与钢丝刷之间形成一道密封腔，并向密封腔内注满盾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尾油脂，此为第一道止水密封装置；延伸环外侧安装有止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水帘布及折页压板，为第二道止水密封装置。</w:t>
            </w:r>
          </w:p>
          <w:p>
            <w:pPr>
              <w:autoSpaceDN w:val="0"/>
              <w:autoSpaceDE w:val="0"/>
              <w:widowControl/>
              <w:spacing w:line="276" w:lineRule="auto" w:before="128" w:after="0"/>
              <w:ind w:left="934" w:right="612" w:firstLine="284"/>
              <w:jc w:val="both"/>
            </w:pP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（7）套筒法盾构整体接收：接收井内安装盾构接收抗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风险装置，即一个直径比盾构略大、长度比盾构略长的密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闭钢筒状结构与洞门密闭连接，采用全密封设计。在装置</w:t>
            </w:r>
          </w:p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4" w:val="left"/>
                <w:tab w:pos="1480" w:val="left"/>
              </w:tabs>
              <w:autoSpaceDE w:val="0"/>
              <w:widowControl/>
              <w:spacing w:line="240" w:lineRule="auto" w:before="0" w:after="0"/>
              <w:ind w:left="626" w:right="432" w:firstLine="0"/>
              <w:jc w:val="left"/>
            </w:pPr>
            <w:r>
              <w:rPr>
                <w:rFonts w:ascii="FZLTZHK" w:hAnsi="FZLTZHK" w:eastAsia="FZLTZHK"/>
                <w:b w:val="0"/>
                <w:i w:val="0"/>
                <w:color w:val="221F1F"/>
                <w:sz w:val="19"/>
              </w:rPr>
              <w:t>4   结语</w:t>
            </w:r>
            <w:r>
              <w:br/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南通市轨道交通1 号线一期工程第2、3 标段盾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构施工区段，虽然地质情况复杂，工程环境恶劣，且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建设方对地表沉降和环保要求极其严格，不允许采取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降水等传统稳妥措施控制风险，但施工单位通过对盾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构机合理选型及优化设计；严控盾构机推进参数、增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加冻结法加固等辅助措施，确保了工程安全平稳实施。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目前，工程最难段环区区间盾构机已平安通过，剩余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的工程也在有效稳定的开展，能够保证南通首条地铁</w:t>
            </w:r>
            <w:r>
              <w:rPr>
                <w:rFonts w:ascii="HYa2gj" w:hAnsi="HYa2gj" w:eastAsia="HYa2gj"/>
                <w:b w:val="0"/>
                <w:i w:val="0"/>
                <w:color w:val="221F1F"/>
                <w:sz w:val="17"/>
              </w:rPr>
              <w:t>目标实现。</w:t>
            </w: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6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76" w:after="0"/>
              <w:ind w:left="0" w:right="120" w:firstLine="0"/>
              <w:jc w:val="right"/>
            </w:pPr>
            <w:r>
              <w:rPr>
                <w:rFonts w:ascii="FZLTZHK" w:hAnsi="FZLTZHK" w:eastAsia="FZLTZHK"/>
                <w:b w:val="0"/>
                <w:i w:val="0"/>
                <w:color w:val="221F1F"/>
                <w:sz w:val="12"/>
              </w:rPr>
              <w:t>2020.06</w:t>
            </w:r>
            <w:r>
              <w:rPr>
                <w:rFonts w:ascii="FZLTXHK" w:hAnsi="FZLTXHK" w:eastAsia="FZLTXHK"/>
                <w:b w:val="0"/>
                <w:i w:val="0"/>
                <w:color w:val="221F1F"/>
                <w:sz w:val="12"/>
              </w:rPr>
              <w:t xml:space="preserve">  建设机械技术与管理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34" w:after="0"/>
              <w:ind w:left="120" w:right="0" w:firstLine="0"/>
              <w:jc w:val="left"/>
            </w:pPr>
            <w:r>
              <w:rPr>
                <w:rFonts w:ascii="MyriadPro" w:hAnsi="MyriadPro" w:eastAsia="MyriadPro"/>
                <w:b w:val="0"/>
                <w:i w:val="0"/>
                <w:color w:val="221F1F"/>
                <w:sz w:val="20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5" w:h="16157"/>
      <w:pgMar w:top="0" w:right="66" w:bottom="16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