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2091"/>
        <w:gridCol w:w="2091"/>
        <w:gridCol w:w="2091"/>
        <w:gridCol w:w="2091"/>
        <w:gridCol w:w="2091"/>
      </w:tblGrid>
      <w:tr>
        <w:trPr>
          <w:trHeight w:hRule="exact" w:val="284"/>
        </w:trPr>
        <w:tc>
          <w:tcPr>
            <w:tcW w:type="dxa" w:w="706"/>
            <w:tcBorders/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" w:after="0"/>
              <w:ind w:left="0" w:right="102" w:firstLine="0"/>
              <w:jc w:val="right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006792"/>
                <w:sz w:val="20"/>
              </w:rPr>
              <w:t>北</w:t>
            </w:r>
          </w:p>
        </w:tc>
        <w:tc>
          <w:tcPr>
            <w:tcW w:type="dxa" w:w="420"/>
            <w:tcBorders/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" w:after="0"/>
              <w:ind w:left="0" w:right="0" w:firstLine="0"/>
              <w:jc w:val="center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006792"/>
                <w:sz w:val="20"/>
              </w:rPr>
              <w:t>方</w:t>
            </w:r>
          </w:p>
        </w:tc>
        <w:tc>
          <w:tcPr>
            <w:tcW w:type="dxa" w:w="420"/>
            <w:tcBorders/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" w:after="0"/>
              <w:ind w:left="0" w:right="0" w:firstLine="0"/>
              <w:jc w:val="center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006792"/>
                <w:sz w:val="20"/>
              </w:rPr>
              <w:t>建</w:t>
            </w:r>
          </w:p>
        </w:tc>
        <w:tc>
          <w:tcPr>
            <w:tcW w:type="dxa" w:w="722"/>
            <w:tcBorders/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" w:after="0"/>
              <w:ind w:left="114" w:right="0" w:firstLine="0"/>
              <w:jc w:val="left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006792"/>
                <w:sz w:val="20"/>
              </w:rPr>
              <w:t>筑</w:t>
            </w:r>
          </w:p>
        </w:tc>
        <w:tc>
          <w:tcPr>
            <w:tcW w:type="dxa" w:w="7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6" w:after="0"/>
              <w:ind w:left="0" w:right="192" w:firstLine="0"/>
              <w:jc w:val="right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ED1C24"/>
                <w:sz w:val="20"/>
              </w:rPr>
              <w:t>建筑管理</w:t>
            </w:r>
          </w:p>
        </w:tc>
      </w:tr>
      <w:tr>
        <w:trPr>
          <w:trHeight w:hRule="exact" w:val="256"/>
        </w:trPr>
        <w:tc>
          <w:tcPr>
            <w:tcW w:type="dxa" w:w="2268"/>
            <w:gridSpan w:val="4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第</w:t>
            </w:r>
            <w:r>
              <w:rPr>
                <w:rFonts w:ascii="ZGQFOh" w:hAnsi="ZGQFOh" w:eastAsia="ZGQFOh"/>
                <w:b w:val="0"/>
                <w:i w:val="0"/>
                <w:color w:val="221F1F"/>
                <w:sz w:val="16"/>
              </w:rPr>
              <w:t>6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卷第</w:t>
            </w:r>
            <w:r>
              <w:rPr>
                <w:rFonts w:ascii="ZGQFOh" w:hAnsi="ZGQFOh" w:eastAsia="ZGQFOh"/>
                <w:b w:val="0"/>
                <w:i w:val="0"/>
                <w:color w:val="221F1F"/>
                <w:sz w:val="16"/>
              </w:rPr>
              <w:t>3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期</w:t>
            </w:r>
            <w:r>
              <w:rPr>
                <w:rFonts w:ascii="ZGQFOh" w:hAnsi="ZGQFOh" w:eastAsia="ZGQFOh"/>
                <w:b w:val="0"/>
                <w:i w:val="0"/>
                <w:color w:val="221F1F"/>
                <w:sz w:val="16"/>
              </w:rPr>
              <w:t>2021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年</w:t>
            </w:r>
            <w:r>
              <w:rPr>
                <w:rFonts w:ascii="ZGQFOh" w:hAnsi="ZGQFOh" w:eastAsia="ZGQFOh"/>
                <w:b w:val="0"/>
                <w:i w:val="0"/>
                <w:color w:val="221F1F"/>
                <w:sz w:val="16"/>
              </w:rPr>
              <w:t>6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月</w:t>
            </w:r>
          </w:p>
        </w:tc>
        <w:tc>
          <w:tcPr>
            <w:tcW w:type="dxa" w:w="73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1024" w:firstLine="0"/>
              <w:jc w:val="right"/>
            </w:pPr>
            <w:r>
              <w:rPr>
                <w:rFonts w:ascii="ZGQFOh" w:hAnsi="ZGQFOh" w:eastAsia="ZGQFOh"/>
                <w:b w:val="0"/>
                <w:i w:val="0"/>
                <w:color w:val="ED1C24"/>
                <w:sz w:val="21"/>
              </w:rPr>
              <w:t>■</w:t>
            </w:r>
          </w:p>
        </w:tc>
      </w:tr>
    </w:tbl>
    <w:p>
      <w:pPr>
        <w:autoSpaceDN w:val="0"/>
        <w:autoSpaceDE w:val="0"/>
        <w:widowControl/>
        <w:spacing w:line="550" w:lineRule="exact" w:before="952" w:after="0"/>
        <w:ind w:left="1990" w:right="0" w:firstLine="0"/>
        <w:jc w:val="left"/>
      </w:pPr>
      <w:r>
        <w:rPr>
          <w:rFonts w:ascii="方正黑体_GBK" w:hAnsi="方正黑体_GBK" w:eastAsia="方正黑体_GBK"/>
          <w:b w:val="0"/>
          <w:i w:val="0"/>
          <w:color w:val="221F1F"/>
          <w:sz w:val="42"/>
        </w:rPr>
        <w:t>地铁盾构施工中的安全风险和管控对策</w:t>
      </w:r>
    </w:p>
    <w:p>
      <w:pPr>
        <w:autoSpaceDN w:val="0"/>
        <w:tabs>
          <w:tab w:pos="5140" w:val="left"/>
          <w:tab w:pos="5698" w:val="left"/>
          <w:tab w:pos="6580" w:val="left"/>
        </w:tabs>
        <w:autoSpaceDE w:val="0"/>
        <w:widowControl/>
        <w:spacing w:line="280" w:lineRule="exact" w:before="394" w:after="0"/>
        <w:ind w:left="3836" w:right="3168" w:firstLine="0"/>
        <w:jc w:val="left"/>
      </w:pPr>
      <w:r>
        <w:rPr>
          <w:w w:val="98.47259521484375"/>
          <w:rFonts w:ascii="方正仿宋_GBK" w:hAnsi="方正仿宋_GBK" w:eastAsia="方正仿宋_GBK"/>
          <w:b w:val="0"/>
          <w:i w:val="0"/>
          <w:color w:val="221F1F"/>
          <w:sz w:val="27"/>
        </w:rPr>
        <w:t>李</w:t>
      </w:r>
      <w:r>
        <w:rPr>
          <w:w w:val="98.47259521484375"/>
          <w:rFonts w:ascii="方正仿宋_GBK" w:hAnsi="方正仿宋_GBK" w:eastAsia="方正仿宋_GBK"/>
          <w:b w:val="0"/>
          <w:i w:val="0"/>
          <w:color w:val="221F1F"/>
          <w:sz w:val="27"/>
        </w:rPr>
        <w:t>菲</w:t>
      </w:r>
      <w:r>
        <w:br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（中铁十六局集团有限公司，北京</w:t>
      </w:r>
      <w:r>
        <w:tab/>
      </w:r>
      <w:r>
        <w:rPr>
          <w:rFonts w:ascii="ZGQFOh" w:hAnsi="ZGQFOh" w:eastAsia="ZGQFOh"/>
          <w:b w:val="0"/>
          <w:i w:val="0"/>
          <w:color w:val="221F1F"/>
          <w:sz w:val="18"/>
        </w:rPr>
        <w:t>100018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</w:t>
      </w:r>
    </w:p>
    <w:p>
      <w:pPr>
        <w:autoSpaceDN w:val="0"/>
        <w:autoSpaceDE w:val="0"/>
        <w:widowControl/>
        <w:spacing w:line="284" w:lineRule="exact" w:before="306" w:after="0"/>
        <w:ind w:left="1306" w:right="658" w:firstLine="0"/>
        <w:jc w:val="both"/>
      </w:pPr>
      <w:r>
        <w:rPr>
          <w:w w:val="103.09973955154419"/>
          <w:rFonts w:ascii="方正黑体_GBK" w:hAnsi="方正黑体_GBK" w:eastAsia="方正黑体_GBK"/>
          <w:b w:val="0"/>
          <w:i w:val="0"/>
          <w:color w:val="221F1F"/>
          <w:sz w:val="16"/>
        </w:rPr>
        <w:t>摘要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：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随着经济的发展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地铁工程的建设也加快了步伐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因为地铁出行的交通方式具有载量大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污染少等优点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已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成为大中型城市解决交通出行问题的主要方式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而城轨交通工程由于投资巨大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因此其风险管理非常重要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地铁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区间隧道盾构施工相比传统施工方式具有很多优势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但盾构施工中也存在一些弊端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如设备投资大等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往往会由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于不确定因素而存在各种风险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近年来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我国地铁工程盾构施工发生多起安全事故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严重威胁了群众生命财产安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全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鉴于此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研究盾构施工安全管理方法是十分必要的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本文查阅相关资料研究地铁盾构施工中安全风险管控对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策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首先阐述地铁盾构施工安全风险管理理论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通过对地铁盾构施工安全风险识别评价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重点总结地铁盾构施工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安全风险管控对策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通过地铁盾构施工安全风险分析管控研究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为地铁工程盾构施工安全管理提供参考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216" w:lineRule="exact" w:before="68" w:after="34"/>
        <w:ind w:left="1306" w:right="0" w:firstLine="0"/>
        <w:jc w:val="left"/>
      </w:pPr>
      <w:r>
        <w:rPr>
          <w:w w:val="103.09973955154419"/>
          <w:rFonts w:ascii="方正黑体_GBK" w:hAnsi="方正黑体_GBK" w:eastAsia="方正黑体_GBK"/>
          <w:b w:val="0"/>
          <w:i w:val="0"/>
          <w:color w:val="221F1F"/>
          <w:sz w:val="16"/>
        </w:rPr>
        <w:t>关键词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：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地铁工程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；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盾构施工</w:t>
      </w:r>
      <w:r>
        <w:rPr>
          <w:w w:val="103.09973955154419"/>
          <w:rFonts w:ascii="ZGQFOh" w:hAnsi="ZGQFOh" w:eastAsia="ZGQFOh"/>
          <w:b w:val="0"/>
          <w:i w:val="0"/>
          <w:color w:val="221F1F"/>
          <w:sz w:val="16"/>
        </w:rPr>
        <w:t>；</w:t>
      </w:r>
      <w:r>
        <w:rPr>
          <w:w w:val="103.09973955154419"/>
          <w:rFonts w:ascii="方正仿宋_GBK" w:hAnsi="方正仿宋_GBK" w:eastAsia="方正仿宋_GBK"/>
          <w:b w:val="0"/>
          <w:i w:val="0"/>
          <w:color w:val="221F1F"/>
          <w:sz w:val="16"/>
        </w:rPr>
        <w:t>安全风险管控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485"/>
        <w:gridCol w:w="3485"/>
        <w:gridCol w:w="3485"/>
      </w:tblGrid>
      <w:tr>
        <w:trPr>
          <w:trHeight w:hRule="exact" w:val="31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4" w:after="0"/>
              <w:ind w:left="0" w:right="268" w:firstLine="0"/>
              <w:jc w:val="righ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中图分类号</w:t>
            </w:r>
            <w:r>
              <w:rPr>
                <w:w w:val="103.09973955154419"/>
                <w:rFonts w:ascii="ZGQFOh" w:hAnsi="ZGQFOh" w:eastAsia="ZGQFOh"/>
                <w:b w:val="0"/>
                <w:i w:val="0"/>
                <w:color w:val="221F1F"/>
                <w:sz w:val="16"/>
              </w:rPr>
              <w:t>：</w:t>
            </w:r>
            <w:r>
              <w:rPr>
                <w:rFonts w:ascii="ZGQFOh" w:hAnsi="ZGQFOh" w:eastAsia="ZGQFOh"/>
                <w:b w:val="0"/>
                <w:i w:val="0"/>
                <w:color w:val="221F1F"/>
                <w:sz w:val="18"/>
              </w:rPr>
              <w:t>U455.43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4" w:after="0"/>
              <w:ind w:left="0" w:right="0" w:firstLine="0"/>
              <w:jc w:val="center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文献标识码</w:t>
            </w:r>
            <w:r>
              <w:rPr>
                <w:w w:val="103.09973955154419"/>
                <w:rFonts w:ascii="ZGQFOh" w:hAnsi="ZGQFOh" w:eastAsia="ZGQFOh"/>
                <w:b w:val="0"/>
                <w:i w:val="0"/>
                <w:color w:val="221F1F"/>
                <w:sz w:val="16"/>
              </w:rPr>
              <w:t>：</w:t>
            </w:r>
            <w:r>
              <w:rPr>
                <w:rFonts w:ascii="ZGQFOh" w:hAnsi="ZGQFOh" w:eastAsia="ZGQFOh"/>
                <w:b w:val="0"/>
                <w:i w:val="0"/>
                <w:color w:val="221F1F"/>
                <w:sz w:val="18"/>
              </w:rPr>
              <w:t>A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4" w:after="0"/>
              <w:ind w:left="290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文章编号</w:t>
            </w:r>
            <w:r>
              <w:rPr>
                <w:w w:val="103.09973955154419"/>
                <w:rFonts w:ascii="ZGQFOh" w:hAnsi="ZGQFOh" w:eastAsia="ZGQFOh"/>
                <w:b w:val="0"/>
                <w:i w:val="0"/>
                <w:color w:val="221F1F"/>
                <w:sz w:val="16"/>
              </w:rPr>
              <w:t>：</w:t>
            </w:r>
            <w:r>
              <w:rPr>
                <w:rFonts w:ascii="ZGQFOh" w:hAnsi="ZGQFOh" w:eastAsia="ZGQFOh"/>
                <w:b w:val="0"/>
                <w:i w:val="0"/>
                <w:color w:val="221F1F"/>
                <w:sz w:val="18"/>
              </w:rPr>
              <w:t>2096</w:t>
            </w:r>
            <w:r>
              <w:rPr>
                <w:rFonts w:ascii="ZGQFOh" w:hAnsi="ZGQFOh" w:eastAsia="ZGQFOh"/>
                <w:b w:val="0"/>
                <w:i w:val="0"/>
                <w:color w:val="221F1F"/>
                <w:sz w:val="18"/>
              </w:rPr>
              <w:t>-2118</w:t>
            </w:r>
            <w:r>
              <w:rPr>
                <w:w w:val="103.09973955154419"/>
                <w:rFonts w:ascii="ZGQFOh" w:hAnsi="ZGQFOh" w:eastAsia="ZGQFOh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GQFOh" w:hAnsi="ZGQFOh" w:eastAsia="ZGQFOh"/>
                <w:b w:val="0"/>
                <w:i w:val="0"/>
                <w:color w:val="221F1F"/>
                <w:sz w:val="18"/>
              </w:rPr>
              <w:t>2021</w:t>
            </w:r>
            <w:r>
              <w:rPr>
                <w:w w:val="103.09973955154419"/>
                <w:rFonts w:ascii="ZGQFOh" w:hAnsi="ZGQFOh" w:eastAsia="ZGQFOh"/>
                <w:b w:val="0"/>
                <w:i w:val="0"/>
                <w:color w:val="221F1F"/>
                <w:sz w:val="16"/>
              </w:rPr>
              <w:t>）</w:t>
            </w:r>
            <w:r>
              <w:rPr>
                <w:rFonts w:ascii="ZGQFOh" w:hAnsi="ZGQFOh" w:eastAsia="ZGQFOh"/>
                <w:b w:val="0"/>
                <w:i w:val="0"/>
                <w:color w:val="221F1F"/>
                <w:sz w:val="18"/>
              </w:rPr>
              <w:t>03-0075-04</w:t>
            </w:r>
          </w:p>
        </w:tc>
      </w:tr>
    </w:tbl>
    <w:p>
      <w:pPr>
        <w:autoSpaceDN w:val="0"/>
        <w:autoSpaceDE w:val="0"/>
        <w:widowControl/>
        <w:spacing w:line="280" w:lineRule="exact" w:before="360" w:after="0"/>
        <w:ind w:left="1068" w:right="0" w:firstLine="0"/>
        <w:jc w:val="left"/>
      </w:pPr>
      <w:r>
        <w:rPr>
          <w:rFonts w:ascii="ZGQFOh" w:hAnsi="ZGQFOh" w:eastAsia="ZGQFOh"/>
          <w:b w:val="0"/>
          <w:i w:val="0"/>
          <w:color w:val="221F1F"/>
          <w:sz w:val="28"/>
        </w:rPr>
        <w:t>Risk of Subway Shield Construction Safety and Control Countermeasures</w:t>
      </w:r>
    </w:p>
    <w:p>
      <w:pPr>
        <w:autoSpaceDN w:val="0"/>
        <w:tabs>
          <w:tab w:pos="5292" w:val="left"/>
          <w:tab w:pos="6980" w:val="left"/>
        </w:tabs>
        <w:autoSpaceDE w:val="0"/>
        <w:widowControl/>
        <w:spacing w:line="294" w:lineRule="exact" w:before="330" w:after="0"/>
        <w:ind w:left="2928" w:right="2160" w:firstLine="0"/>
        <w:jc w:val="left"/>
      </w:pPr>
      <w:r>
        <w:tab/>
      </w:r>
      <w:r>
        <w:rPr>
          <w:rFonts w:ascii="ZGQFOh" w:hAnsi="ZGQFOh" w:eastAsia="ZGQFOh"/>
          <w:b w:val="0"/>
          <w:i w:val="0"/>
          <w:color w:val="221F1F"/>
          <w:sz w:val="21"/>
        </w:rPr>
        <w:t>LI Fei</w:t>
      </w:r>
      <w:r>
        <w:br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（</w:t>
      </w:r>
      <w:r>
        <w:rPr>
          <w:rFonts w:ascii="ZGQFOh" w:hAnsi="ZGQFOh" w:eastAsia="ZGQFOh"/>
          <w:b w:val="0"/>
          <w:i w:val="0"/>
          <w:color w:val="221F1F"/>
          <w:sz w:val="18"/>
        </w:rPr>
        <w:t>China Railway 16th Bureau Group Co.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，</w:t>
      </w:r>
      <w:r>
        <w:rPr>
          <w:rFonts w:ascii="ZGQFOh" w:hAnsi="ZGQFOh" w:eastAsia="ZGQFOh"/>
          <w:b w:val="0"/>
          <w:i w:val="0"/>
          <w:color w:val="221F1F"/>
          <w:sz w:val="18"/>
        </w:rPr>
        <w:t>Ltd.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，</w:t>
      </w:r>
      <w:r>
        <w:rPr>
          <w:rFonts w:ascii="ZGQFOh" w:hAnsi="ZGQFOh" w:eastAsia="ZGQFOh"/>
          <w:b w:val="0"/>
          <w:i w:val="0"/>
          <w:color w:val="221F1F"/>
          <w:sz w:val="18"/>
        </w:rPr>
        <w:t xml:space="preserve">Beijing </w:t>
      </w:r>
      <w:r>
        <w:tab/>
      </w:r>
      <w:r>
        <w:rPr>
          <w:rFonts w:ascii="ZGQFOh" w:hAnsi="ZGQFOh" w:eastAsia="ZGQFOh"/>
          <w:b w:val="0"/>
          <w:i w:val="0"/>
          <w:color w:val="221F1F"/>
          <w:sz w:val="18"/>
        </w:rPr>
        <w:t>100018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，</w:t>
      </w:r>
      <w:r>
        <w:rPr>
          <w:rFonts w:ascii="ZGQFOh" w:hAnsi="ZGQFOh" w:eastAsia="ZGQFOh"/>
          <w:b w:val="0"/>
          <w:i w:val="0"/>
          <w:color w:val="221F1F"/>
          <w:sz w:val="18"/>
        </w:rPr>
        <w:t>China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</w:t>
      </w:r>
    </w:p>
    <w:p>
      <w:pPr>
        <w:autoSpaceDN w:val="0"/>
        <w:autoSpaceDE w:val="0"/>
        <w:widowControl/>
        <w:spacing w:line="316" w:lineRule="exact" w:before="316" w:after="0"/>
        <w:ind w:left="720" w:right="0" w:firstLine="0"/>
        <w:jc w:val="center"/>
      </w:pPr>
      <w:r>
        <w:rPr>
          <w:rFonts w:ascii="ZGQFOh" w:hAnsi="ZGQFOh" w:eastAsia="ZGQFOh"/>
          <w:b w:val="0"/>
          <w:i w:val="0"/>
          <w:color w:val="221F1F"/>
          <w:sz w:val="21"/>
        </w:rPr>
        <w:t>Abstract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：</w:t>
      </w:r>
      <w:r>
        <w:rPr>
          <w:rFonts w:ascii="ZGQFOh" w:hAnsi="ZGQFOh" w:eastAsia="ZGQFOh"/>
          <w:b w:val="0"/>
          <w:i w:val="0"/>
          <w:color w:val="221F1F"/>
          <w:sz w:val="21"/>
        </w:rPr>
        <w:t>With the development of economy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</w:t>
      </w:r>
      <w:r>
        <w:rPr>
          <w:rFonts w:ascii="ZGQFOh" w:hAnsi="ZGQFOh" w:eastAsia="ZGQFOh"/>
          <w:b w:val="0"/>
          <w:i w:val="0"/>
          <w:color w:val="221F1F"/>
          <w:sz w:val="21"/>
        </w:rPr>
        <w:t xml:space="preserve">the construction of subway projects has been accelerated.Due to the </w:t>
      </w:r>
      <w:r>
        <w:rPr>
          <w:rFonts w:ascii="ZGQFOh" w:hAnsi="ZGQFOh" w:eastAsia="ZGQFOh"/>
          <w:b w:val="0"/>
          <w:i w:val="0"/>
          <w:color w:val="221F1F"/>
          <w:sz w:val="21"/>
        </w:rPr>
        <w:t>advantages of heavy load and less pollution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</w:t>
      </w:r>
      <w:r>
        <w:rPr>
          <w:rFonts w:ascii="ZGQFOh" w:hAnsi="ZGQFOh" w:eastAsia="ZGQFOh"/>
          <w:b w:val="0"/>
          <w:i w:val="0"/>
          <w:color w:val="221F1F"/>
          <w:sz w:val="21"/>
        </w:rPr>
        <w:t>subway has become the main way to solve the problem of transporta</w:t>
      </w:r>
      <w:r>
        <w:rPr>
          <w:rFonts w:ascii="ZGQFOh" w:hAnsi="ZGQFOh" w:eastAsia="ZGQFOh"/>
          <w:b w:val="0"/>
          <w:i w:val="0"/>
          <w:color w:val="221F1F"/>
          <w:sz w:val="21"/>
        </w:rPr>
        <w:t>－</w:t>
      </w:r>
    </w:p>
    <w:p>
      <w:pPr>
        <w:autoSpaceDN w:val="0"/>
        <w:autoSpaceDE w:val="0"/>
        <w:widowControl/>
        <w:spacing w:line="210" w:lineRule="exact" w:before="92" w:after="0"/>
        <w:ind w:left="734" w:right="0" w:firstLine="0"/>
        <w:jc w:val="left"/>
      </w:pPr>
      <w:r>
        <w:rPr>
          <w:rFonts w:ascii="ZGQFOh" w:hAnsi="ZGQFOh" w:eastAsia="ZGQFOh"/>
          <w:b w:val="0"/>
          <w:i w:val="0"/>
          <w:color w:val="221F1F"/>
          <w:sz w:val="21"/>
        </w:rPr>
        <w:t>tion in large and medium-sized cities.The risk management is very important because of the huge investment of</w:t>
      </w:r>
    </w:p>
    <w:p>
      <w:pPr>
        <w:autoSpaceDN w:val="0"/>
        <w:autoSpaceDE w:val="0"/>
        <w:widowControl/>
        <w:spacing w:line="316" w:lineRule="exact" w:before="0" w:after="0"/>
        <w:ind w:left="734" w:right="0" w:firstLine="0"/>
        <w:jc w:val="left"/>
      </w:pPr>
      <w:r>
        <w:rPr>
          <w:rFonts w:ascii="ZGQFOh" w:hAnsi="ZGQFOh" w:eastAsia="ZGQFOh"/>
          <w:b w:val="0"/>
          <w:i w:val="0"/>
          <w:color w:val="221F1F"/>
          <w:sz w:val="21"/>
        </w:rPr>
        <w:t>urban rail transit project.Shield construction of metro tunnel has many advantages compared with traditional con</w:t>
      </w:r>
      <w:r>
        <w:rPr>
          <w:rFonts w:ascii="ZGQFOh" w:hAnsi="ZGQFOh" w:eastAsia="ZGQFOh"/>
          <w:b w:val="0"/>
          <w:i w:val="0"/>
          <w:color w:val="221F1F"/>
          <w:sz w:val="21"/>
        </w:rPr>
        <w:t>－</w:t>
      </w:r>
      <w:r>
        <w:rPr>
          <w:rFonts w:ascii="ZGQFOh" w:hAnsi="ZGQFOh" w:eastAsia="ZGQFOh"/>
          <w:b w:val="0"/>
          <w:i w:val="0"/>
          <w:color w:val="221F1F"/>
          <w:sz w:val="21"/>
        </w:rPr>
        <w:t>struction methods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</w:t>
      </w:r>
      <w:r>
        <w:rPr>
          <w:rFonts w:ascii="ZGQFOh" w:hAnsi="ZGQFOh" w:eastAsia="ZGQFOh"/>
          <w:b w:val="0"/>
          <w:i w:val="0"/>
          <w:color w:val="221F1F"/>
          <w:sz w:val="21"/>
        </w:rPr>
        <w:t>but there are some disadvantages in shield construction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</w:t>
      </w:r>
      <w:r>
        <w:rPr>
          <w:rFonts w:ascii="ZGQFOh" w:hAnsi="ZGQFOh" w:eastAsia="ZGQFOh"/>
          <w:b w:val="0"/>
          <w:i w:val="0"/>
          <w:color w:val="221F1F"/>
          <w:sz w:val="21"/>
        </w:rPr>
        <w:t>such as large investment in equip</w:t>
      </w:r>
      <w:r>
        <w:rPr>
          <w:rFonts w:ascii="ZGQFOh" w:hAnsi="ZGQFOh" w:eastAsia="ZGQFOh"/>
          <w:b w:val="0"/>
          <w:i w:val="0"/>
          <w:color w:val="221F1F"/>
          <w:sz w:val="21"/>
        </w:rPr>
        <w:t>－</w:t>
      </w:r>
      <w:r>
        <w:rPr>
          <w:rFonts w:ascii="ZGQFOh" w:hAnsi="ZGQFOh" w:eastAsia="ZGQFOh"/>
          <w:b w:val="0"/>
          <w:i w:val="0"/>
          <w:color w:val="221F1F"/>
          <w:sz w:val="21"/>
        </w:rPr>
        <w:t>ment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</w:t>
      </w:r>
      <w:r>
        <w:rPr>
          <w:rFonts w:ascii="ZGQFOh" w:hAnsi="ZGQFOh" w:eastAsia="ZGQFOh"/>
          <w:b w:val="0"/>
          <w:i w:val="0"/>
          <w:color w:val="221F1F"/>
          <w:sz w:val="21"/>
        </w:rPr>
        <w:t>and there are often various of risks due to uncertain factors.In recent years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</w:t>
      </w:r>
      <w:r>
        <w:rPr>
          <w:rFonts w:ascii="ZGQFOh" w:hAnsi="ZGQFOh" w:eastAsia="ZGQFOh"/>
          <w:b w:val="0"/>
          <w:i w:val="0"/>
          <w:color w:val="221F1F"/>
          <w:sz w:val="21"/>
        </w:rPr>
        <w:t>many safety accidents have oc</w:t>
      </w:r>
      <w:r>
        <w:rPr>
          <w:rFonts w:ascii="ZGQFOh" w:hAnsi="ZGQFOh" w:eastAsia="ZGQFOh"/>
          <w:b w:val="0"/>
          <w:i w:val="0"/>
          <w:color w:val="221F1F"/>
          <w:sz w:val="21"/>
        </w:rPr>
        <w:t>－</w:t>
      </w:r>
      <w:r>
        <w:rPr>
          <w:rFonts w:ascii="ZGQFOh" w:hAnsi="ZGQFOh" w:eastAsia="ZGQFOh"/>
          <w:b w:val="0"/>
          <w:i w:val="0"/>
          <w:color w:val="221F1F"/>
          <w:sz w:val="21"/>
        </w:rPr>
        <w:t>curred in shield construction of subway engineering in China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</w:t>
      </w:r>
      <w:r>
        <w:rPr>
          <w:rFonts w:ascii="ZGQFOh" w:hAnsi="ZGQFOh" w:eastAsia="ZGQFOh"/>
          <w:b w:val="0"/>
          <w:i w:val="0"/>
          <w:color w:val="221F1F"/>
          <w:sz w:val="21"/>
        </w:rPr>
        <w:t xml:space="preserve">which seriously threatens the safety and property of </w:t>
      </w:r>
      <w:r>
        <w:rPr>
          <w:rFonts w:ascii="ZGQFOh" w:hAnsi="ZGQFOh" w:eastAsia="ZGQFOh"/>
          <w:b w:val="0"/>
          <w:i w:val="0"/>
          <w:color w:val="221F1F"/>
          <w:sz w:val="21"/>
        </w:rPr>
        <w:t>people</w:t>
      </w:r>
      <w:r>
        <w:rPr>
          <w:rFonts w:ascii="ZGQFMU" w:hAnsi="ZGQFMU" w:eastAsia="ZGQFMU"/>
          <w:b w:val="0"/>
          <w:i w:val="0"/>
          <w:color w:val="221F1F"/>
          <w:sz w:val="21"/>
        </w:rPr>
        <w:t>’</w:t>
      </w:r>
      <w:r>
        <w:rPr>
          <w:rFonts w:ascii="ZGQFOh" w:hAnsi="ZGQFOh" w:eastAsia="ZGQFOh"/>
          <w:b w:val="0"/>
          <w:i w:val="0"/>
          <w:color w:val="221F1F"/>
          <w:sz w:val="21"/>
        </w:rPr>
        <w:t>s.In view of this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</w:t>
      </w:r>
      <w:r>
        <w:rPr>
          <w:rFonts w:ascii="ZGQFOh" w:hAnsi="ZGQFOh" w:eastAsia="ZGQFOh"/>
          <w:b w:val="0"/>
          <w:i w:val="0"/>
          <w:color w:val="221F1F"/>
          <w:sz w:val="21"/>
        </w:rPr>
        <w:t xml:space="preserve">it is very necessary to study the safety management method of shield construction.In this </w:t>
      </w:r>
      <w:r>
        <w:rPr>
          <w:rFonts w:ascii="ZGQFOh" w:hAnsi="ZGQFOh" w:eastAsia="ZGQFOh"/>
          <w:b w:val="0"/>
          <w:i w:val="0"/>
          <w:color w:val="221F1F"/>
          <w:sz w:val="21"/>
        </w:rPr>
        <w:t>paper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</w:t>
      </w:r>
      <w:r>
        <w:rPr>
          <w:rFonts w:ascii="ZGQFOh" w:hAnsi="ZGQFOh" w:eastAsia="ZGQFOh"/>
          <w:b w:val="0"/>
          <w:i w:val="0"/>
          <w:color w:val="221F1F"/>
          <w:sz w:val="21"/>
        </w:rPr>
        <w:t>the relevant materials are consulted to study safety risk control countermeasures of subway shield construc</w:t>
      </w:r>
      <w:r>
        <w:rPr>
          <w:rFonts w:ascii="ZGQFOh" w:hAnsi="ZGQFOh" w:eastAsia="ZGQFOh"/>
          <w:b w:val="0"/>
          <w:i w:val="0"/>
          <w:color w:val="221F1F"/>
          <w:sz w:val="21"/>
        </w:rPr>
        <w:t>－</w:t>
      </w:r>
      <w:r>
        <w:rPr>
          <w:rFonts w:ascii="ZGQFOh" w:hAnsi="ZGQFOh" w:eastAsia="ZGQFOh"/>
          <w:b w:val="0"/>
          <w:i w:val="0"/>
          <w:color w:val="221F1F"/>
          <w:sz w:val="21"/>
        </w:rPr>
        <w:t>tion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</w:t>
      </w:r>
      <w:r>
        <w:rPr>
          <w:rFonts w:ascii="ZGQFOh" w:hAnsi="ZGQFOh" w:eastAsia="ZGQFOh"/>
          <w:b w:val="0"/>
          <w:i w:val="0"/>
          <w:color w:val="221F1F"/>
          <w:sz w:val="21"/>
        </w:rPr>
        <w:t>first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</w:t>
      </w:r>
      <w:r>
        <w:rPr>
          <w:rFonts w:ascii="ZGQFOh" w:hAnsi="ZGQFOh" w:eastAsia="ZGQFOh"/>
          <w:b w:val="0"/>
          <w:i w:val="0"/>
          <w:color w:val="221F1F"/>
          <w:sz w:val="21"/>
        </w:rPr>
        <w:t>the theory of safety risk management of subway shield construction are elaborated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</w:t>
      </w:r>
      <w:r>
        <w:rPr>
          <w:rFonts w:ascii="ZGQFOh" w:hAnsi="ZGQFOh" w:eastAsia="ZGQFOh"/>
          <w:b w:val="0"/>
          <w:i w:val="0"/>
          <w:color w:val="221F1F"/>
          <w:sz w:val="21"/>
        </w:rPr>
        <w:t>through the identifi</w:t>
      </w:r>
      <w:r>
        <w:rPr>
          <w:rFonts w:ascii="ZGQFOh" w:hAnsi="ZGQFOh" w:eastAsia="ZGQFOh"/>
          <w:b w:val="0"/>
          <w:i w:val="0"/>
          <w:color w:val="221F1F"/>
          <w:sz w:val="21"/>
        </w:rPr>
        <w:t>－</w:t>
      </w:r>
      <w:r>
        <w:rPr>
          <w:rFonts w:ascii="ZGQFOh" w:hAnsi="ZGQFOh" w:eastAsia="ZGQFOh"/>
          <w:b w:val="0"/>
          <w:i w:val="0"/>
          <w:color w:val="221F1F"/>
          <w:sz w:val="21"/>
        </w:rPr>
        <w:t>cation and evaluation of safety risks of subway shield construction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</w:t>
      </w:r>
      <w:r>
        <w:rPr>
          <w:rFonts w:ascii="ZGQFOh" w:hAnsi="ZGQFOh" w:eastAsia="ZGQFOh"/>
          <w:b w:val="0"/>
          <w:i w:val="0"/>
          <w:color w:val="221F1F"/>
          <w:sz w:val="21"/>
        </w:rPr>
        <w:t>the safety risk control countermeasures of sub</w:t>
      </w:r>
      <w:r>
        <w:rPr>
          <w:rFonts w:ascii="ZGQFOh" w:hAnsi="ZGQFOh" w:eastAsia="ZGQFOh"/>
          <w:b w:val="0"/>
          <w:i w:val="0"/>
          <w:color w:val="221F1F"/>
          <w:sz w:val="21"/>
        </w:rPr>
        <w:t>－</w:t>
      </w:r>
    </w:p>
    <w:p>
      <w:pPr>
        <w:autoSpaceDN w:val="0"/>
        <w:autoSpaceDE w:val="0"/>
        <w:widowControl/>
        <w:spacing w:line="314" w:lineRule="exact" w:before="0" w:after="0"/>
        <w:ind w:left="720" w:right="0" w:firstLine="0"/>
        <w:jc w:val="center"/>
      </w:pPr>
      <w:r>
        <w:rPr>
          <w:rFonts w:ascii="ZGQFOh" w:hAnsi="ZGQFOh" w:eastAsia="ZGQFOh"/>
          <w:b w:val="0"/>
          <w:i w:val="0"/>
          <w:color w:val="221F1F"/>
          <w:sz w:val="21"/>
        </w:rPr>
        <w:t xml:space="preserve">way shield construction are summarized with emphasis.Through the research of safety risk analysis and control of </w:t>
      </w:r>
      <w:r>
        <w:rPr>
          <w:rFonts w:ascii="ZGQFOh" w:hAnsi="ZGQFOh" w:eastAsia="ZGQFOh"/>
          <w:b w:val="0"/>
          <w:i w:val="0"/>
          <w:color w:val="221F1F"/>
          <w:sz w:val="21"/>
        </w:rPr>
        <w:t>subway shield construction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</w:t>
      </w:r>
      <w:r>
        <w:rPr>
          <w:rFonts w:ascii="ZGQFOh" w:hAnsi="ZGQFOh" w:eastAsia="ZGQFOh"/>
          <w:b w:val="0"/>
          <w:i w:val="0"/>
          <w:color w:val="221F1F"/>
          <w:sz w:val="21"/>
        </w:rPr>
        <w:t>it provides a reference for shield construction safety management of subway engineer</w:t>
      </w:r>
      <w:r>
        <w:rPr>
          <w:rFonts w:ascii="ZGQFOh" w:hAnsi="ZGQFOh" w:eastAsia="ZGQFOh"/>
          <w:b w:val="0"/>
          <w:i w:val="0"/>
          <w:color w:val="221F1F"/>
          <w:sz w:val="21"/>
        </w:rPr>
        <w:t>－</w:t>
      </w:r>
    </w:p>
    <w:p>
      <w:pPr>
        <w:autoSpaceDN w:val="0"/>
        <w:autoSpaceDE w:val="0"/>
        <w:widowControl/>
        <w:spacing w:line="210" w:lineRule="exact" w:before="92" w:after="0"/>
        <w:ind w:left="734" w:right="0" w:firstLine="0"/>
        <w:jc w:val="left"/>
      </w:pPr>
      <w:r>
        <w:rPr>
          <w:rFonts w:ascii="ZGQFOh" w:hAnsi="ZGQFOh" w:eastAsia="ZGQFOh"/>
          <w:b w:val="0"/>
          <w:i w:val="0"/>
          <w:color w:val="221F1F"/>
          <w:sz w:val="21"/>
        </w:rPr>
        <w:t>ing.</w:t>
      </w:r>
    </w:p>
    <w:p>
      <w:pPr>
        <w:autoSpaceDN w:val="0"/>
        <w:autoSpaceDE w:val="0"/>
        <w:widowControl/>
        <w:spacing w:line="274" w:lineRule="exact" w:before="54" w:after="354"/>
        <w:ind w:left="734" w:right="0" w:firstLine="0"/>
        <w:jc w:val="left"/>
      </w:pPr>
      <w:r>
        <w:rPr>
          <w:rFonts w:ascii="ZGQFOh" w:hAnsi="ZGQFOh" w:eastAsia="ZGQFOh"/>
          <w:b w:val="0"/>
          <w:i w:val="0"/>
          <w:color w:val="221F1F"/>
          <w:sz w:val="21"/>
        </w:rPr>
        <w:t>Keywords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：</w:t>
      </w:r>
      <w:r>
        <w:rPr>
          <w:rFonts w:ascii="ZGQFOh" w:hAnsi="ZGQFOh" w:eastAsia="ZGQFOh"/>
          <w:b w:val="0"/>
          <w:i w:val="0"/>
          <w:color w:val="221F1F"/>
          <w:sz w:val="21"/>
        </w:rPr>
        <w:t>subway engineering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；</w:t>
      </w:r>
      <w:r>
        <w:rPr>
          <w:rFonts w:ascii="ZGQFOh" w:hAnsi="ZGQFOh" w:eastAsia="ZGQFOh"/>
          <w:b w:val="0"/>
          <w:i w:val="0"/>
          <w:color w:val="221F1F"/>
          <w:sz w:val="21"/>
        </w:rPr>
        <w:t>shield construction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；</w:t>
      </w:r>
      <w:r>
        <w:rPr>
          <w:rFonts w:ascii="ZGQFOh" w:hAnsi="ZGQFOh" w:eastAsia="ZGQFOh"/>
          <w:b w:val="0"/>
          <w:i w:val="0"/>
          <w:color w:val="221F1F"/>
          <w:sz w:val="21"/>
        </w:rPr>
        <w:t>safety risk control</w:t>
      </w:r>
    </w:p>
    <w:p>
      <w:pPr>
        <w:sectPr>
          <w:pgSz w:w="11904" w:h="16836"/>
          <w:pgMar w:top="378" w:right="104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734" w:right="210" w:firstLine="42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随着科技的日新月异，地铁已成为社会交通的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重要组成部分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城市车辆的增加引发系列交通问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题，因此城市地下空间的建设尤为重要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我国的地</w:t>
      </w:r>
    </w:p>
    <w:p>
      <w:pPr>
        <w:autoSpaceDN w:val="0"/>
        <w:autoSpaceDE w:val="0"/>
        <w:widowControl/>
        <w:spacing w:line="208" w:lineRule="exact" w:before="608" w:after="0"/>
        <w:ind w:left="105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收稿日期：</w:t>
      </w:r>
      <w:r>
        <w:rPr>
          <w:rFonts w:ascii="ZGQFOh" w:hAnsi="ZGQFOh" w:eastAsia="ZGQFOh"/>
          <w:b w:val="0"/>
          <w:i w:val="0"/>
          <w:color w:val="221F1F"/>
          <w:sz w:val="16"/>
        </w:rPr>
        <w:t>2020-12-29</w:t>
      </w:r>
    </w:p>
    <w:p>
      <w:pPr>
        <w:sectPr>
          <w:type w:val="continuous"/>
          <w:pgSz w:w="11904" w:h="16836"/>
          <w:pgMar w:top="378" w:right="1048" w:bottom="168" w:left="400" w:header="720" w:footer="720" w:gutter="0"/>
          <w:cols w:num="2" w:equalWidth="0">
            <w:col w:w="5552" w:space="0"/>
            <w:col w:w="4903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872"/>
        <w:ind w:left="210" w:right="84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铁建设起步较晚，通常都选择在省会进行地铁建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设，目前已有四十多个城市正在进行地铁项目建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设，在发达地区形成了庞大的地铁网状结构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sectPr>
          <w:type w:val="nextColumn"/>
          <w:pgSz w:w="11904" w:h="16836"/>
          <w:pgMar w:top="378" w:right="1048" w:bottom="168" w:left="400" w:header="720" w:footer="720" w:gutter="0"/>
          <w:cols w:num="2" w:equalWidth="0">
            <w:col w:w="5552" w:space="0"/>
            <w:col w:w="490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614"/>
        <w:gridCol w:w="2614"/>
        <w:gridCol w:w="2614"/>
        <w:gridCol w:w="2614"/>
      </w:tblGrid>
      <w:tr>
        <w:trPr>
          <w:trHeight w:hRule="exact" w:val="69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74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作者简介：李</w:t>
            </w:r>
          </w:p>
        </w:tc>
        <w:tc>
          <w:tcPr>
            <w:tcW w:type="dxa" w:w="5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8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菲（</w:t>
            </w:r>
            <w:r>
              <w:rPr>
                <w:rFonts w:ascii="ZGQFOh" w:hAnsi="ZGQFOh" w:eastAsia="ZGQFOh"/>
                <w:b w:val="0"/>
                <w:i w:val="0"/>
                <w:color w:val="221F1F"/>
                <w:sz w:val="16"/>
              </w:rPr>
              <w:t>1988~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），女，北京市人，工程师，从事地铁施工工作</w:t>
            </w:r>
            <w:r>
              <w:rPr>
                <w:rFonts w:ascii="ZGQFMU" w:hAnsi="ZGQFMU" w:eastAsia="ZGQFMU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80"/>
            </w:tblGrid>
            <w:tr>
              <w:trPr>
                <w:trHeight w:hRule="exact" w:val="208"/>
              </w:trPr>
              <w:tc>
                <w:tcPr>
                  <w:tcW w:type="dxa" w:w="2380"/>
                  <w:tcBorders/>
                  <w:shd w:fill="ed1c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ZGQFOh" w:hAnsi="ZGQFOh" w:eastAsia="ZGQFOh"/>
                      <w:b w:val="0"/>
                      <w:i w:val="0"/>
                      <w:color w:val="006792"/>
                      <w:sz w:val="16"/>
                    </w:rPr>
                    <w:t>NORTHERN ARCHITECTURE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54"/>
            </w:tblGrid>
            <w:tr>
              <w:trPr>
                <w:trHeight w:hRule="exact" w:val="208"/>
              </w:trPr>
              <w:tc>
                <w:tcPr>
                  <w:tcW w:type="dxa" w:w="454"/>
                  <w:tcBorders/>
                  <w:shd w:fill="80828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ZGQFOh" w:hAnsi="ZGQFOh" w:eastAsia="ZGQFOh"/>
                      <w:b w:val="0"/>
                      <w:i w:val="0"/>
                      <w:color w:val="006792"/>
                      <w:sz w:val="21"/>
                    </w:rPr>
                    <w:t>75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18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378" w:right="104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2100"/>
        <w:gridCol w:w="2100"/>
        <w:gridCol w:w="2100"/>
        <w:gridCol w:w="2100"/>
        <w:gridCol w:w="2100"/>
      </w:tblGrid>
      <w:tr>
        <w:trPr>
          <w:trHeight w:hRule="exact" w:val="264"/>
        </w:trPr>
        <w:tc>
          <w:tcPr>
            <w:tcW w:type="dxa" w:w="4386"/>
            <w:tcBorders>
              <w:bottom w:sz="4.799999999999954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" w:after="0"/>
              <w:ind w:left="0" w:right="96" w:firstLine="0"/>
              <w:jc w:val="right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006792"/>
                <w:sz w:val="20"/>
              </w:rPr>
              <w:t>北</w:t>
            </w:r>
          </w:p>
        </w:tc>
        <w:tc>
          <w:tcPr>
            <w:tcW w:type="dxa" w:w="420"/>
            <w:tcBorders>
              <w:bottom w:sz="4.7999999999999545" w:val="single" w:color="#221F1F"/>
            </w:tcBorders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" w:after="0"/>
              <w:ind w:left="0" w:right="0" w:firstLine="0"/>
              <w:jc w:val="center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006792"/>
                <w:sz w:val="20"/>
              </w:rPr>
              <w:t>方</w:t>
            </w:r>
          </w:p>
        </w:tc>
        <w:tc>
          <w:tcPr>
            <w:tcW w:type="dxa" w:w="420"/>
            <w:tcBorders>
              <w:bottom w:sz="4.7999999999999545" w:val="single" w:color="#221F1F"/>
            </w:tcBorders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" w:after="0"/>
              <w:ind w:left="0" w:right="0" w:firstLine="0"/>
              <w:jc w:val="center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006792"/>
                <w:sz w:val="20"/>
              </w:rPr>
              <w:t>建</w:t>
            </w:r>
          </w:p>
        </w:tc>
        <w:tc>
          <w:tcPr>
            <w:tcW w:type="dxa" w:w="726"/>
            <w:tcBorders>
              <w:bottom w:sz="4.7999999999999545" w:val="single" w:color="#221F1F"/>
            </w:tcBorders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" w:after="0"/>
              <w:ind w:left="118" w:right="0" w:firstLine="0"/>
              <w:jc w:val="left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006792"/>
                <w:sz w:val="20"/>
              </w:rPr>
              <w:t>筑</w:t>
            </w:r>
          </w:p>
        </w:tc>
        <w:tc>
          <w:tcPr>
            <w:tcW w:type="dxa" w:w="3686"/>
            <w:tcBorders>
              <w:bottom w:sz="4.799999999999954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192" w:firstLine="0"/>
              <w:jc w:val="right"/>
            </w:pPr>
            <w:r>
              <w:rPr>
                <w:w w:val="98.32883834838867"/>
                <w:rFonts w:ascii="方正书宋_GBK" w:hAnsi="方正书宋_GBK" w:eastAsia="方正书宋_GBK"/>
                <w:b w:val="0"/>
                <w:i w:val="0"/>
                <w:color w:val="221F1F"/>
                <w:sz w:val="15"/>
              </w:rPr>
              <w:t>第</w:t>
            </w:r>
            <w:r>
              <w:rPr>
                <w:rFonts w:ascii="ZGQFOh" w:hAnsi="ZGQFOh" w:eastAsia="ZGQFOh"/>
                <w:b w:val="0"/>
                <w:i w:val="0"/>
                <w:color w:val="221F1F"/>
                <w:sz w:val="16"/>
              </w:rPr>
              <w:t>6</w:t>
            </w:r>
            <w:r>
              <w:rPr>
                <w:w w:val="98.32883834838867"/>
                <w:rFonts w:ascii="方正书宋_GBK" w:hAnsi="方正书宋_GBK" w:eastAsia="方正书宋_GBK"/>
                <w:b w:val="0"/>
                <w:i w:val="0"/>
                <w:color w:val="221F1F"/>
                <w:sz w:val="15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6"/>
        <w:ind w:left="0" w:right="0"/>
      </w:pPr>
    </w:p>
    <w:p>
      <w:pPr>
        <w:sectPr>
          <w:pgSz w:w="11904" w:h="16836"/>
          <w:pgMar w:top="564" w:right="10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734" w:right="210" w:firstLine="42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基于地铁的诸多优点，我国交通发展的方向应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该是针对地铁的整体规划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地铁工程的建设主要采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用盾构施工法，并运用盾构机械在地下推进，在地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下开挖面前方用刀盘切削土体，通过运输机械运出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洞外，而前进地方用预制混凝土管片拼装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314" w:lineRule="exact" w:before="2" w:after="0"/>
        <w:ind w:left="734" w:right="210" w:firstLine="42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地铁工程盾构环境复杂，对周边建筑影响较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大，且由于盾构技术的快速发展，关于盾构法风险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的认识仍不够深刻，导致发生安全事故增多，威胁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施工人员的生命安全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因此，对盾构施工法进行安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全风险研究是十分必要的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sectPr>
          <w:type w:val="continuous"/>
          <w:pgSz w:w="11904" w:h="16836"/>
          <w:pgMar w:top="56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210" w:right="126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市出现交通秩序混乱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空气污染严重等问题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现代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化城市建设引入了地下空间的概念，其作用在于增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强城市交通功能，降低能源消耗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314" w:lineRule="exact" w:before="0" w:after="0"/>
        <w:ind w:left="210" w:right="126" w:firstLine="42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城市轨道交通建设往往会在原有建筑物等地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下进行，而盾构法是指在用盾构机控制开挖面的同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时进行隧道掘进，不扰动围岩修筑隧道的方法，且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以其机械化程度高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施工安全性高等优点被广泛应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用于城轨交通建设工程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314" w:lineRule="exact" w:before="0" w:after="42"/>
        <w:ind w:left="210" w:right="124" w:firstLine="42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城市轨道交通不可预知因素多，如地面建筑物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繁多等使得施工风险较多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城轨地铁交通盾构施工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安全风险影响因素多，对地铁盾构施工安全风险的</w:t>
      </w:r>
    </w:p>
    <w:p>
      <w:pPr>
        <w:sectPr>
          <w:type w:val="nextColumn"/>
          <w:pgSz w:w="11904" w:h="16836"/>
          <w:pgMar w:top="56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9"/>
        <w:gridCol w:w="3499"/>
        <w:gridCol w:w="3499"/>
      </w:tblGrid>
      <w:tr>
        <w:trPr>
          <w:trHeight w:hRule="exact" w:val="28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106" w:firstLine="0"/>
              <w:jc w:val="right"/>
            </w:pPr>
            <w:r>
              <w:rPr>
                <w:rFonts w:ascii="ZGQFOh" w:hAnsi="ZGQFOh" w:eastAsia="ZGQFOh"/>
                <w:b w:val="0"/>
                <w:i w:val="0"/>
                <w:color w:val="221F1F"/>
                <w:sz w:val="24"/>
              </w:rPr>
              <w:t>1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2" w:after="0"/>
              <w:ind w:left="14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3"/>
              </w:rPr>
              <w:t>地铁盾构施工安全风险管理理论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66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管控需要结合工程特点，分析盾构施工安全管理重</w:t>
            </w:r>
          </w:p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type w:val="continuous"/>
          <w:pgSz w:w="11904" w:h="16836"/>
          <w:pgMar w:top="564" w:right="10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734" w:right="210" w:firstLine="42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风险是事件中失败的概率，工程项目风险是指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影响工程项目不确定因素的集合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因此风险事件就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是指对事件发展的预测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风险具有客观性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必然性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等，构成要素包括风险因素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损失与事故，主要来源</w:t>
      </w:r>
    </w:p>
    <w:p>
      <w:pPr>
        <w:sectPr>
          <w:type w:val="continuous"/>
          <w:pgSz w:w="11904" w:h="16836"/>
          <w:pgMar w:top="56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44"/>
        <w:ind w:left="210" w:right="124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点，从施工全过程进行安全风险防控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针对此，对地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铁施工中潜在风险源开展全面分析评估，并结合施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工技术对重大风险单元给出有效控制措施，对于保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障工程施工安全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提高经济社会效益来说，具有重</w:t>
      </w:r>
    </w:p>
    <w:p>
      <w:pPr>
        <w:sectPr>
          <w:type w:val="nextColumn"/>
          <w:pgSz w:w="11904" w:h="16836"/>
          <w:pgMar w:top="56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p>
      <w:pPr>
        <w:autoSpaceDN w:val="0"/>
        <w:tabs>
          <w:tab w:pos="5762" w:val="left"/>
        </w:tabs>
        <w:autoSpaceDE w:val="0"/>
        <w:widowControl/>
        <w:spacing w:line="274" w:lineRule="exact" w:before="0" w:after="0"/>
        <w:ind w:left="73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有自然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社会与经济风险等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其中，内在风险是项目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要意义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274" w:lineRule="exact" w:before="42" w:after="6"/>
        <w:ind w:left="73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行为主体存在不可预测的风险因素，如业主支付能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9"/>
        <w:gridCol w:w="3499"/>
        <w:gridCol w:w="3499"/>
      </w:tblGrid>
      <w:tr>
        <w:trPr>
          <w:trHeight w:hRule="exact" w:val="290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37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力不足导致资金无法及时到位产生的风险</w:t>
            </w:r>
            <w:r>
              <w:rPr>
                <w:rFonts w:ascii="ZGQFMU" w:hAnsi="ZGQFMU" w:eastAsia="ZGQFMU"/>
                <w:b w:val="0"/>
                <w:i w:val="0"/>
                <w:color w:val="221F1F"/>
                <w:sz w:val="21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项目管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18" w:firstLine="0"/>
              <w:jc w:val="right"/>
            </w:pPr>
            <w:r>
              <w:rPr>
                <w:rFonts w:ascii="ZGQFOh" w:hAnsi="ZGQFOh" w:eastAsia="ZGQFOh"/>
                <w:b w:val="0"/>
                <w:i w:val="0"/>
                <w:color w:val="221F1F"/>
                <w:sz w:val="24"/>
              </w:rPr>
              <w:t>2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8" w:after="0"/>
              <w:ind w:left="13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3"/>
              </w:rPr>
              <w:t>地铁盾构施工风险识别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1904" w:h="16836"/>
          <w:pgMar w:top="564" w:right="10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90"/>
        <w:ind w:left="734" w:right="144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理者业务能力不达标导致的信誉风险等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风险等级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划分具体见表</w:t>
      </w:r>
      <w:r>
        <w:rPr>
          <w:rFonts w:ascii="ZGQFOh" w:hAnsi="ZGQFOh" w:eastAsia="ZGQFOh"/>
          <w:b w:val="0"/>
          <w:i w:val="0"/>
          <w:color w:val="221F1F"/>
          <w:sz w:val="21"/>
        </w:rPr>
        <w:t>1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2624"/>
        <w:gridCol w:w="2624"/>
        <w:gridCol w:w="2624"/>
        <w:gridCol w:w="2624"/>
      </w:tblGrid>
      <w:tr>
        <w:trPr>
          <w:trHeight w:hRule="exact" w:val="464"/>
        </w:trPr>
        <w:tc>
          <w:tcPr>
            <w:tcW w:type="dxa" w:w="1246"/>
            <w:tcBorders>
              <w:bottom w:sz="7.200000000000273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bottom w:sz="7.2000000000002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74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表</w:t>
            </w:r>
            <w:r>
              <w:rPr>
                <w:rFonts w:ascii="ZGQFOh" w:hAnsi="ZGQFOh" w:eastAsia="ZGQFOh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1600"/>
            <w:tcBorders>
              <w:bottom w:sz="7.2000000000002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0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风险等级划分表</w:t>
            </w:r>
          </w:p>
        </w:tc>
        <w:tc>
          <w:tcPr>
            <w:tcW w:type="dxa" w:w="1194"/>
            <w:tcBorders>
              <w:bottom w:sz="7.200000000000273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1246"/>
            <w:tcBorders>
              <w:top w:sz="7.200000000000273" w:val="single" w:color="#221F1F"/>
              <w:bottom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0" w:after="0"/>
              <w:ind w:left="0" w:right="158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风险等级</w:t>
            </w:r>
          </w:p>
        </w:tc>
        <w:tc>
          <w:tcPr>
            <w:tcW w:type="dxa" w:w="580"/>
            <w:tcBorders>
              <w:top w:sz="7.200000000000273" w:val="single" w:color="#221F1F"/>
              <w:bottom w:sz="4.800000000000182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top w:sz="7.200000000000273" w:val="single" w:color="#221F1F"/>
              <w:bottom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0" w:after="0"/>
              <w:ind w:left="24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风险值</w:t>
            </w:r>
          </w:p>
        </w:tc>
        <w:tc>
          <w:tcPr>
            <w:tcW w:type="dxa" w:w="1194"/>
            <w:tcBorders>
              <w:top w:sz="7.200000000000273" w:val="single" w:color="#221F1F"/>
              <w:bottom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0" w:after="0"/>
              <w:ind w:left="26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备注</w:t>
            </w:r>
          </w:p>
        </w:tc>
      </w:tr>
      <w:tr>
        <w:trPr>
          <w:trHeight w:hRule="exact" w:val="224"/>
        </w:trPr>
        <w:tc>
          <w:tcPr>
            <w:tcW w:type="dxa" w:w="1246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0" w:right="236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低风险</w:t>
            </w:r>
          </w:p>
        </w:tc>
        <w:tc>
          <w:tcPr>
            <w:tcW w:type="dxa" w:w="580"/>
            <w:vMerge w:val="restart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360" w:right="0" w:firstLine="0"/>
              <w:jc w:val="left"/>
            </w:pPr>
            <w:r>
              <w:rPr>
                <w:rFonts w:ascii="ZGQFOh" w:hAnsi="ZGQFOh" w:eastAsia="ZGQFOh"/>
                <w:b w:val="0"/>
                <w:i w:val="0"/>
                <w:color w:val="221F1F"/>
                <w:sz w:val="16"/>
              </w:rPr>
              <w:t>1-2</w:t>
            </w:r>
          </w:p>
        </w:tc>
        <w:tc>
          <w:tcPr>
            <w:tcW w:type="dxa" w:w="1194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26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一级</w:t>
            </w:r>
          </w:p>
        </w:tc>
      </w:tr>
      <w:tr>
        <w:trPr>
          <w:trHeight w:hRule="exact" w:val="280"/>
        </w:trPr>
        <w:tc>
          <w:tcPr>
            <w:tcW w:type="dxa" w:w="1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158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一般风险</w:t>
            </w:r>
          </w:p>
        </w:tc>
        <w:tc>
          <w:tcPr>
            <w:tcW w:type="dxa" w:w="2624"/>
            <w:vMerge/>
            <w:tcBorders>
              <w:top w:sz="4.800000000000182" w:val="single" w:color="#221F1F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0" w:after="0"/>
              <w:ind w:left="360" w:right="0" w:firstLine="0"/>
              <w:jc w:val="left"/>
            </w:pPr>
            <w:r>
              <w:rPr>
                <w:rFonts w:ascii="ZGQFOh" w:hAnsi="ZGQFOh" w:eastAsia="ZGQFOh"/>
                <w:b w:val="0"/>
                <w:i w:val="0"/>
                <w:color w:val="221F1F"/>
                <w:sz w:val="16"/>
              </w:rPr>
              <w:t>3-8</w:t>
            </w:r>
          </w:p>
        </w:tc>
        <w:tc>
          <w:tcPr>
            <w:tcW w:type="dxa" w:w="1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26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二级</w:t>
            </w:r>
          </w:p>
        </w:tc>
      </w:tr>
      <w:tr>
        <w:trPr>
          <w:trHeight w:hRule="exact" w:val="280"/>
        </w:trPr>
        <w:tc>
          <w:tcPr>
            <w:tcW w:type="dxa" w:w="12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2" w:after="0"/>
              <w:ind w:left="0" w:right="158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中等风险</w:t>
            </w:r>
          </w:p>
        </w:tc>
        <w:tc>
          <w:tcPr>
            <w:tcW w:type="dxa" w:w="2624"/>
            <w:vMerge/>
            <w:tcBorders>
              <w:top w:sz="4.800000000000182" w:val="single" w:color="#221F1F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2" w:after="0"/>
              <w:ind w:left="322" w:right="0" w:firstLine="0"/>
              <w:jc w:val="left"/>
            </w:pPr>
            <w:r>
              <w:rPr>
                <w:rFonts w:ascii="ZGQFOh" w:hAnsi="ZGQFOh" w:eastAsia="ZGQFOh"/>
                <w:b w:val="0"/>
                <w:i w:val="0"/>
                <w:color w:val="221F1F"/>
                <w:sz w:val="16"/>
              </w:rPr>
              <w:t>9-16</w:t>
            </w:r>
          </w:p>
        </w:tc>
        <w:tc>
          <w:tcPr>
            <w:tcW w:type="dxa" w:w="1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2" w:after="0"/>
              <w:ind w:left="26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三级</w:t>
            </w:r>
          </w:p>
        </w:tc>
      </w:tr>
      <w:tr>
        <w:trPr>
          <w:trHeight w:hRule="exact" w:val="60"/>
        </w:trPr>
        <w:tc>
          <w:tcPr>
            <w:tcW w:type="dxa" w:w="2624"/>
            <w:vMerge/>
            <w:tcBorders/>
          </w:tcPr>
          <w:p/>
        </w:tc>
        <w:tc>
          <w:tcPr>
            <w:tcW w:type="dxa" w:w="2624"/>
            <w:vMerge/>
            <w:tcBorders>
              <w:top w:sz="4.800000000000182" w:val="single" w:color="#221F1F"/>
            </w:tcBorders>
          </w:tcPr>
          <w:p/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6" w:after="0"/>
              <w:ind w:left="280" w:right="0" w:firstLine="0"/>
              <w:jc w:val="left"/>
            </w:pPr>
            <w:r>
              <w:rPr>
                <w:rFonts w:ascii="ZGQFOh" w:hAnsi="ZGQFOh" w:eastAsia="ZGQFOh"/>
                <w:b w:val="0"/>
                <w:i w:val="0"/>
                <w:color w:val="221F1F"/>
                <w:sz w:val="16"/>
              </w:rPr>
              <w:t>17-29</w:t>
            </w:r>
          </w:p>
        </w:tc>
        <w:tc>
          <w:tcPr>
            <w:tcW w:type="dxa" w:w="2624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0" w:right="158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重大风险</w:t>
            </w:r>
          </w:p>
        </w:tc>
        <w:tc>
          <w:tcPr>
            <w:tcW w:type="dxa" w:w="2624"/>
            <w:vMerge/>
            <w:tcBorders>
              <w:top w:sz="4.800000000000182" w:val="single" w:color="#221F1F"/>
            </w:tcBorders>
          </w:tcPr>
          <w:p/>
        </w:tc>
        <w:tc>
          <w:tcPr>
            <w:tcW w:type="dxa" w:w="2624"/>
            <w:vMerge/>
            <w:tcBorders/>
          </w:tcPr>
          <w:p/>
        </w:tc>
        <w:tc>
          <w:tcPr>
            <w:tcW w:type="dxa" w:w="1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26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四级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36"/>
          <w:pgMar w:top="564" w:right="1006" w:bottom="168" w:left="400" w:header="720" w:footer="720" w:gutter="0"/>
          <w:cols w:num="2" w:equalWidth="0">
            <w:col w:w="5558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42"/>
        <w:ind w:left="204" w:right="0" w:firstLine="42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盾构法是指用盾构机在地下进行暗挖隧道的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方法，主要使用盾构机器在地下围岩中推进，且会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在地下进行开挖衬砌等作业修建隧道的方法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隧道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盾构施工优点体现在施工噪音小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自动化程度高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劳动强度低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施工占地小等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其缺点是施工设备维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护费用高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小曲率半径隧道施工掘进困难等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施工法主要包括土压平衡式盾构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泥水加压平衡盾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构等，工序包括盾构机下井安装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掘进等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sectPr>
          <w:type w:val="nextColumn"/>
          <w:pgSz w:w="11904" w:h="16836"/>
          <w:pgMar w:top="564" w:right="1006" w:bottom="168" w:left="400" w:header="720" w:footer="720" w:gutter="0"/>
          <w:cols w:num="2" w:equalWidth="0">
            <w:col w:w="5558" w:space="0"/>
            <w:col w:w="49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2624"/>
        <w:gridCol w:w="2624"/>
        <w:gridCol w:w="2624"/>
        <w:gridCol w:w="2624"/>
      </w:tblGrid>
      <w:tr>
        <w:trPr>
          <w:trHeight w:hRule="exact" w:val="26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498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特大风险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0" w:after="0"/>
              <w:ind w:left="0" w:right="0" w:firstLine="0"/>
              <w:jc w:val="center"/>
            </w:pPr>
            <w:r>
              <w:rPr>
                <w:rFonts w:ascii="ZGQFOh" w:hAnsi="ZGQFOh" w:eastAsia="ZGQFOh"/>
                <w:b w:val="0"/>
                <w:i w:val="0"/>
                <w:color w:val="221F1F"/>
                <w:sz w:val="16"/>
              </w:rPr>
              <w:t>30-36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716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五级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72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风险识别分为工程内外部风险</w:t>
            </w:r>
            <w:r>
              <w:rPr>
                <w:rFonts w:ascii="ZGQFMU" w:hAnsi="ZGQFMU" w:eastAsia="ZGQFMU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外部风险指自</w:t>
            </w:r>
          </w:p>
        </w:tc>
      </w:tr>
    </w:tbl>
    <w:p>
      <w:pPr>
        <w:autoSpaceDN w:val="0"/>
        <w:autoSpaceDE w:val="0"/>
        <w:widowControl/>
        <w:spacing w:line="14" w:lineRule="exact" w:before="0" w:after="36"/>
        <w:ind w:left="0" w:right="0"/>
      </w:pPr>
    </w:p>
    <w:p>
      <w:pPr>
        <w:sectPr>
          <w:type w:val="continuous"/>
          <w:pgSz w:w="11904" w:h="16836"/>
          <w:pgMar w:top="564" w:right="10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242" w:after="0"/>
        <w:ind w:left="734" w:right="214" w:firstLine="42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工程施工风险管理是工程管理人员在项目实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施中从风险分析评价等方面严格控制工程施工潜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在风险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风险管理要求遵循情景预设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强调预前管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理等原则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由于我国经济体制的影响，风险管理起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步较晚，</w:t>
      </w:r>
      <w:r>
        <w:rPr>
          <w:rFonts w:ascii="ZGQFOh" w:hAnsi="ZGQFOh" w:eastAsia="ZGQFOh"/>
          <w:b w:val="0"/>
          <w:i w:val="0"/>
          <w:color w:val="221F1F"/>
          <w:sz w:val="21"/>
        </w:rPr>
        <w:t>20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 xml:space="preserve"> 世纪</w:t>
      </w:r>
      <w:r>
        <w:rPr>
          <w:rFonts w:ascii="ZGQFOh" w:hAnsi="ZGQFOh" w:eastAsia="ZGQFOh"/>
          <w:b w:val="0"/>
          <w:i w:val="0"/>
          <w:color w:val="221F1F"/>
          <w:sz w:val="21"/>
        </w:rPr>
        <w:t>90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 xml:space="preserve"> 年代风险管理平稳发展，当前风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险管理广泛应用于水利水电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化学工业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经济学等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众多领域，在施工安全方面起到重要作用</w:t>
      </w:r>
      <w:r>
        <w:rPr>
          <w:w w:val="98.65228335062662"/>
          <w:rFonts w:ascii="ZGQFOh" w:hAnsi="ZGQFOh" w:eastAsia="ZGQFOh"/>
          <w:b w:val="0"/>
          <w:i w:val="0"/>
          <w:color w:val="221F1F"/>
          <w:sz w:val="12"/>
        </w:rPr>
        <w:t>[1]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风险管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理环节包括风险识别评估与应对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可以从不同角度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理解项目风险，并通过检验分析项目数据资料来明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确各部门的工作职责，这不仅有利于规避风险，还</w:t>
      </w:r>
    </w:p>
    <w:p>
      <w:pPr>
        <w:sectPr>
          <w:type w:val="continuous"/>
          <w:pgSz w:w="11904" w:h="16836"/>
          <w:pgMar w:top="564" w:right="1006" w:bottom="168" w:left="400" w:header="720" w:footer="720" w:gutter="0"/>
          <w:cols w:num="2" w:equalWidth="0">
            <w:col w:w="5558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10"/>
        <w:ind w:left="20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然灾害风险等，本文研究盾构法施工风险为内部风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险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对此，要从盾构施工法流程出发来识别项目风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险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地铁盾构施工主要风险包括前期准备阶段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出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洞掘进阶段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同步注浆阶段</w:t>
      </w:r>
      <w:r>
        <w:rPr>
          <w:w w:val="98.65228335062662"/>
          <w:rFonts w:ascii="ZGQFOh" w:hAnsi="ZGQFOh" w:eastAsia="ZGQFOh"/>
          <w:b w:val="0"/>
          <w:i w:val="0"/>
          <w:color w:val="221F1F"/>
          <w:sz w:val="12"/>
        </w:rPr>
        <w:t>[2]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工程前期主要进行地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质条件勘察，对盾构机信号选择；盾构出洞阶段主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要包括洞口土体涌入工作井的风险，因此要在洞口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处和始发阶段控制地下水位，以防止盾构基座失稳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变形，另外，由于盾构掘进需注意的风险源较多，因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此要控制好隧道内土体压力，以密切监测隧道内地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质环境变化；同时，必须保证盾构掘进轴线不偏离，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经常检查刀盘是否磨损严重，从而保证盾构螺旋输</w:t>
      </w:r>
    </w:p>
    <w:p>
      <w:pPr>
        <w:sectPr>
          <w:type w:val="nextColumn"/>
          <w:pgSz w:w="11904" w:h="16836"/>
          <w:pgMar w:top="564" w:right="1006" w:bottom="168" w:left="400" w:header="720" w:footer="720" w:gutter="0"/>
          <w:cols w:num="2" w:equalWidth="0">
            <w:col w:w="5558" w:space="0"/>
            <w:col w:w="4940" w:space="0"/>
          </w:cols>
          <w:docGrid w:linePitch="360"/>
        </w:sectPr>
      </w:pPr>
    </w:p>
    <w:p>
      <w:pPr>
        <w:autoSpaceDN w:val="0"/>
        <w:tabs>
          <w:tab w:pos="5762" w:val="left"/>
        </w:tabs>
        <w:autoSpaceDE w:val="0"/>
        <w:widowControl/>
        <w:spacing w:line="274" w:lineRule="exact" w:before="0" w:after="10"/>
        <w:ind w:left="73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可以针对风险发生制定相应的应对措施，以保证项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送机出土顺畅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sectPr>
          <w:type w:val="continuous"/>
          <w:pgSz w:w="11904" w:h="16836"/>
          <w:pgMar w:top="564" w:right="10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73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目的正常进行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316" w:lineRule="exact" w:before="0" w:after="396"/>
        <w:ind w:left="734" w:right="210" w:firstLine="42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当前，我国正处于社会生产力快速发展和城市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化进程加快的阶段，而城市地面交通基础设施落后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的问题，不仅导致人地矛盾突出，还导致大中型城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5249"/>
        <w:gridCol w:w="5249"/>
      </w:tblGrid>
      <w:tr>
        <w:trPr>
          <w:trHeight w:hRule="exact" w:val="208"/>
        </w:trPr>
        <w:tc>
          <w:tcPr>
            <w:tcW w:type="dxa" w:w="454"/>
            <w:tcBorders/>
            <w:shd w:fill="80828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" w:after="0"/>
              <w:ind w:left="0" w:right="0" w:firstLine="0"/>
              <w:jc w:val="center"/>
            </w:pPr>
            <w:r>
              <w:rPr>
                <w:rFonts w:ascii="ZGQFOh" w:hAnsi="ZGQFOh" w:eastAsia="ZGQFOh"/>
                <w:b w:val="0"/>
                <w:i w:val="0"/>
                <w:color w:val="006792"/>
                <w:sz w:val="21"/>
              </w:rPr>
              <w:t>76</w:t>
            </w:r>
          </w:p>
        </w:tc>
        <w:tc>
          <w:tcPr>
            <w:tcW w:type="dxa" w:w="2380"/>
            <w:tcBorders/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ZGQFOh" w:hAnsi="ZGQFOh" w:eastAsia="ZGQFOh"/>
                <w:b w:val="0"/>
                <w:i w:val="0"/>
                <w:color w:val="006792"/>
                <w:sz w:val="16"/>
              </w:rPr>
              <w:t>NORTHERN ARCHITECTURE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36"/>
          <w:pgMar w:top="56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782"/>
        <w:ind w:left="210" w:right="124" w:firstLine="42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同步注浆需注意设备保持良好运行，隧道内注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浆要及时，注浆压力的设定要合理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其中，管片选材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要达到要求，以保证管片注浆质量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渣土运输机防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止发生故障，而保证地面龙门吊机器正常运转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</w:t>
      </w:r>
    </w:p>
    <w:p>
      <w:pPr>
        <w:sectPr>
          <w:type w:val="nextColumn"/>
          <w:pgSz w:w="11904" w:h="16836"/>
          <w:pgMar w:top="56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564" w:right="10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3499"/>
        <w:gridCol w:w="3499"/>
        <w:gridCol w:w="3499"/>
      </w:tblGrid>
      <w:tr>
        <w:trPr>
          <w:trHeight w:hRule="exact" w:val="226"/>
        </w:trPr>
        <w:tc>
          <w:tcPr>
            <w:tcW w:type="dxa" w:w="1906"/>
            <w:tcBorders>
              <w:bottom w:sz="4.799999999999954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94" w:right="0" w:firstLine="0"/>
              <w:jc w:val="left"/>
            </w:pPr>
            <w:r>
              <w:rPr>
                <w:w w:val="98.32883834838867"/>
                <w:rFonts w:ascii="方正书宋_GBK" w:hAnsi="方正书宋_GBK" w:eastAsia="方正书宋_GBK"/>
                <w:b w:val="0"/>
                <w:i w:val="0"/>
                <w:color w:val="221F1F"/>
                <w:sz w:val="15"/>
              </w:rPr>
              <w:t>第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3</w:t>
            </w:r>
            <w:r>
              <w:rPr>
                <w:w w:val="98.32883834838867"/>
                <w:rFonts w:ascii="方正书宋_GBK" w:hAnsi="方正书宋_GBK" w:eastAsia="方正书宋_GBK"/>
                <w:b w:val="0"/>
                <w:i w:val="0"/>
                <w:color w:val="221F1F"/>
                <w:sz w:val="15"/>
              </w:rPr>
              <w:t xml:space="preserve"> 期</w:t>
            </w:r>
          </w:p>
        </w:tc>
        <w:tc>
          <w:tcPr>
            <w:tcW w:type="dxa" w:w="1500"/>
            <w:tcBorders>
              <w:bottom w:sz="4.799999999999954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66" w:firstLine="0"/>
              <w:jc w:val="right"/>
            </w:pPr>
            <w:r>
              <w:rPr>
                <w:w w:val="98.32883834838867"/>
                <w:rFonts w:ascii="方正书宋_GBK" w:hAnsi="方正书宋_GBK" w:eastAsia="方正书宋_GBK"/>
                <w:b w:val="0"/>
                <w:i w:val="0"/>
                <w:color w:val="221F1F"/>
                <w:sz w:val="15"/>
              </w:rPr>
              <w:t>李</w:t>
            </w:r>
          </w:p>
        </w:tc>
        <w:tc>
          <w:tcPr>
            <w:tcW w:type="dxa" w:w="6232"/>
            <w:tcBorders>
              <w:bottom w:sz="4.799999999999954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104" w:right="0" w:firstLine="0"/>
              <w:jc w:val="left"/>
            </w:pPr>
            <w:r>
              <w:rPr>
                <w:w w:val="98.32883834838867"/>
                <w:rFonts w:ascii="方正书宋_GBK" w:hAnsi="方正书宋_GBK" w:eastAsia="方正书宋_GBK"/>
                <w:b w:val="0"/>
                <w:i w:val="0"/>
                <w:color w:val="221F1F"/>
                <w:sz w:val="15"/>
              </w:rPr>
              <w:t>菲</w:t>
            </w:r>
            <w:r>
              <w:rPr>
                <w:w w:val="98.32883834838867"/>
                <w:rFonts w:ascii="ZGQFOi" w:hAnsi="ZGQFOi" w:eastAsia="ZGQFOi"/>
                <w:b w:val="0"/>
                <w:i w:val="0"/>
                <w:color w:val="221F1F"/>
                <w:sz w:val="15"/>
              </w:rPr>
              <w:t>：</w:t>
            </w:r>
            <w:r>
              <w:rPr>
                <w:w w:val="98.32883834838867"/>
                <w:rFonts w:ascii="方正书宋_GBK" w:hAnsi="方正书宋_GBK" w:eastAsia="方正书宋_GBK"/>
                <w:b w:val="0"/>
                <w:i w:val="0"/>
                <w:color w:val="221F1F"/>
                <w:sz w:val="15"/>
              </w:rPr>
              <w:t>地铁盾构施工中的安全风险和管控对策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6"/>
        <w:ind w:left="0" w:right="0"/>
      </w:pPr>
    </w:p>
    <w:p>
      <w:pPr>
        <w:sectPr>
          <w:pgSz w:w="11904" w:h="16836"/>
          <w:pgMar w:top="584" w:right="10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734" w:right="210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构进洞阶段存在的风险源包括洞口密封问题等，所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以盾构轴线要防止发生偏离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盾构施工工艺的风险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包括特殊风险源，如建筑物调查不详尽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建筑物加</w:t>
      </w:r>
    </w:p>
    <w:p>
      <w:pPr>
        <w:sectPr>
          <w:type w:val="continuous"/>
          <w:pgSz w:w="11904" w:h="16836"/>
          <w:pgMar w:top="58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40"/>
        <w:ind w:left="210" w:right="126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备</w:t>
      </w:r>
      <w:r>
        <w:rPr>
          <w:rFonts w:ascii="ZGQFOi" w:hAnsi="ZGQFOi" w:eastAsia="ZGQFOi"/>
          <w:b w:val="0"/>
          <w:i w:val="0"/>
          <w:color w:val="221F1F"/>
          <w:sz w:val="21"/>
        </w:rPr>
        <w:t>-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进出洞掘进</w:t>
      </w:r>
      <w:r>
        <w:rPr>
          <w:rFonts w:ascii="ZGQFOi" w:hAnsi="ZGQFOi" w:eastAsia="ZGQFOi"/>
          <w:b w:val="0"/>
          <w:i w:val="0"/>
          <w:color w:val="221F1F"/>
          <w:sz w:val="21"/>
        </w:rPr>
        <w:t>-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同步注浆</w:t>
      </w:r>
      <w:r>
        <w:rPr>
          <w:rFonts w:ascii="ZGQFOi" w:hAnsi="ZGQFOi" w:eastAsia="ZGQFOi"/>
          <w:b w:val="0"/>
          <w:i w:val="0"/>
          <w:color w:val="221F1F"/>
          <w:sz w:val="21"/>
        </w:rPr>
        <w:t>-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渣土运输，盾构常压开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仓，盾构穿越建筑物管线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同时对盾构施工各阶段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风险权重采用层次分析法计算，以确定盾构施工风</w:t>
      </w:r>
    </w:p>
    <w:p>
      <w:pPr>
        <w:sectPr>
          <w:type w:val="nextColumn"/>
          <w:pgSz w:w="11904" w:h="16836"/>
          <w:pgMar w:top="58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p>
      <w:pPr>
        <w:autoSpaceDN w:val="0"/>
        <w:tabs>
          <w:tab w:pos="5762" w:val="left"/>
        </w:tabs>
        <w:autoSpaceDE w:val="0"/>
        <w:widowControl/>
        <w:spacing w:line="274" w:lineRule="exact" w:before="0" w:after="40"/>
        <w:ind w:left="73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固不牢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掘进参数设定不合理等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当掘进异常时，需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险等级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sectPr>
          <w:type w:val="continuous"/>
          <w:pgSz w:w="11904" w:h="16836"/>
          <w:pgMar w:top="584" w:right="10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734" w:right="210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检查刀具等工具，而开仓检查分为常压与带压开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仓，开挖面要防止失稳塌方，带压开仓检查作业注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意规范合理地进行压气作业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314" w:lineRule="exact" w:before="2" w:after="0"/>
        <w:ind w:left="734" w:right="210" w:firstLine="42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风险分析方法包括专家调查法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风险矩阵法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等，其可以辨识地铁盾构掘进的施工风险，并从环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境地质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施工管理等方面来分析施工风险因素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276" w:lineRule="exact" w:before="40" w:after="0"/>
        <w:ind w:left="115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环境地质风险包括开挖面失稳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盾构进出洞段</w:t>
      </w:r>
    </w:p>
    <w:p>
      <w:pPr>
        <w:sectPr>
          <w:type w:val="continuous"/>
          <w:pgSz w:w="11904" w:h="16836"/>
          <w:pgMar w:top="58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358"/>
        <w:ind w:left="210" w:right="0" w:firstLine="42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工程地质状况随着选址确定不变，对工程地质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盾构设计是工程成败关键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盾构隧道施工管理因素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非常重要，施工操作是否规范是风险管控的重要因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素，所以提高管理人员风险管控素质非常关键</w:t>
      </w:r>
      <w:r>
        <w:rPr>
          <w:w w:val="98.65228335062662"/>
          <w:rFonts w:ascii="ZGQFOi" w:hAnsi="ZGQFOi" w:eastAsia="ZGQFOi"/>
          <w:b w:val="0"/>
          <w:i w:val="0"/>
          <w:color w:val="221F1F"/>
          <w:sz w:val="12"/>
        </w:rPr>
        <w:t>[3]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采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用层次分析法，可以建立盾构隧道施工风险模型，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并通过权重值模糊比较风险因素来确定风险等级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sectPr>
          <w:type w:val="nextColumn"/>
          <w:pgSz w:w="11904" w:h="16836"/>
          <w:pgMar w:top="58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9"/>
        <w:gridCol w:w="3499"/>
        <w:gridCol w:w="3499"/>
      </w:tblGrid>
      <w:tr>
        <w:trPr>
          <w:trHeight w:hRule="exact" w:val="282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37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风险</w:t>
            </w:r>
            <w:r>
              <w:rPr>
                <w:rFonts w:ascii="ZGQFMU" w:hAnsi="ZGQFMU" w:eastAsia="ZGQFMU"/>
                <w:b w:val="0"/>
                <w:i w:val="0"/>
                <w:color w:val="221F1F"/>
                <w:sz w:val="21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地表沉降控制等</w:t>
            </w:r>
            <w:r>
              <w:rPr>
                <w:rFonts w:ascii="ZGQFMU" w:hAnsi="ZGQFMU" w:eastAsia="ZGQFMU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设备材料风险包括盾构主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118" w:firstLine="0"/>
              <w:jc w:val="right"/>
            </w:pPr>
            <w:r>
              <w:rPr>
                <w:rFonts w:ascii="ZGQFOi" w:hAnsi="ZGQFOi" w:eastAsia="ZGQFOi"/>
                <w:b w:val="0"/>
                <w:i w:val="0"/>
                <w:color w:val="221F1F"/>
                <w:sz w:val="24"/>
              </w:rPr>
              <w:t>4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2" w:after="0"/>
              <w:ind w:left="13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3"/>
              </w:rPr>
              <w:t>地铁盾构施工风险控制措施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type w:val="continuous"/>
          <w:pgSz w:w="11904" w:h="16836"/>
          <w:pgMar w:top="584" w:right="10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734" w:right="210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轴承密封失效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盾构机刀盘磨损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盾构机改造针对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底层设计不够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泥水管路被堵塞等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施工管理风险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包括盾构隧道管片上浮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管片注浆孔涌水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人员风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险管理意识差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专项方案编制不完善等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sectPr>
          <w:type w:val="continuous"/>
          <w:pgSz w:w="11904" w:h="16836"/>
          <w:pgMar w:top="58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14"/>
        <w:ind w:left="210" w:right="0" w:firstLine="42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地铁盾构施工风险控制在识别评价工程风险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基础上，根据施工风险等级，针对重大风险采取有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效措施加强管理控制，以保证地铁盾构施工安全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地铁盾构施工质量控制重点包括轴线质量控制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进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出洞阶段控制与注浆质量控制等；盾构施工安全技</w:t>
      </w:r>
    </w:p>
    <w:p>
      <w:pPr>
        <w:sectPr>
          <w:type w:val="nextColumn"/>
          <w:pgSz w:w="11904" w:h="16836"/>
          <w:pgMar w:top="58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9"/>
        <w:gridCol w:w="3499"/>
        <w:gridCol w:w="3499"/>
      </w:tblGrid>
      <w:tr>
        <w:trPr>
          <w:trHeight w:hRule="exact" w:val="28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0" w:after="0"/>
              <w:ind w:left="0" w:right="106" w:firstLine="0"/>
              <w:jc w:val="right"/>
            </w:pPr>
            <w:r>
              <w:rPr>
                <w:rFonts w:ascii="ZGQFOi" w:hAnsi="ZGQFOi" w:eastAsia="ZGQFOi"/>
                <w:b w:val="0"/>
                <w:i w:val="0"/>
                <w:color w:val="221F1F"/>
                <w:sz w:val="24"/>
              </w:rPr>
              <w:t>3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14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3"/>
              </w:rPr>
              <w:t>地铁盾构施工风险评价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8" w:after="0"/>
              <w:ind w:left="114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术措施包括盾构区间隧道施工安全措施</w:t>
            </w:r>
            <w:r>
              <w:rPr>
                <w:rFonts w:ascii="ZGQFMU" w:hAnsi="ZGQFMU" w:eastAsia="ZGQFMU"/>
                <w:b w:val="0"/>
                <w:i w:val="0"/>
                <w:color w:val="221F1F"/>
                <w:sz w:val="21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机械安全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1904" w:h="16836"/>
          <w:pgMar w:top="584" w:right="10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734" w:right="144" w:firstLine="42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地铁工程具有规模大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涉及主体多等特点，且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工程地质多样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控制标准严格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盾构隧道施工处于</w:t>
      </w:r>
    </w:p>
    <w:p>
      <w:pPr>
        <w:sectPr>
          <w:type w:val="continuous"/>
          <w:pgSz w:w="11904" w:h="16836"/>
          <w:pgMar w:top="58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40"/>
        <w:ind w:left="210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保证措施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管片吊装安全措施等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值得注意的是，要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重点做好洞门用水坍塌，管片拼装事故与盾构机故</w:t>
      </w:r>
    </w:p>
    <w:p>
      <w:pPr>
        <w:sectPr>
          <w:type w:val="nextColumn"/>
          <w:pgSz w:w="11904" w:h="16836"/>
          <w:pgMar w:top="58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p>
      <w:pPr>
        <w:autoSpaceDN w:val="0"/>
        <w:tabs>
          <w:tab w:pos="5762" w:val="left"/>
        </w:tabs>
        <w:autoSpaceDE w:val="0"/>
        <w:widowControl/>
        <w:spacing w:line="274" w:lineRule="exact" w:before="0" w:after="40"/>
        <w:ind w:left="73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不确定的环境中，而使用新技术材料，会很大概率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障等应急措施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sectPr>
          <w:type w:val="continuous"/>
          <w:pgSz w:w="11904" w:h="16836"/>
          <w:pgMar w:top="584" w:right="10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734" w:right="210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地给地铁盾构隧道施工带来更多的安全风险，因此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全面开展施工风险辨识评价非常必要，同时通过科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学的管理方法可以识别控制风险，为工程建设提供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安全的环境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通过风险研究，可以建立地铁盾构施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工风险指标体系，能有效控制各类施工风险，以杜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绝重大安全事故的发生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工程风险概率</w:t>
      </w:r>
      <w:r>
        <w:rPr>
          <w:rFonts w:ascii="ZGQFOi" w:hAnsi="ZGQFOi" w:eastAsia="ZGQFOi"/>
          <w:b w:val="0"/>
          <w:i w:val="0"/>
          <w:color w:val="221F1F"/>
          <w:sz w:val="21"/>
        </w:rPr>
        <w:t>P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 xml:space="preserve"> 等级标准</w:t>
      </w:r>
    </w:p>
    <w:p>
      <w:pPr>
        <w:sectPr>
          <w:type w:val="continuous"/>
          <w:pgSz w:w="11904" w:h="16836"/>
          <w:pgMar w:top="58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42"/>
        <w:ind w:left="210" w:right="124" w:firstLine="42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地铁盾构掘进中严格把控盾构机方位，每环拼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装后测量误差，发现误差后轴线纠偏量不超过</w:t>
      </w:r>
      <w:r>
        <w:rPr>
          <w:rFonts w:ascii="ZGQFOi" w:hAnsi="ZGQFOi" w:eastAsia="ZGQFOi"/>
          <w:b w:val="0"/>
          <w:i w:val="0"/>
          <w:color w:val="221F1F"/>
          <w:sz w:val="21"/>
        </w:rPr>
        <w:t xml:space="preserve">5 </w:t>
      </w:r>
      <w:r>
        <w:rPr>
          <w:rFonts w:ascii="ZGQFOi" w:hAnsi="ZGQFOi" w:eastAsia="ZGQFOi"/>
          <w:b w:val="0"/>
          <w:i w:val="0"/>
          <w:color w:val="221F1F"/>
          <w:sz w:val="21"/>
        </w:rPr>
        <w:t>mm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隧道内每次循环衬砌后测量盾尾间隙，保证盾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构轴线准确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盾构机右上方管片处安装用钢板制作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的吊篮，强制对中点三维坐标通过洞口导线起始边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传递，盾构推进中要沿中心轴线推进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测量重点是</w:t>
      </w:r>
    </w:p>
    <w:p>
      <w:pPr>
        <w:sectPr>
          <w:type w:val="nextColumn"/>
          <w:pgSz w:w="11904" w:h="16836"/>
          <w:pgMar w:top="584" w:right="1006" w:bottom="168" w:left="400" w:header="720" w:footer="720" w:gutter="0"/>
          <w:cols w:num="2" w:equalWidth="0">
            <w:col w:w="5552" w:space="0"/>
            <w:col w:w="4945" w:space="0"/>
          </w:cols>
          <w:docGrid w:linePitch="360"/>
        </w:sectPr>
      </w:pPr>
    </w:p>
    <w:p>
      <w:pPr>
        <w:autoSpaceDN w:val="0"/>
        <w:tabs>
          <w:tab w:pos="5762" w:val="left"/>
        </w:tabs>
        <w:autoSpaceDE w:val="0"/>
        <w:widowControl/>
        <w:spacing w:line="274" w:lineRule="exact" w:before="0" w:after="0"/>
        <w:ind w:left="73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具体见表</w:t>
      </w:r>
      <w:r>
        <w:rPr>
          <w:rFonts w:ascii="ZGQFOi" w:hAnsi="ZGQFOi" w:eastAsia="ZGQFOi"/>
          <w:b w:val="0"/>
          <w:i w:val="0"/>
          <w:color w:val="221F1F"/>
          <w:sz w:val="21"/>
        </w:rPr>
        <w:t>2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隧道起始里程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设计曲线特征点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需要对管片实际</w:t>
      </w:r>
    </w:p>
    <w:p>
      <w:pPr>
        <w:autoSpaceDN w:val="0"/>
        <w:autoSpaceDE w:val="0"/>
        <w:widowControl/>
        <w:spacing w:line="274" w:lineRule="exact" w:before="40" w:after="8"/>
        <w:ind w:left="0" w:right="130" w:firstLine="0"/>
        <w:jc w:val="righ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里程检测，施工中对隧道关键点里程测量达到控制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1750"/>
        <w:gridCol w:w="1750"/>
        <w:gridCol w:w="1750"/>
        <w:gridCol w:w="1750"/>
        <w:gridCol w:w="1750"/>
        <w:gridCol w:w="1750"/>
      </w:tblGrid>
      <w:tr>
        <w:trPr>
          <w:trHeight w:hRule="exact" w:val="360"/>
        </w:trPr>
        <w:tc>
          <w:tcPr>
            <w:tcW w:type="dxa" w:w="986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表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2780"/>
            <w:gridSpan w:val="2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0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工程风险概率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8"/>
              </w:rPr>
              <w:t>P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等级标准</w:t>
            </w:r>
          </w:p>
        </w:tc>
        <w:tc>
          <w:tcPr>
            <w:tcW w:type="dxa" w:w="374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4" w:right="0" w:firstLine="0"/>
              <w:jc w:val="left"/>
            </w:pPr>
            <w:r>
              <w:rPr>
                <w:rFonts w:ascii="ZGQFOi" w:hAnsi="ZGQFOi" w:eastAsia="ZGQFOi"/>
                <w:b w:val="0"/>
                <w:i w:val="0"/>
                <w:color w:val="221F1F"/>
                <w:sz w:val="18"/>
              </w:rPr>
              <w:t>%</w:t>
            </w:r>
          </w:p>
        </w:tc>
        <w:tc>
          <w:tcPr>
            <w:tcW w:type="dxa" w:w="5066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4" w:after="0"/>
              <w:ind w:left="40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里程目的</w:t>
            </w:r>
            <w:r>
              <w:rPr>
                <w:rFonts w:ascii="ZGQFMU" w:hAnsi="ZGQFMU" w:eastAsia="ZGQFMU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膨润土压注盾构掘进停机前，通过加泥</w:t>
            </w:r>
          </w:p>
        </w:tc>
      </w:tr>
      <w:tr>
        <w:trPr>
          <w:trHeight w:hRule="exact" w:val="282"/>
        </w:trPr>
        <w:tc>
          <w:tcPr>
            <w:tcW w:type="dxa" w:w="986"/>
            <w:tcBorders>
              <w:top w:sz="7.199999999999818" w:val="single" w:color="#221F1F"/>
              <w:bottom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8" w:after="0"/>
              <w:ind w:left="0" w:right="56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等级</w:t>
            </w:r>
          </w:p>
        </w:tc>
        <w:tc>
          <w:tcPr>
            <w:tcW w:type="dxa" w:w="480"/>
            <w:tcBorders>
              <w:top w:sz="7.199999999999818" w:val="single" w:color="#221F1F"/>
              <w:bottom w:sz="4.800000000000182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top w:sz="7.199999999999818" w:val="single" w:color="#221F1F"/>
              <w:bottom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8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事故发生概率</w:t>
            </w:r>
          </w:p>
        </w:tc>
        <w:tc>
          <w:tcPr>
            <w:tcW w:type="dxa" w:w="1140"/>
            <w:tcBorders>
              <w:top w:sz="7.199999999999818" w:val="single" w:color="#221F1F"/>
              <w:bottom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8" w:after="0"/>
              <w:ind w:left="0" w:right="78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具体描述</w:t>
            </w:r>
          </w:p>
        </w:tc>
        <w:tc>
          <w:tcPr>
            <w:tcW w:type="dxa" w:w="374"/>
            <w:tcBorders>
              <w:top w:sz="7.199999999999818" w:val="single" w:color="#221F1F"/>
              <w:bottom w:sz="4.800000000000182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66"/>
            <w:tcBorders>
              <w:top w:sz="7.199999999999818" w:val="single" w:color="#221F1F"/>
              <w:bottom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40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加水系统向刀盘正面加注膨润土浆液，且注意四周</w:t>
            </w:r>
          </w:p>
        </w:tc>
      </w:tr>
      <w:tr>
        <w:trPr>
          <w:trHeight w:hRule="exact" w:val="274"/>
        </w:trPr>
        <w:tc>
          <w:tcPr>
            <w:tcW w:type="dxa" w:w="986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0" w:right="56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一级</w:t>
            </w:r>
          </w:p>
        </w:tc>
        <w:tc>
          <w:tcPr>
            <w:tcW w:type="dxa" w:w="480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0" w:firstLine="0"/>
              <w:jc w:val="center"/>
            </w:pP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P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＜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0.01</w:t>
            </w:r>
          </w:p>
        </w:tc>
        <w:tc>
          <w:tcPr>
            <w:tcW w:type="dxa" w:w="1140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0" w:right="0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不可能发生</w:t>
            </w:r>
          </w:p>
        </w:tc>
        <w:tc>
          <w:tcPr>
            <w:tcW w:type="dxa" w:w="374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66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4" w:after="0"/>
              <w:ind w:left="40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均匀压注，使其进行适当出土</w:t>
            </w:r>
            <w:r>
              <w:rPr>
                <w:rFonts w:ascii="ZGQFMU" w:hAnsi="ZGQFMU" w:eastAsia="ZGQFMU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盾构进出洞段在洞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1904" w:h="16836"/>
          <w:pgMar w:top="584" w:right="1006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3499"/>
        <w:gridCol w:w="3499"/>
        <w:gridCol w:w="3499"/>
      </w:tblGrid>
      <w:tr>
        <w:trPr>
          <w:trHeight w:hRule="exact" w:val="200"/>
        </w:trPr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76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二级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392" w:firstLine="0"/>
              <w:jc w:val="right"/>
            </w:pP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0.01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≤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P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＜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0.1</w:t>
            </w:r>
          </w:p>
        </w:tc>
        <w:tc>
          <w:tcPr>
            <w:tcW w:type="dxa" w:w="15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极少发生</w:t>
            </w:r>
          </w:p>
        </w:tc>
      </w:tr>
      <w:tr>
        <w:trPr>
          <w:trHeight w:hRule="exact" w:val="280"/>
        </w:trPr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476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三级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0" w:after="0"/>
              <w:ind w:left="0" w:right="492" w:firstLine="0"/>
              <w:jc w:val="right"/>
            </w:pP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0.1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≤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P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＜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1</w:t>
            </w:r>
          </w:p>
        </w:tc>
        <w:tc>
          <w:tcPr>
            <w:tcW w:type="dxa" w:w="15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偶尔发生</w:t>
            </w:r>
          </w:p>
        </w:tc>
      </w:tr>
      <w:tr>
        <w:trPr>
          <w:trHeight w:hRule="exact" w:val="280"/>
        </w:trPr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0" w:right="476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四级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2" w:after="0"/>
              <w:ind w:left="0" w:right="510" w:firstLine="0"/>
              <w:jc w:val="right"/>
            </w:pP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1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≤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P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＜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10</w:t>
            </w:r>
          </w:p>
        </w:tc>
        <w:tc>
          <w:tcPr>
            <w:tcW w:type="dxa" w:w="15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可能发生</w:t>
            </w:r>
          </w:p>
        </w:tc>
      </w:tr>
      <w:tr>
        <w:trPr>
          <w:trHeight w:hRule="exact" w:val="344"/>
        </w:trPr>
        <w:tc>
          <w:tcPr>
            <w:tcW w:type="dxa" w:w="1406"/>
            <w:tcBorders>
              <w:bottom w:sz="6.40000000000054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0" w:after="0"/>
              <w:ind w:left="0" w:right="476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五级</w:t>
            </w:r>
          </w:p>
        </w:tc>
        <w:tc>
          <w:tcPr>
            <w:tcW w:type="dxa" w:w="1700"/>
            <w:tcBorders>
              <w:bottom w:sz="6.40000000000054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0" w:right="594" w:firstLine="0"/>
              <w:jc w:val="right"/>
            </w:pP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P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≥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10</w:t>
            </w:r>
          </w:p>
        </w:tc>
        <w:tc>
          <w:tcPr>
            <w:tcW w:type="dxa" w:w="1514"/>
            <w:tcBorders>
              <w:bottom w:sz="6.40000000000054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频繁发生</w:t>
            </w:r>
          </w:p>
        </w:tc>
      </w:tr>
    </w:tbl>
    <w:p>
      <w:pPr>
        <w:autoSpaceDN w:val="0"/>
        <w:autoSpaceDE w:val="0"/>
        <w:widowControl/>
        <w:spacing w:line="314" w:lineRule="exact" w:before="106" w:after="0"/>
        <w:ind w:left="734" w:right="216" w:firstLine="42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风险具有动态化特点，随着新技术的使用，专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家无法避免对风险判断失误，这造成了制定风险管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控措施的不合理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一般来说，可以采用风险矩阵法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对地铁隧道施工风险定性评估，而采用层次分析法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对风险定量评估，可以很大概率地保证风险等级确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定的准确性，从而使制定管控措施更加合理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316" w:lineRule="exact" w:before="0" w:after="0"/>
        <w:ind w:left="734" w:right="144" w:firstLine="42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地铁盾构隧道施工风险体现在工程水文地质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环境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施工管理等方面，步骤为：盾构掘进前期准</w:t>
      </w:r>
    </w:p>
    <w:p>
      <w:pPr>
        <w:sectPr>
          <w:type w:val="continuous"/>
          <w:pgSz w:w="11904" w:h="16836"/>
          <w:pgMar w:top="584" w:right="1006" w:bottom="168" w:left="400" w:header="720" w:footer="720" w:gutter="0"/>
          <w:cols w:num="2" w:equalWidth="0">
            <w:col w:w="5558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20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口采取注浆加固方式，洞口处土体强度较低，可使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用打桩方式加固，防止出现涌土流沙现象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314" w:lineRule="exact" w:before="2" w:after="0"/>
        <w:ind w:left="204" w:right="124" w:firstLine="42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盾构施工在运输渣土中，要让运输车在隧道内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水平运输，防止由于下坡速度控制不当发生机车撞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击事故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进洞前，需确认其完好，对设备采取安全措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施，运输车转弯控制好速度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电机车前段安装防溜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车装置，避免电机车出现溜车风险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同时，要经常检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查电机车刹车系统等，并定期维护隧道内轨道，以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防止出现轨道松动偏离等现象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314" w:lineRule="exact" w:before="2" w:after="368"/>
        <w:ind w:left="204" w:right="126" w:firstLine="42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地铁盾构施工安全风险管控要结合工程顺序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流程，分析影响施工安全的人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机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料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法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环相关因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素，针对盾构施工安全管理重点问题加强风险管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5249"/>
        <w:gridCol w:w="5249"/>
      </w:tblGrid>
      <w:tr>
        <w:trPr>
          <w:trHeight w:hRule="exact" w:val="208"/>
        </w:trPr>
        <w:tc>
          <w:tcPr>
            <w:tcW w:type="dxa" w:w="2380"/>
            <w:tcBorders/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ZGQFOi" w:hAnsi="ZGQFOi" w:eastAsia="ZGQFOi"/>
                <w:b w:val="0"/>
                <w:i w:val="0"/>
                <w:color w:val="006792"/>
                <w:sz w:val="16"/>
              </w:rPr>
              <w:t>NORTHERN ARCHITECTURE</w:t>
            </w:r>
          </w:p>
        </w:tc>
        <w:tc>
          <w:tcPr>
            <w:tcW w:type="dxa" w:w="454"/>
            <w:tcBorders/>
            <w:shd w:fill="80828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" w:after="0"/>
              <w:ind w:left="0" w:right="0" w:firstLine="0"/>
              <w:jc w:val="center"/>
            </w:pPr>
            <w:r>
              <w:rPr>
                <w:rFonts w:ascii="ZGQFOi" w:hAnsi="ZGQFOi" w:eastAsia="ZGQFOi"/>
                <w:b w:val="0"/>
                <w:i w:val="0"/>
                <w:color w:val="006792"/>
                <w:sz w:val="21"/>
              </w:rPr>
              <w:t>77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6"/>
        <w:ind w:left="0" w:right="0"/>
      </w:pPr>
    </w:p>
    <w:p>
      <w:pPr>
        <w:sectPr>
          <w:type w:val="nextColumn"/>
          <w:pgSz w:w="11904" w:h="16836"/>
          <w:pgMar w:top="584" w:right="1006" w:bottom="168" w:left="400" w:header="720" w:footer="720" w:gutter="0"/>
          <w:cols w:num="2" w:equalWidth="0">
            <w:col w:w="5558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584" w:right="10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284"/>
        </w:trPr>
        <w:tc>
          <w:tcPr>
            <w:tcW w:type="dxa" w:w="4386"/>
            <w:tcBorders>
              <w:bottom w:sz="4.799999999999954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" w:after="0"/>
              <w:ind w:left="0" w:right="96" w:firstLine="0"/>
              <w:jc w:val="right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006792"/>
                <w:sz w:val="20"/>
              </w:rPr>
              <w:t>北</w:t>
            </w:r>
          </w:p>
        </w:tc>
        <w:tc>
          <w:tcPr>
            <w:tcW w:type="dxa" w:w="420"/>
            <w:tcBorders>
              <w:bottom w:sz="4.7999999999999545" w:val="single" w:color="#221F1F"/>
            </w:tcBorders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" w:after="0"/>
              <w:ind w:left="0" w:right="0" w:firstLine="0"/>
              <w:jc w:val="center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006792"/>
                <w:sz w:val="20"/>
              </w:rPr>
              <w:t>方</w:t>
            </w:r>
          </w:p>
        </w:tc>
        <w:tc>
          <w:tcPr>
            <w:tcW w:type="dxa" w:w="440"/>
            <w:tcBorders>
              <w:bottom w:sz="4.7999999999999545" w:val="single" w:color="#221F1F"/>
            </w:tcBorders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" w:after="0"/>
              <w:ind w:left="0" w:right="0" w:firstLine="0"/>
              <w:jc w:val="center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006792"/>
                <w:sz w:val="20"/>
              </w:rPr>
              <w:t>建</w:t>
            </w:r>
          </w:p>
        </w:tc>
        <w:tc>
          <w:tcPr>
            <w:tcW w:type="dxa" w:w="706"/>
            <w:tcBorders>
              <w:bottom w:sz="4.7999999999999545" w:val="single" w:color="#221F1F"/>
            </w:tcBorders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" w:after="0"/>
              <w:ind w:left="98" w:right="0" w:firstLine="0"/>
              <w:jc w:val="left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006792"/>
                <w:sz w:val="20"/>
              </w:rPr>
              <w:t>筑</w:t>
            </w:r>
          </w:p>
        </w:tc>
        <w:tc>
          <w:tcPr>
            <w:tcW w:type="dxa" w:w="3686"/>
            <w:tcBorders>
              <w:bottom w:sz="4.799999999999954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192" w:firstLine="0"/>
              <w:jc w:val="right"/>
            </w:pPr>
            <w:r>
              <w:rPr>
                <w:w w:val="98.32883834838867"/>
                <w:rFonts w:ascii="方正书宋_GBK" w:hAnsi="方正书宋_GBK" w:eastAsia="方正书宋_GBK"/>
                <w:b w:val="0"/>
                <w:i w:val="0"/>
                <w:color w:val="221F1F"/>
                <w:sz w:val="15"/>
              </w:rPr>
              <w:t>第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6</w:t>
            </w:r>
            <w:r>
              <w:rPr>
                <w:w w:val="98.32883834838867"/>
                <w:rFonts w:ascii="方正书宋_GBK" w:hAnsi="方正书宋_GBK" w:eastAsia="方正书宋_GBK"/>
                <w:b w:val="0"/>
                <w:i w:val="0"/>
                <w:color w:val="221F1F"/>
                <w:sz w:val="15"/>
              </w:rPr>
              <w:t xml:space="preserve"> 卷</w:t>
            </w:r>
          </w:p>
        </w:tc>
      </w:tr>
      <w:tr>
        <w:trPr>
          <w:trHeight w:hRule="exact" w:val="528"/>
        </w:trPr>
        <w:tc>
          <w:tcPr>
            <w:tcW w:type="dxa" w:w="4806"/>
            <w:gridSpan w:val="2"/>
            <w:tcBorders>
              <w:top w:sz="4.799999999999954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36" w:after="0"/>
              <w:ind w:left="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控</w:t>
            </w:r>
            <w:r>
              <w:rPr>
                <w:rFonts w:ascii="ZGQFMU" w:hAnsi="ZGQFMU" w:eastAsia="ZGQFMU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在盾构掘进前做好充分准备工作，并注意周边</w:t>
            </w:r>
          </w:p>
        </w:tc>
        <w:tc>
          <w:tcPr>
            <w:tcW w:type="dxa" w:w="440"/>
            <w:tcBorders>
              <w:top w:sz="4.799999999999954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98" w:firstLine="0"/>
              <w:jc w:val="right"/>
            </w:pPr>
            <w:r>
              <w:rPr>
                <w:rFonts w:ascii="ZGQFOi" w:hAnsi="ZGQFOi" w:eastAsia="ZGQFOi"/>
                <w:b w:val="0"/>
                <w:i w:val="0"/>
                <w:color w:val="221F1F"/>
                <w:sz w:val="24"/>
              </w:rPr>
              <w:t>5</w:t>
            </w:r>
          </w:p>
        </w:tc>
        <w:tc>
          <w:tcPr>
            <w:tcW w:type="dxa" w:w="706"/>
            <w:tcBorders>
              <w:top w:sz="4.799999999999954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242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3"/>
              </w:rPr>
              <w:t>结语</w:t>
            </w:r>
          </w:p>
        </w:tc>
        <w:tc>
          <w:tcPr>
            <w:tcW w:type="dxa" w:w="3686"/>
            <w:tcBorders>
              <w:top w:sz="4.7999999999999545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pgSz w:w="11904" w:h="16836"/>
          <w:pgMar w:top="564" w:right="106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734" w:right="210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建筑情况，预先制定施工安全技术措施；盾构掘进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中注意观察器械仪表变化，定时查看机械是否运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转；运输管片要限制电瓶车运输速度；管片拼装要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求连接螺栓紧固；隧道内预留人行通道</w:t>
      </w:r>
      <w:r>
        <w:rPr>
          <w:w w:val="98.65228335062662"/>
          <w:rFonts w:ascii="ZGQFOi" w:hAnsi="ZGQFOi" w:eastAsia="ZGQFOi"/>
          <w:b w:val="0"/>
          <w:i w:val="0"/>
          <w:color w:val="221F1F"/>
          <w:sz w:val="12"/>
        </w:rPr>
        <w:t>[4]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土方作业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时，要有地面专人负责指挥，起吊时作业人员处于</w:t>
      </w:r>
    </w:p>
    <w:p>
      <w:pPr>
        <w:sectPr>
          <w:type w:val="continuous"/>
          <w:pgSz w:w="11904" w:h="16836"/>
          <w:pgMar w:top="564" w:right="1064" w:bottom="168" w:left="400" w:header="720" w:footer="720" w:gutter="0"/>
          <w:cols w:num="2" w:equalWidth="0">
            <w:col w:w="5552" w:space="0"/>
            <w:col w:w="4888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10"/>
        <w:ind w:left="210" w:right="68" w:firstLine="42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综上所述，随着我国经济的发展，城市交通压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力也在不断增大，因此各城市大力发展地下交通势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在必行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在此前提下，地铁盾构施工安全管理受到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了广泛关注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基于此，相关人员必须研究地铁盾构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施工安全管理，同时运用工程风险管理知识，结合</w:t>
      </w:r>
    </w:p>
    <w:p>
      <w:pPr>
        <w:sectPr>
          <w:type w:val="nextColumn"/>
          <w:pgSz w:w="11904" w:h="16836"/>
          <w:pgMar w:top="564" w:right="1064" w:bottom="168" w:left="400" w:header="720" w:footer="720" w:gutter="0"/>
          <w:cols w:num="2" w:equalWidth="0">
            <w:col w:w="5552" w:space="0"/>
            <w:col w:w="4888" w:space="0"/>
          </w:cols>
          <w:docGrid w:linePitch="360"/>
        </w:sectPr>
      </w:pPr>
    </w:p>
    <w:p>
      <w:pPr>
        <w:autoSpaceDN w:val="0"/>
        <w:tabs>
          <w:tab w:pos="5762" w:val="left"/>
        </w:tabs>
        <w:autoSpaceDE w:val="0"/>
        <w:widowControl/>
        <w:spacing w:line="274" w:lineRule="exact" w:before="0" w:after="12"/>
        <w:ind w:left="73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安全位置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专家调查法与层次分析法来科学合理地研究地铁</w:t>
      </w:r>
    </w:p>
    <w:p>
      <w:pPr>
        <w:sectPr>
          <w:type w:val="continuous"/>
          <w:pgSz w:w="11904" w:h="16836"/>
          <w:pgMar w:top="564" w:right="106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734" w:right="144" w:firstLine="42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盾构下穿建筑物施工前，需调查沿线建筑物，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相关人员要亲自到现场做调研，并对施工人员进行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技术交底，使其了解盾构与建筑物相对位置，同时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还要在施工中加强巡视工作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在穿越前，要全面检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修盾构机系统等机械设施，以避免盾构穿越中机械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设备故障停机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sectPr>
          <w:type w:val="continuous"/>
          <w:pgSz w:w="11904" w:h="16836"/>
          <w:pgMar w:top="564" w:right="1064" w:bottom="168" w:left="400" w:header="720" w:footer="720" w:gutter="0"/>
          <w:cols w:num="2" w:equalWidth="0">
            <w:col w:w="5604" w:space="0"/>
            <w:col w:w="4836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326"/>
        <w:ind w:left="158" w:right="66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盾构施工风险的识别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通过对地铁施工流程分解可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知，识别地铁盾构施工风险因素，运用层次分析法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研究因素比较权重，能够准确得出风险因素的评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价，并以此对地铁盾构施工风险控制措施进行研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究，从而有效保证地铁盾构施工安全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sectPr>
          <w:type w:val="nextColumn"/>
          <w:pgSz w:w="11904" w:h="16836"/>
          <w:pgMar w:top="564" w:right="1064" w:bottom="168" w:left="400" w:header="720" w:footer="720" w:gutter="0"/>
          <w:cols w:num="2" w:equalWidth="0">
            <w:col w:w="5604" w:space="0"/>
            <w:col w:w="483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254"/>
        </w:trPr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59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地铁隧道采用盾构机利用计算机技术，不仅可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6" w:after="0"/>
              <w:ind w:left="0" w:right="86" w:firstLine="0"/>
              <w:jc w:val="righ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参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6" w:after="0"/>
              <w:ind w:left="0" w:right="0" w:firstLine="0"/>
              <w:jc w:val="center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考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6" w:after="0"/>
              <w:ind w:left="0" w:right="0" w:firstLine="0"/>
              <w:jc w:val="center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文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6" w:after="0"/>
              <w:ind w:left="100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献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1904" w:h="16836"/>
          <w:pgMar w:top="564" w:right="106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734" w:right="210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以准确计算盾构机位置信息，还可以及时把结果反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馈给工作人员，便于工作人员实时纠偏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现场要配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备专业监测人员，并建立及时到位的信息沟通体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系，而值班人员要及时将信息汇总来指导盾构推进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施工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盾构穿越前，需布设沿线风险类建筑物的监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测点，为施工参数控制提供数据支持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盾区间隧道</w:t>
      </w:r>
    </w:p>
    <w:p>
      <w:pPr>
        <w:sectPr>
          <w:type w:val="continuous"/>
          <w:pgSz w:w="11904" w:h="16836"/>
          <w:pgMar w:top="564" w:right="1064" w:bottom="168" w:left="400" w:header="720" w:footer="720" w:gutter="0"/>
          <w:cols w:num="2" w:equalWidth="0">
            <w:col w:w="5552" w:space="0"/>
            <w:col w:w="4888" w:space="0"/>
          </w:cols>
          <w:docGrid w:linePitch="360"/>
        </w:sectPr>
      </w:pPr>
    </w:p>
    <w:p>
      <w:pPr>
        <w:autoSpaceDN w:val="0"/>
        <w:tabs>
          <w:tab w:pos="528" w:val="left"/>
        </w:tabs>
        <w:autoSpaceDE w:val="0"/>
        <w:widowControl/>
        <w:spacing w:line="236" w:lineRule="exact" w:before="0" w:after="0"/>
        <w:ind w:left="210" w:right="0" w:firstLine="0"/>
        <w:jc w:val="left"/>
      </w:pPr>
      <w:r>
        <w:rPr>
          <w:rFonts w:ascii="ZGQFOi" w:hAnsi="ZGQFOi" w:eastAsia="ZGQFOi"/>
          <w:b w:val="0"/>
          <w:i w:val="0"/>
          <w:color w:val="221F1F"/>
          <w:sz w:val="16"/>
        </w:rPr>
        <w:t>[1]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赵方彬</w:t>
      </w:r>
      <w:r>
        <w:rPr>
          <w:rFonts w:ascii="ZGQFOi" w:hAnsi="ZGQFOi" w:eastAsia="ZGQFOi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盾构法修建地铁隧道的技术现状与展望</w:t>
      </w:r>
      <w:r>
        <w:rPr>
          <w:rFonts w:ascii="ZGQFOi" w:hAnsi="ZGQFOi" w:eastAsia="ZGQFOi"/>
          <w:b w:val="0"/>
          <w:i w:val="0"/>
          <w:color w:val="221F1F"/>
          <w:sz w:val="16"/>
        </w:rPr>
        <w:t>[J].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工程建设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与设计，</w:t>
      </w:r>
      <w:r>
        <w:rPr>
          <w:rFonts w:ascii="ZGQFOi" w:hAnsi="ZGQFOi" w:eastAsia="ZGQFOi"/>
          <w:b w:val="0"/>
          <w:i w:val="0"/>
          <w:color w:val="221F1F"/>
          <w:sz w:val="16"/>
        </w:rPr>
        <w:t>2018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（</w:t>
      </w:r>
      <w:r>
        <w:rPr>
          <w:rFonts w:ascii="ZGQFOi" w:hAnsi="ZGQFOi" w:eastAsia="ZGQFOi"/>
          <w:b w:val="0"/>
          <w:i w:val="0"/>
          <w:color w:val="221F1F"/>
          <w:sz w:val="16"/>
        </w:rPr>
        <w:t>20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）：</w:t>
      </w:r>
      <w:r>
        <w:rPr>
          <w:rFonts w:ascii="ZGQFOi" w:hAnsi="ZGQFOi" w:eastAsia="ZGQFOi"/>
          <w:b w:val="0"/>
          <w:i w:val="0"/>
          <w:color w:val="221F1F"/>
          <w:sz w:val="16"/>
        </w:rPr>
        <w:t>191-192.</w:t>
      </w:r>
    </w:p>
    <w:p>
      <w:pPr>
        <w:autoSpaceDN w:val="0"/>
        <w:tabs>
          <w:tab w:pos="528" w:val="left"/>
        </w:tabs>
        <w:autoSpaceDE w:val="0"/>
        <w:widowControl/>
        <w:spacing w:line="264" w:lineRule="exact" w:before="0" w:after="0"/>
        <w:ind w:left="210" w:right="0" w:firstLine="0"/>
        <w:jc w:val="left"/>
      </w:pPr>
      <w:r>
        <w:rPr>
          <w:rFonts w:ascii="ZGQFOi" w:hAnsi="ZGQFOi" w:eastAsia="ZGQFOi"/>
          <w:b w:val="0"/>
          <w:i w:val="0"/>
          <w:color w:val="221F1F"/>
          <w:sz w:val="16"/>
        </w:rPr>
        <w:t>[2]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邵明秀</w:t>
      </w:r>
      <w:r>
        <w:rPr>
          <w:rFonts w:ascii="ZGQFOi" w:hAnsi="ZGQFOi" w:eastAsia="ZGQFOi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盾构区间近距离下穿既有地铁车站方案设计分析</w:t>
      </w:r>
      <w:r>
        <w:rPr>
          <w:rFonts w:ascii="ZGQFOi" w:hAnsi="ZGQFOi" w:eastAsia="ZGQFOi"/>
          <w:b w:val="0"/>
          <w:i w:val="0"/>
          <w:color w:val="221F1F"/>
          <w:sz w:val="16"/>
        </w:rPr>
        <w:t>[J].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工程建设与设计，</w:t>
      </w:r>
      <w:r>
        <w:rPr>
          <w:rFonts w:ascii="ZGQFOi" w:hAnsi="ZGQFOi" w:eastAsia="ZGQFOi"/>
          <w:b w:val="0"/>
          <w:i w:val="0"/>
          <w:color w:val="221F1F"/>
          <w:sz w:val="16"/>
        </w:rPr>
        <w:t>2020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（</w:t>
      </w:r>
      <w:r>
        <w:rPr>
          <w:rFonts w:ascii="ZGQFOi" w:hAnsi="ZGQFOi" w:eastAsia="ZGQFOi"/>
          <w:b w:val="0"/>
          <w:i w:val="0"/>
          <w:color w:val="221F1F"/>
          <w:sz w:val="16"/>
        </w:rPr>
        <w:t>19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）：</w:t>
      </w:r>
      <w:r>
        <w:rPr>
          <w:rFonts w:ascii="ZGQFOi" w:hAnsi="ZGQFOi" w:eastAsia="ZGQFOi"/>
          <w:b w:val="0"/>
          <w:i w:val="0"/>
          <w:color w:val="221F1F"/>
          <w:sz w:val="16"/>
        </w:rPr>
        <w:t>120-122.</w:t>
      </w:r>
    </w:p>
    <w:p>
      <w:pPr>
        <w:autoSpaceDN w:val="0"/>
        <w:tabs>
          <w:tab w:pos="528" w:val="left"/>
        </w:tabs>
        <w:autoSpaceDE w:val="0"/>
        <w:widowControl/>
        <w:spacing w:line="264" w:lineRule="exact" w:before="0" w:after="0"/>
        <w:ind w:left="210" w:right="0" w:firstLine="0"/>
        <w:jc w:val="left"/>
      </w:pPr>
      <w:r>
        <w:rPr>
          <w:rFonts w:ascii="ZGQFOi" w:hAnsi="ZGQFOi" w:eastAsia="ZGQFOi"/>
          <w:b w:val="0"/>
          <w:i w:val="0"/>
          <w:color w:val="221F1F"/>
          <w:sz w:val="16"/>
        </w:rPr>
        <w:t>[3]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崔鹏飞</w:t>
      </w:r>
      <w:r>
        <w:rPr>
          <w:rFonts w:ascii="ZGQFOi" w:hAnsi="ZGQFOi" w:eastAsia="ZGQFOi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地铁盾构法施工常见风险及安全管理对策</w:t>
      </w:r>
      <w:r>
        <w:rPr>
          <w:rFonts w:ascii="ZGQFOi" w:hAnsi="ZGQFOi" w:eastAsia="ZGQFOi"/>
          <w:b w:val="0"/>
          <w:i w:val="0"/>
          <w:color w:val="221F1F"/>
          <w:sz w:val="16"/>
        </w:rPr>
        <w:t>[J].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中国建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材，</w:t>
      </w:r>
      <w:r>
        <w:rPr>
          <w:rFonts w:ascii="ZGQFOi" w:hAnsi="ZGQFOi" w:eastAsia="ZGQFOi"/>
          <w:b w:val="0"/>
          <w:i w:val="0"/>
          <w:color w:val="221F1F"/>
          <w:sz w:val="16"/>
        </w:rPr>
        <w:t>2020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（</w:t>
      </w:r>
      <w:r>
        <w:rPr>
          <w:rFonts w:ascii="ZGQFOi" w:hAnsi="ZGQFOi" w:eastAsia="ZGQFOi"/>
          <w:b w:val="0"/>
          <w:i w:val="0"/>
          <w:color w:val="221F1F"/>
          <w:sz w:val="16"/>
        </w:rPr>
        <w:t>8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）：</w:t>
      </w:r>
      <w:r>
        <w:rPr>
          <w:rFonts w:ascii="ZGQFOi" w:hAnsi="ZGQFOi" w:eastAsia="ZGQFOi"/>
          <w:b w:val="0"/>
          <w:i w:val="0"/>
          <w:color w:val="221F1F"/>
          <w:sz w:val="16"/>
        </w:rPr>
        <w:t>125-127.</w:t>
      </w:r>
    </w:p>
    <w:p>
      <w:pPr>
        <w:autoSpaceDN w:val="0"/>
        <w:autoSpaceDE w:val="0"/>
        <w:widowControl/>
        <w:spacing w:line="208" w:lineRule="exact" w:before="56" w:after="56"/>
        <w:ind w:left="528" w:right="0" w:firstLine="0"/>
        <w:jc w:val="left"/>
      </w:pPr>
      <w:r>
        <w:rPr>
          <w:rFonts w:ascii="ZGQFOi" w:hAnsi="ZGQFOi" w:eastAsia="ZGQFOi"/>
          <w:b w:val="0"/>
          <w:i w:val="0"/>
          <w:color w:val="221F1F"/>
          <w:sz w:val="16"/>
        </w:rPr>
        <w:t>[4]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杜可一</w:t>
      </w:r>
      <w:r>
        <w:rPr>
          <w:rFonts w:ascii="ZGQFOi" w:hAnsi="ZGQFOi" w:eastAsia="ZGQFOi"/>
          <w:b w:val="0"/>
          <w:i w:val="0"/>
          <w:color w:val="221F1F"/>
          <w:sz w:val="16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地铁盾构法施工常见风险及安全管理对策</w:t>
      </w:r>
      <w:r>
        <w:rPr>
          <w:rFonts w:ascii="ZGQFOi" w:hAnsi="ZGQFOi" w:eastAsia="ZGQFOi"/>
          <w:b w:val="0"/>
          <w:i w:val="0"/>
          <w:color w:val="221F1F"/>
          <w:sz w:val="16"/>
        </w:rPr>
        <w:t>[J].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现代物</w:t>
      </w:r>
    </w:p>
    <w:p>
      <w:pPr>
        <w:sectPr>
          <w:type w:val="nextColumn"/>
          <w:pgSz w:w="11904" w:h="16836"/>
          <w:pgMar w:top="564" w:right="1064" w:bottom="168" w:left="400" w:header="720" w:footer="720" w:gutter="0"/>
          <w:cols w:num="2" w:equalWidth="0">
            <w:col w:w="5552" w:space="0"/>
            <w:col w:w="48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10"/>
        <w:gridCol w:w="2610"/>
        <w:gridCol w:w="2610"/>
        <w:gridCol w:w="2610"/>
      </w:tblGrid>
      <w:tr>
        <w:trPr>
          <w:trHeight w:hRule="exact" w:val="318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0" w:after="0"/>
              <w:ind w:left="37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下穿管线时，为控制地层变形，采用增设注浆孔管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22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业（中旬刊），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2020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7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）：</w:t>
            </w:r>
            <w:r>
              <w:rPr>
                <w:rFonts w:ascii="ZGQFOi" w:hAnsi="ZGQFOi" w:eastAsia="ZGQFOi"/>
                <w:b w:val="0"/>
                <w:i w:val="0"/>
                <w:color w:val="221F1F"/>
                <w:sz w:val="16"/>
              </w:rPr>
              <w:t>122-123.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70" w:after="0"/>
              <w:ind w:left="0" w:right="92" w:firstLine="0"/>
              <w:jc w:val="righ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编辑</w:t>
            </w:r>
            <w:r>
              <w:rPr>
                <w:w w:val="103.09973955154419"/>
                <w:rFonts w:ascii="ZGQFOi" w:hAnsi="ZGQFOi" w:eastAsia="ZGQFOi"/>
                <w:b w:val="0"/>
                <w:i w:val="0"/>
                <w:color w:val="221F1F"/>
                <w:sz w:val="16"/>
              </w:rPr>
              <w:t>：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刘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70" w:after="0"/>
              <w:ind w:left="0" w:right="0" w:firstLine="0"/>
              <w:jc w:val="center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岩</w:t>
            </w:r>
          </w:p>
        </w:tc>
      </w:tr>
      <w:tr>
        <w:trPr>
          <w:trHeight w:hRule="exact" w:val="364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" w:after="0"/>
              <w:ind w:left="37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片</w:t>
            </w:r>
            <w:r>
              <w:rPr>
                <w:rFonts w:ascii="ZGQFMU" w:hAnsi="ZGQFMU" w:eastAsia="ZGQFMU"/>
                <w:b w:val="0"/>
                <w:i w:val="0"/>
                <w:color w:val="221F1F"/>
                <w:sz w:val="21"/>
              </w:rPr>
              <w:t>。</w:t>
            </w:r>
          </w:p>
        </w:tc>
        <w:tc>
          <w:tcPr>
            <w:tcW w:type="dxa" w:w="2610"/>
            <w:vMerge/>
            <w:tcBorders/>
          </w:tcPr>
          <w:p/>
        </w:tc>
        <w:tc>
          <w:tcPr>
            <w:tcW w:type="dxa" w:w="2610"/>
            <w:vMerge/>
            <w:tcBorders/>
          </w:tcPr>
          <w:p/>
        </w:tc>
        <w:tc>
          <w:tcPr>
            <w:tcW w:type="dxa" w:w="2610"/>
            <w:vMerge/>
            <w:tcBorders/>
          </w:tcPr>
          <w:p/>
        </w:tc>
      </w:tr>
    </w:tbl>
    <w:p>
      <w:pPr>
        <w:autoSpaceDN w:val="0"/>
        <w:tabs>
          <w:tab w:pos="856" w:val="left"/>
        </w:tabs>
        <w:autoSpaceDE w:val="0"/>
        <w:widowControl/>
        <w:spacing w:line="0" w:lineRule="exact" w:before="4618" w:after="0"/>
        <w:ind w:left="698" w:right="0" w:firstLine="0"/>
        <w:jc w:val="left"/>
      </w:pPr>
      <w:r>
        <w:rPr>
          <w:w w:val="102.13232601390165"/>
          <w:rFonts w:ascii="ZGQFOj" w:hAnsi="ZGQFOj" w:eastAsia="ZGQFOj"/>
          <w:b w:val="0"/>
          <w:i w:val="0"/>
          <w:color w:val="221F1F"/>
          <w:sz w:val="17"/>
        </w:rPr>
        <w:t>：：：：：：：：：：：：：：：：：：：：：：</w:t>
      </w:r>
      <w:r>
        <w:rPr>
          <w:rFonts w:ascii="ZGQFOj" w:hAnsi="ZGQFOj" w:eastAsia="ZGQFOj"/>
          <w:b w:val="0"/>
          <w:i w:val="0"/>
          <w:color w:val="221F1F"/>
          <w:sz w:val="17"/>
        </w:rPr>
        <w:t>：</w:t>
      </w:r>
      <w:r>
        <w:br/>
      </w:r>
      <w:r>
        <w:rPr>
          <w:w w:val="101.01608949549058"/>
          <w:rFonts w:ascii="ZGQFOj" w:hAnsi="ZGQFOj" w:eastAsia="ZGQFOj"/>
          <w:b w:val="0"/>
          <w:i w:val="0"/>
          <w:color w:val="221F1F"/>
          <w:sz w:val="17"/>
        </w:rPr>
        <w:t>：：：：：：：：：：：：：：：：：：：：：：：：：：：：：：：：：：：：：：：：：：：：：：：：：：：：：：：</w:t>
      </w:r>
      <w:r>
        <w:rPr>
          <w:rFonts w:ascii="ZGQFOj" w:hAnsi="ZGQFOj" w:eastAsia="ZGQFOj"/>
          <w:b w:val="0"/>
          <w:i w:val="0"/>
          <w:color w:val="221F1F"/>
          <w:sz w:val="17"/>
        </w:rPr>
        <w:t>：</w:t>
      </w:r>
    </w:p>
    <w:p>
      <w:pPr>
        <w:autoSpaceDN w:val="0"/>
        <w:autoSpaceDE w:val="0"/>
        <w:widowControl/>
        <w:spacing w:line="412" w:lineRule="exact" w:before="0" w:after="0"/>
        <w:ind w:left="0" w:right="3618" w:firstLine="0"/>
        <w:jc w:val="right"/>
      </w:pPr>
      <w:r>
        <w:rPr>
          <w:w w:val="101.41727693619266"/>
          <w:rFonts w:ascii="方正魏碑_GBK" w:hAnsi="方正魏碑_GBK" w:eastAsia="方正魏碑_GBK"/>
          <w:b w:val="0"/>
          <w:i w:val="0"/>
          <w:color w:val="221F1F"/>
          <w:sz w:val="31"/>
        </w:rPr>
        <w:t>泥水加压平衡盾构</w:t>
      </w:r>
    </w:p>
    <w:p>
      <w:pPr>
        <w:autoSpaceDN w:val="0"/>
        <w:tabs>
          <w:tab w:pos="1364" w:val="left"/>
        </w:tabs>
        <w:autoSpaceDE w:val="0"/>
        <w:widowControl/>
        <w:spacing w:line="316" w:lineRule="exact" w:before="32" w:after="0"/>
        <w:ind w:left="944" w:right="144" w:firstLine="0"/>
        <w:jc w:val="left"/>
      </w:pPr>
      <w:r>
        <w:rPr>
          <w:w w:val="98.97574424743652"/>
          <w:rFonts w:ascii="方正黑体_GBK" w:hAnsi="方正黑体_GBK" w:eastAsia="方正黑体_GBK"/>
          <w:b w:val="0"/>
          <w:i w:val="0"/>
          <w:color w:val="221F1F"/>
          <w:sz w:val="20"/>
        </w:rPr>
        <w:t>定义</w:t>
      </w:r>
      <w:r>
        <w:br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泥水加压盾构法施工，指在盾构开挖面的密封隔仓内注入泥水，通过泥水加压和外部压力平衡，以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保证开挖面土体的稳定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盾构推进时开挖下来的土进入盾构前部的泥水室，经搅拌装置进行搅拌，搅拌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后的高浓度泥水用泥水泵送到地面，泥水在地面经过分离，然后进入地下盾构的泥水室，不断地排渣净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化使用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1364" w:val="left"/>
          <w:tab w:pos="9030" w:val="left"/>
        </w:tabs>
        <w:autoSpaceDE w:val="0"/>
        <w:widowControl/>
        <w:spacing w:line="304" w:lineRule="exact" w:before="2" w:after="2960"/>
        <w:ind w:left="944" w:right="144" w:firstLine="0"/>
        <w:jc w:val="left"/>
      </w:pPr>
      <w:r>
        <w:rPr>
          <w:w w:val="98.97574424743652"/>
          <w:rFonts w:ascii="方正黑体_GBK" w:hAnsi="方正黑体_GBK" w:eastAsia="方正黑体_GBK"/>
          <w:b w:val="0"/>
          <w:i w:val="0"/>
          <w:color w:val="221F1F"/>
          <w:sz w:val="20"/>
        </w:rPr>
        <w:t>施工要求</w:t>
      </w:r>
      <w:r>
        <w:br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泥水加压盾构在其内部不能直接观察到开挖面，因此要求盾构从推进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排泥到泥水处理按系统化作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业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通过泥水压力</w:t>
      </w:r>
      <w:r>
        <w:rPr>
          <w:rFonts w:ascii="ZGQFMU" w:hAnsi="ZGQFMU" w:eastAsia="ZGQFMU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泥水浓度等测定，计算出开挖量，全部作业过程均有中央控制台综合管理</w:t>
      </w:r>
      <w:r>
        <w:rPr>
          <w:rFonts w:ascii="ZGQFMU" w:hAnsi="ZGQFMU" w:eastAsia="ZGQFMU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（有修改）</w:t>
      </w:r>
      <w:r>
        <w:tab/>
      </w:r>
      <w:r>
        <w:tab/>
      </w:r>
      <w:r>
        <w:rPr>
          <w:w w:val="103.09973955154419"/>
          <w:rFonts w:ascii="方正黑体_GBK" w:hAnsi="方正黑体_GBK" w:eastAsia="方正黑体_GBK"/>
          <w:b w:val="0"/>
          <w:i w:val="0"/>
          <w:color w:val="221F1F"/>
          <w:sz w:val="16"/>
        </w:rPr>
        <w:t>来源</w:t>
      </w:r>
      <w:r>
        <w:rPr>
          <w:w w:val="103.09973955154419"/>
          <w:rFonts w:ascii="ZGQFOi" w:hAnsi="ZGQFOi" w:eastAsia="ZGQFOi"/>
          <w:b w:val="0"/>
          <w:i w:val="0"/>
          <w:color w:val="221F1F"/>
          <w:sz w:val="16"/>
        </w:rPr>
        <w:t>：</w:t>
      </w:r>
      <w:r>
        <w:rPr>
          <w:w w:val="103.09973955154419"/>
          <w:rFonts w:ascii="方正黑体_GBK" w:hAnsi="方正黑体_GBK" w:eastAsia="方正黑体_GBK"/>
          <w:b w:val="0"/>
          <w:i w:val="0"/>
          <w:color w:val="221F1F"/>
          <w:sz w:val="16"/>
        </w:rPr>
        <w:t>百度百科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5220"/>
        <w:gridCol w:w="5220"/>
      </w:tblGrid>
      <w:tr>
        <w:trPr>
          <w:trHeight w:hRule="exact" w:val="228"/>
        </w:trPr>
        <w:tc>
          <w:tcPr>
            <w:tcW w:type="dxa" w:w="454"/>
            <w:tcBorders/>
            <w:shd w:fill="80828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" w:after="0"/>
              <w:ind w:left="0" w:right="0" w:firstLine="0"/>
              <w:jc w:val="center"/>
            </w:pPr>
            <w:r>
              <w:rPr>
                <w:rFonts w:ascii="ZGQFOi" w:hAnsi="ZGQFOi" w:eastAsia="ZGQFOi"/>
                <w:b w:val="0"/>
                <w:i w:val="0"/>
                <w:color w:val="006792"/>
                <w:sz w:val="21"/>
              </w:rPr>
              <w:t>78</w:t>
            </w:r>
          </w:p>
        </w:tc>
        <w:tc>
          <w:tcPr>
            <w:tcW w:type="dxa" w:w="2380"/>
            <w:tcBorders/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ZGQFOi" w:hAnsi="ZGQFOi" w:eastAsia="ZGQFOi"/>
                <w:b w:val="0"/>
                <w:i w:val="0"/>
                <w:color w:val="006792"/>
                <w:sz w:val="16"/>
              </w:rPr>
              <w:t>NORTHERN ARCHITECTURE</w:t>
            </w:r>
          </w:p>
        </w:tc>
      </w:tr>
    </w:tbl>
    <w:p>
      <w:pPr>
        <w:autoSpaceDN w:val="0"/>
        <w:autoSpaceDE w:val="0"/>
        <w:widowControl/>
        <w:spacing w:line="240" w:lineRule="auto" w:before="18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836"/>
      <w:pgMar w:top="564" w:right="1064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