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96" w:lineRule="exact" w:before="0" w:after="0"/>
        <w:ind w:left="0" w:right="0"/>
      </w:pPr>
    </w:p>
    <w:p>
      <w:pPr>
        <w:autoSpaceDN w:val="0"/>
        <w:autoSpaceDE w:val="0"/>
        <w:widowControl/>
        <w:spacing w:line="192" w:lineRule="exact" w:before="0" w:after="0"/>
        <w:ind w:left="618" w:right="7776" w:firstLine="0"/>
        <w:jc w:val="left"/>
      </w:pPr>
      <w:r>
        <w:rPr>
          <w:w w:val="97.99920916557312"/>
          <w:rFonts w:ascii="FZSSK--GBK1-0" w:hAnsi="FZSSK--GBK1-0" w:eastAsia="FZSSK--GBK1-0"/>
          <w:b w:val="0"/>
          <w:i w:val="0"/>
          <w:color w:val="221F1F"/>
          <w:sz w:val="16"/>
        </w:rPr>
        <w:t>总</w:t>
      </w:r>
      <w:r>
        <w:rPr>
          <w:w w:val="97.99920916557312"/>
          <w:rFonts w:ascii="Times" w:hAnsi="Times" w:eastAsia="Times"/>
          <w:b w:val="0"/>
          <w:i w:val="0"/>
          <w:color w:val="221F1F"/>
          <w:sz w:val="16"/>
        </w:rPr>
        <w:t>598/599/600</w:t>
      </w:r>
      <w:r>
        <w:rPr>
          <w:w w:val="97.99920916557312"/>
          <w:rFonts w:ascii="FZSSK--GBK1-0" w:hAnsi="FZSSK--GBK1-0" w:eastAsia="FZSSK--GBK1-0"/>
          <w:b w:val="0"/>
          <w:i w:val="0"/>
          <w:color w:val="221F1F"/>
          <w:sz w:val="16"/>
        </w:rPr>
        <w:t>期</w:t>
      </w:r>
      <w:r>
        <w:br/>
      </w:r>
      <w:r>
        <w:rPr>
          <w:w w:val="97.99920916557312"/>
          <w:rFonts w:ascii="Times" w:hAnsi="Times" w:eastAsia="Times"/>
          <w:b w:val="0"/>
          <w:i w:val="0"/>
          <w:color w:val="221F1F"/>
          <w:sz w:val="16"/>
        </w:rPr>
        <w:t>2022</w:t>
      </w:r>
      <w:r>
        <w:rPr>
          <w:w w:val="97.99920916557312"/>
          <w:rFonts w:ascii="FZSSK--GBK1-0" w:hAnsi="FZSSK--GBK1-0" w:eastAsia="FZSSK--GBK1-0"/>
          <w:b w:val="0"/>
          <w:i w:val="0"/>
          <w:color w:val="221F1F"/>
          <w:sz w:val="16"/>
        </w:rPr>
        <w:t>年第04/05/06期（</w:t>
      </w:r>
      <w:r>
        <w:rPr>
          <w:w w:val="97.99920916557312"/>
          <w:rFonts w:ascii="Times" w:hAnsi="Times" w:eastAsia="Times"/>
          <w:b w:val="0"/>
          <w:i w:val="0"/>
          <w:color w:val="221F1F"/>
          <w:sz w:val="16"/>
        </w:rPr>
        <w:t>2</w:t>
      </w:r>
      <w:r>
        <w:rPr>
          <w:w w:val="97.99920916557312"/>
          <w:rFonts w:ascii="FZSSK--GBK1-0" w:hAnsi="FZSSK--GBK1-0" w:eastAsia="FZSSK--GBK1-0"/>
          <w:b w:val="0"/>
          <w:i w:val="0"/>
          <w:color w:val="221F1F"/>
          <w:sz w:val="16"/>
        </w:rPr>
        <w:t>月）</w:t>
      </w:r>
    </w:p>
    <w:p>
      <w:pPr>
        <w:autoSpaceDN w:val="0"/>
        <w:autoSpaceDE w:val="0"/>
        <w:widowControl/>
        <w:spacing w:line="550" w:lineRule="exact" w:before="676" w:after="0"/>
        <w:ind w:left="742" w:right="0" w:firstLine="0"/>
        <w:jc w:val="left"/>
      </w:pPr>
      <w:r>
        <w:rPr>
          <w:rFonts w:ascii="HYb2gj" w:hAnsi="HYb2gj" w:eastAsia="HYb2gj"/>
          <w:b w:val="0"/>
          <w:i w:val="0"/>
          <w:color w:val="221F1F"/>
          <w:sz w:val="55"/>
        </w:rPr>
        <w:t>地铁盾构施工安全风险管理与控制措施</w:t>
      </w:r>
    </w:p>
    <w:p>
      <w:pPr>
        <w:autoSpaceDN w:val="0"/>
        <w:autoSpaceDE w:val="0"/>
        <w:widowControl/>
        <w:spacing w:line="262" w:lineRule="exact" w:before="492" w:after="0"/>
        <w:ind w:left="3168" w:right="2736" w:firstLine="0"/>
        <w:jc w:val="center"/>
      </w:pPr>
      <w:r>
        <w:rPr>
          <w:w w:val="97.9992151260376"/>
          <w:rFonts w:ascii="FZKTK--GBK1-0" w:hAnsi="FZKTK--GBK1-0" w:eastAsia="FZKTK--GBK1-0"/>
          <w:b w:val="0"/>
          <w:i w:val="0"/>
          <w:color w:val="221F1F"/>
          <w:sz w:val="24"/>
        </w:rPr>
        <w:t>胡俊杰</w:t>
      </w:r>
      <w:r>
        <w:br/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（北京城建勘测设计研究院有限责任公司，北京</w:t>
      </w:r>
      <w:r>
        <w:rPr>
          <w:w w:val="97.99841774834526"/>
          <w:rFonts w:ascii="Times" w:hAnsi="Times" w:eastAsia="Times"/>
          <w:b w:val="0"/>
          <w:i w:val="0"/>
          <w:color w:val="221F1F"/>
          <w:sz w:val="18"/>
        </w:rPr>
        <w:t>100101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）</w:t>
      </w:r>
    </w:p>
    <w:p>
      <w:pPr>
        <w:autoSpaceDN w:val="0"/>
        <w:autoSpaceDE w:val="0"/>
        <w:widowControl/>
        <w:spacing w:line="286" w:lineRule="exact" w:before="458" w:after="0"/>
        <w:ind w:left="622" w:right="110" w:firstLine="0"/>
        <w:jc w:val="both"/>
      </w:pPr>
      <w:r>
        <w:rPr>
          <w:w w:val="97.99958279258327"/>
          <w:rFonts w:ascii="HYb2gj" w:hAnsi="HYb2gj" w:eastAsia="HYb2gj"/>
          <w:b w:val="0"/>
          <w:i w:val="0"/>
          <w:color w:val="221F1F"/>
          <w:sz w:val="19"/>
        </w:rPr>
        <w:t>摘要：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以地铁盾构施工为背景，探讨盾构施工的风险管理与控制措施，包括地铁盾构施工中各阶段的风险管理，如准备阶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段、始发阶段、正常掘进阶段、壁后注浆与管片拼装阶段，提出特殊地段施工及盾构区间隧道施工的安全控制措施，旨在给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同类工程提供参考。</w:t>
      </w:r>
    </w:p>
    <w:p>
      <w:pPr>
        <w:autoSpaceDN w:val="0"/>
        <w:tabs>
          <w:tab w:pos="2782" w:val="left"/>
        </w:tabs>
        <w:autoSpaceDE w:val="0"/>
        <w:widowControl/>
        <w:spacing w:line="298" w:lineRule="exact" w:before="0" w:after="56"/>
        <w:ind w:left="622" w:right="5616" w:firstLine="0"/>
        <w:jc w:val="left"/>
      </w:pPr>
      <w:r>
        <w:rPr>
          <w:w w:val="97.99958279258327"/>
          <w:rFonts w:ascii="HYb2gj" w:hAnsi="HYb2gj" w:eastAsia="HYb2gj"/>
          <w:b w:val="0"/>
          <w:i w:val="0"/>
          <w:color w:val="221F1F"/>
          <w:sz w:val="19"/>
        </w:rPr>
        <w:t>关键词：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地铁工程；盾构；安全风险管理；控制措施</w:t>
      </w:r>
      <w:r>
        <w:br/>
      </w:r>
      <w:r>
        <w:rPr>
          <w:w w:val="97.99958279258327"/>
          <w:rFonts w:ascii="HYb2gj" w:hAnsi="HYb2gj" w:eastAsia="HYb2gj"/>
          <w:b w:val="0"/>
          <w:i w:val="0"/>
          <w:color w:val="221F1F"/>
          <w:sz w:val="19"/>
        </w:rPr>
        <w:t>中图分类号：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U455.43</w:t>
      </w:r>
      <w:r>
        <w:tab/>
      </w:r>
      <w:r>
        <w:rPr>
          <w:w w:val="97.99958279258327"/>
          <w:rFonts w:ascii="HYb2gj" w:hAnsi="HYb2gj" w:eastAsia="HYb2gj"/>
          <w:b w:val="0"/>
          <w:i w:val="0"/>
          <w:color w:val="221F1F"/>
          <w:sz w:val="19"/>
        </w:rPr>
        <w:t>文献标识码：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 xml:space="preserve">B </w:t>
      </w:r>
      <w:r>
        <w:br/>
      </w:r>
      <w:r>
        <w:rPr>
          <w:rFonts w:ascii="Times" w:hAnsi="Times" w:eastAsia="Times"/>
          <w:b w:val="0"/>
          <w:i w:val="0"/>
          <w:color w:val="000000"/>
          <w:sz w:val="18"/>
        </w:rPr>
        <w:t>DOI:10.16248/j.cnki.11-3723/u.2022.z2.082</w:t>
      </w:r>
    </w:p>
    <w:p>
      <w:pPr>
        <w:sectPr>
          <w:pgSz w:w="11905" w:h="16157"/>
          <w:pgMar w:top="196" w:right="1026" w:bottom="168" w:left="400" w:header="720" w:footer="720" w:gutter="0"/>
          <w:cols/>
          <w:docGrid w:linePitch="360"/>
        </w:sectPr>
      </w:pPr>
    </w:p>
    <w:p>
      <w:pPr>
        <w:autoSpaceDN w:val="0"/>
        <w:tabs>
          <w:tab w:pos="982" w:val="left"/>
        </w:tabs>
        <w:autoSpaceDE w:val="0"/>
        <w:widowControl/>
        <w:spacing w:line="272" w:lineRule="exact" w:before="0" w:after="0"/>
        <w:ind w:left="622" w:right="144" w:firstLine="0"/>
        <w:jc w:val="left"/>
      </w:pPr>
      <w:r>
        <w:rPr>
          <w:w w:val="97.99778938293457"/>
          <w:rFonts w:ascii="Times" w:hAnsi="Times" w:eastAsia="Times"/>
          <w:b w:val="0"/>
          <w:i w:val="0"/>
          <w:color w:val="221F1F"/>
          <w:sz w:val="20"/>
        </w:rPr>
        <w:t>1</w:t>
      </w:r>
      <w:r>
        <w:rPr>
          <w:w w:val="97.99778938293457"/>
          <w:rFonts w:ascii="HYb1gj" w:hAnsi="HYb1gj" w:eastAsia="HYb1gj"/>
          <w:b w:val="0"/>
          <w:i w:val="0"/>
          <w:color w:val="221F1F"/>
          <w:sz w:val="20"/>
        </w:rPr>
        <w:t xml:space="preserve"> 地铁盾构施工中风险管理的重要性</w:t>
      </w:r>
      <w:r>
        <w:br/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通过风险分析，可加深对项目风险的认识，从多个角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度对项目的具体施工情况作出客观评价，可检验项目的关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键数据，对其准确性作出判断。风险管理能强化各部门员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工的安全工作意识，使员工准确认识自身的工作职责，协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同推进施工进程。风险管理还是主动降低风险的重要手段，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具有前瞻性，能预测后续可能出现的风险，制定防控措施，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尽量从源头上消除安全隐患。</w:t>
      </w:r>
    </w:p>
    <w:p>
      <w:pPr>
        <w:autoSpaceDN w:val="0"/>
        <w:autoSpaceDE w:val="0"/>
        <w:widowControl/>
        <w:spacing w:line="218" w:lineRule="exact" w:before="352" w:after="0"/>
        <w:ind w:left="622" w:right="0" w:firstLine="0"/>
        <w:jc w:val="left"/>
      </w:pPr>
      <w:r>
        <w:rPr>
          <w:w w:val="97.99778938293457"/>
          <w:rFonts w:ascii="Times" w:hAnsi="Times" w:eastAsia="Times"/>
          <w:b w:val="0"/>
          <w:i w:val="0"/>
          <w:color w:val="221F1F"/>
          <w:sz w:val="20"/>
        </w:rPr>
        <w:t>2</w:t>
      </w:r>
      <w:r>
        <w:rPr>
          <w:w w:val="97.99778938293457"/>
          <w:rFonts w:ascii="HYb1gj" w:hAnsi="HYb1gj" w:eastAsia="HYb1gj"/>
          <w:b w:val="0"/>
          <w:i w:val="0"/>
          <w:color w:val="221F1F"/>
          <w:sz w:val="20"/>
        </w:rPr>
        <w:t xml:space="preserve"> 地铁盾构施工中各阶段的风险管理</w:t>
      </w:r>
    </w:p>
    <w:p>
      <w:pPr>
        <w:sectPr>
          <w:type w:val="continuous"/>
          <w:pgSz w:w="11905" w:h="16157"/>
          <w:pgMar w:top="196" w:right="1026" w:bottom="168" w:left="400" w:header="720" w:footer="720" w:gutter="0"/>
          <w:cols w:num="2" w:equalWidth="0">
            <w:col w:w="5540" w:space="0"/>
            <w:col w:w="4940" w:space="0"/>
          </w:cols>
          <w:docGrid w:linePitch="360"/>
        </w:sectPr>
      </w:pPr>
    </w:p>
    <w:p>
      <w:pPr>
        <w:autoSpaceDN w:val="0"/>
        <w:autoSpaceDE w:val="0"/>
        <w:widowControl/>
        <w:spacing w:line="270" w:lineRule="exact" w:before="0" w:after="0"/>
        <w:ind w:left="178" w:right="0" w:firstLine="0"/>
        <w:jc w:val="left"/>
      </w:pP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大致相平衡，有效控制隧道的土体压力，主动规避地面隆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起和沉降等。在盾构机推进过程中，加强盾构姿态控制，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盾构掘进轨迹一般为蛇形，应在盾构机推进过程中及时量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测，控制推进轴线以免其偏离设计轴线。根据盾构机的实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际运行姿态采取纠偏措施，纠偏量不能过大，过大易造成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过多的超挖，影响土体的稳定性。应做到“勤纠少纠”，使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盾构机掘进轴线始终稳定在既定方向上。</w:t>
      </w:r>
    </w:p>
    <w:p>
      <w:pPr>
        <w:autoSpaceDN w:val="0"/>
        <w:tabs>
          <w:tab w:pos="538" w:val="left"/>
        </w:tabs>
        <w:autoSpaceDE w:val="0"/>
        <w:widowControl/>
        <w:spacing w:line="280" w:lineRule="exact" w:before="0" w:after="78"/>
        <w:ind w:left="178" w:right="0" w:firstLine="0"/>
        <w:jc w:val="left"/>
      </w:pP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2.4 壁后注浆、管片拼装阶段</w:t>
      </w:r>
      <w:r>
        <w:br/>
      </w:r>
      <w:r>
        <w:tab/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盾构推进时，盾尾空隙在围岩塌落前及时同步压浆，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充填盾尾与管片间的空隙，稳定地层，防止地面沉降，同</w:t>
      </w:r>
    </w:p>
    <w:p>
      <w:pPr>
        <w:sectPr>
          <w:type w:val="nextColumn"/>
          <w:pgSz w:w="11905" w:h="16157"/>
          <w:pgMar w:top="196" w:right="1026" w:bottom="168" w:left="400" w:header="720" w:footer="720" w:gutter="0"/>
          <w:cols w:num="2" w:equalWidth="0">
            <w:col w:w="5540" w:space="0"/>
            <w:col w:w="4940" w:space="0"/>
          </w:cols>
          <w:docGrid w:linePitch="360"/>
        </w:sectPr>
      </w:pPr>
    </w:p>
    <w:p>
      <w:pPr>
        <w:autoSpaceDN w:val="0"/>
        <w:tabs>
          <w:tab w:pos="5718" w:val="left"/>
        </w:tabs>
        <w:autoSpaceDE w:val="0"/>
        <w:widowControl/>
        <w:spacing w:line="202" w:lineRule="exact" w:before="0" w:after="80"/>
        <w:ind w:left="622" w:right="0" w:firstLine="0"/>
        <w:jc w:val="left"/>
      </w:pP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2.1 准备阶段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时有利于提升隧道衬砌的防水性能。同步注浆施工中，需</w:t>
      </w:r>
    </w:p>
    <w:p>
      <w:pPr>
        <w:sectPr>
          <w:type w:val="continuous"/>
          <w:pgSz w:w="11905" w:h="16157"/>
          <w:pgMar w:top="196" w:right="1026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4" w:lineRule="exact" w:before="0" w:after="0"/>
        <w:ind w:left="432" w:right="236" w:firstLine="0"/>
        <w:jc w:val="right"/>
      </w:pP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地质状况的勘察、周边现状建（构）筑物、管线的调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查评估、施工方案的编制、盾构机的选型等，均是准备阶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段的重要工作。将各项工作落实到位后，可创立良好的基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础条件，避免造成设备异常运行、施工期间破坏周边建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（构）筑物等情况。</w:t>
      </w:r>
    </w:p>
    <w:p>
      <w:pPr>
        <w:autoSpaceDN w:val="0"/>
        <w:tabs>
          <w:tab w:pos="982" w:val="left"/>
        </w:tabs>
        <w:autoSpaceDE w:val="0"/>
        <w:widowControl/>
        <w:spacing w:line="280" w:lineRule="exact" w:before="2" w:after="0"/>
        <w:ind w:left="622" w:right="144" w:firstLine="0"/>
        <w:jc w:val="left"/>
      </w:pP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2.2 始发、接收阶段</w:t>
      </w:r>
      <w:r>
        <w:br/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盾构始发接收时，首要考虑端头土体加固方法能否满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足设计所要求的参数。同时选取加固方法时应综合考虑地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质、水文、周边环境等。宜采用深层搅拌法、高压旋喷法、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冷冻法等，有时可多种方法并用。确保在破除洞门时不会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造成洞门土体失稳、坍塌和水土流失。安全起见，有时还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采用双层密封装置及钢套筒装置。此外，在始发接收阶段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有必要加强对周边地下水位的监测与控制，尽量减小对施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工的干扰。</w:t>
      </w:r>
    </w:p>
    <w:p>
      <w:pPr>
        <w:autoSpaceDN w:val="0"/>
        <w:autoSpaceDE w:val="0"/>
        <w:widowControl/>
        <w:spacing w:line="202" w:lineRule="exact" w:before="78" w:after="0"/>
        <w:ind w:left="622" w:right="0" w:firstLine="0"/>
        <w:jc w:val="left"/>
      </w:pP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2.3 始发、正常掘进阶段</w:t>
      </w:r>
    </w:p>
    <w:p>
      <w:pPr>
        <w:sectPr>
          <w:type w:val="continuous"/>
          <w:pgSz w:w="11905" w:h="16157"/>
          <w:pgMar w:top="196" w:right="1026" w:bottom="168" w:left="400" w:header="720" w:footer="720" w:gutter="0"/>
          <w:cols w:num="2" w:equalWidth="0">
            <w:col w:w="5510" w:space="0"/>
            <w:col w:w="4970" w:space="0"/>
          </w:cols>
          <w:docGrid w:linePitch="360"/>
        </w:sectPr>
      </w:pPr>
    </w:p>
    <w:p>
      <w:pPr>
        <w:autoSpaceDN w:val="0"/>
        <w:autoSpaceDE w:val="0"/>
        <w:widowControl/>
        <w:spacing w:line="266" w:lineRule="exact" w:before="0" w:after="0"/>
        <w:ind w:left="208" w:right="0" w:firstLine="0"/>
        <w:jc w:val="left"/>
      </w:pP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做到同步、持续性注浆，如果注浆管堵塞，必须暂停掘进，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及时疏通，做到“无注浆，不掘进”。注浆设备本身运行状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态是否良好较为关键，应做到“勤检勤修”。注浆施工选择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合适的浆液（要求黏度低，微膨胀，固结率及后期强度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高）、注浆参数、注浆工艺，所用浆料的性能应满足要求。</w:t>
      </w:r>
    </w:p>
    <w:p>
      <w:pPr>
        <w:autoSpaceDN w:val="0"/>
        <w:tabs>
          <w:tab w:pos="208" w:val="left"/>
          <w:tab w:pos="568" w:val="left"/>
        </w:tabs>
        <w:autoSpaceDE w:val="0"/>
        <w:widowControl/>
        <w:spacing w:line="280" w:lineRule="exact" w:before="2" w:after="78"/>
        <w:ind w:left="146" w:right="0" w:firstLine="0"/>
        <w:jc w:val="left"/>
      </w:pPr>
      <w:r>
        <w:tab/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管片拼装前应检查管片止水条完整性，量取盾尾间隙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（管片安装后，间隙满足下一环掘进极限值，保证盾尾不会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抵触管片，造成管片变形、破损等），根据盾构机姿态计算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出最优的拼装点位，拼装应从盾尾底部逐块开始，严禁从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上部开始拼装。拼装过程中，严格控制千斤顶油缸的伸缩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量，严禁大范围伸缩千斤顶。应加强管片螺栓的紧固，做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好三紧工作（管片拼装完成后需对管片环向螺栓进行复紧；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下一环推进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30cm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 xml:space="preserve"> 后，对纵向螺栓进行复紧；拖出盾尾后，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进行第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2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 xml:space="preserve"> 次复紧；拖出台车前，进行第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3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 xml:space="preserve"> 次复紧）。对拼装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完成的管片进行椭圆度测量，及时调整拼装精度与拼装</w:t>
      </w:r>
    </w:p>
    <w:p>
      <w:pPr>
        <w:sectPr>
          <w:type w:val="nextColumn"/>
          <w:pgSz w:w="11905" w:h="16157"/>
          <w:pgMar w:top="196" w:right="1026" w:bottom="168" w:left="400" w:header="720" w:footer="720" w:gutter="0"/>
          <w:cols w:num="2" w:equalWidth="0">
            <w:col w:w="5510" w:space="0"/>
            <w:col w:w="4970" w:space="0"/>
          </w:cols>
          <w:docGrid w:linePitch="360"/>
        </w:sectPr>
      </w:pPr>
    </w:p>
    <w:p>
      <w:pPr>
        <w:autoSpaceDN w:val="0"/>
        <w:tabs>
          <w:tab w:pos="5718" w:val="left"/>
        </w:tabs>
        <w:autoSpaceDE w:val="0"/>
        <w:widowControl/>
        <w:spacing w:line="202" w:lineRule="exact" w:before="0" w:after="0"/>
        <w:ind w:left="982" w:right="0" w:firstLine="0"/>
        <w:jc w:val="left"/>
      </w:pP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盾构掘进环境较为复杂，潜在的风险源较多，始发掘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质量。</w:t>
      </w:r>
    </w:p>
    <w:p>
      <w:pPr>
        <w:autoSpaceDN w:val="0"/>
        <w:autoSpaceDE w:val="0"/>
        <w:widowControl/>
        <w:spacing w:line="202" w:lineRule="exact" w:before="78" w:after="78"/>
        <w:ind w:left="622" w:right="0" w:firstLine="0"/>
        <w:jc w:val="left"/>
      </w:pP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进时要控制总推力在反力架承受范围内，并仔细观察洞门</w:t>
      </w:r>
    </w:p>
    <w:p>
      <w:pPr>
        <w:sectPr>
          <w:type w:val="continuous"/>
          <w:pgSz w:w="11905" w:h="16157"/>
          <w:pgMar w:top="196" w:right="1026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8" w:lineRule="exact" w:before="0" w:after="0"/>
        <w:ind w:left="432" w:right="144" w:firstLine="0"/>
        <w:jc w:val="center"/>
      </w:pP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密封、始发基座、反力架、反力架支撑的变形情况，发现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异常及时调整推力、控制推进速度。同时确保刀盘的扭矩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小于基座提供的反扭矩，在盾体两侧焊接盾构机防翻转装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置，防止盾构机发生侧滚，盾构机在始发基座上滑动期间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严禁进行纠偏。掘进过程中要合理设定土仓内的土压力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（或泥水压力），使密封土仓内的压力与开挖面的水土压力</w:t>
      </w:r>
    </w:p>
    <w:p>
      <w:pPr>
        <w:autoSpaceDN w:val="0"/>
        <w:autoSpaceDE w:val="0"/>
        <w:widowControl/>
        <w:spacing w:line="174" w:lineRule="exact" w:before="316" w:after="0"/>
        <w:ind w:left="1102" w:right="0" w:firstLine="0"/>
        <w:jc w:val="left"/>
      </w:pPr>
      <w:r>
        <w:rPr>
          <w:w w:val="97.99920916557312"/>
          <w:rFonts w:ascii="HYb1gj" w:hAnsi="HYb1gj" w:eastAsia="HYb1gj"/>
          <w:b w:val="0"/>
          <w:i w:val="0"/>
          <w:color w:val="221F1F"/>
          <w:sz w:val="16"/>
        </w:rPr>
        <w:t>收稿日期：</w:t>
      </w:r>
      <w:r>
        <w:rPr>
          <w:w w:val="97.99920916557312"/>
          <w:rFonts w:ascii="Times" w:hAnsi="Times" w:eastAsia="Times"/>
          <w:b w:val="0"/>
          <w:i w:val="0"/>
          <w:color w:val="221F1F"/>
          <w:sz w:val="16"/>
        </w:rPr>
        <w:t>2021-08-18</w:t>
      </w:r>
    </w:p>
    <w:p>
      <w:pPr>
        <w:sectPr>
          <w:type w:val="continuous"/>
          <w:pgSz w:w="11905" w:h="16157"/>
          <w:pgMar w:top="196" w:right="1026" w:bottom="168" w:left="400" w:header="720" w:footer="720" w:gutter="0"/>
          <w:cols w:num="2" w:equalWidth="0">
            <w:col w:w="5496" w:space="0"/>
            <w:col w:w="4984" w:space="0"/>
          </w:cols>
          <w:docGrid w:linePitch="360"/>
        </w:sectPr>
      </w:pPr>
    </w:p>
    <w:p>
      <w:pPr>
        <w:autoSpaceDN w:val="0"/>
        <w:tabs>
          <w:tab w:pos="582" w:val="left"/>
        </w:tabs>
        <w:autoSpaceDE w:val="0"/>
        <w:widowControl/>
        <w:spacing w:line="270" w:lineRule="exact" w:before="0" w:after="522"/>
        <w:ind w:left="222" w:right="0" w:firstLine="0"/>
        <w:jc w:val="left"/>
      </w:pPr>
      <w:r>
        <w:rPr>
          <w:w w:val="97.99778938293457"/>
          <w:rFonts w:ascii="Times" w:hAnsi="Times" w:eastAsia="Times"/>
          <w:b w:val="0"/>
          <w:i w:val="0"/>
          <w:color w:val="221F1F"/>
          <w:sz w:val="20"/>
        </w:rPr>
        <w:t>3</w:t>
      </w:r>
      <w:r>
        <w:rPr>
          <w:w w:val="97.99778938293457"/>
          <w:rFonts w:ascii="HYb1gj" w:hAnsi="HYb1gj" w:eastAsia="HYb1gj"/>
          <w:b w:val="0"/>
          <w:i w:val="0"/>
          <w:color w:val="221F1F"/>
          <w:sz w:val="20"/>
        </w:rPr>
        <w:t xml:space="preserve"> 盾构施工安全控制措施</w:t>
      </w:r>
      <w:r>
        <w:br/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3.1 渣土及管片隧道水平运输的安全控制措施</w:t>
      </w:r>
      <w:r>
        <w:br/>
      </w:r>
      <w:r>
        <w:tab/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渣土运输车在运行时尽可能保持匀速，最大速度控制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在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8km/h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以内若局部存在转弯路段，车辆需提前减速，以免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因速度过快而侧翻。若坡度过大，为保证运输车的正常通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行，可在电机车前端安装紧急制动锚钩装置防止溜车。车</w:t>
      </w:r>
    </w:p>
    <w:p>
      <w:pPr>
        <w:sectPr>
          <w:type w:val="nextColumn"/>
          <w:pgSz w:w="11905" w:h="16157"/>
          <w:pgMar w:top="196" w:right="1026" w:bottom="168" w:left="400" w:header="720" w:footer="720" w:gutter="0"/>
          <w:cols w:num="2" w:equalWidth="0">
            <w:col w:w="5496" w:space="0"/>
            <w:col w:w="4984" w:space="0"/>
          </w:cols>
          <w:docGrid w:linePitch="360"/>
        </w:sectPr>
      </w:pPr>
    </w:p>
    <w:p>
      <w:pPr>
        <w:autoSpaceDN w:val="0"/>
        <w:autoSpaceDE w:val="0"/>
        <w:widowControl/>
        <w:spacing w:line="174" w:lineRule="exact" w:before="0" w:after="0"/>
        <w:ind w:left="1102" w:right="0" w:firstLine="0"/>
        <w:jc w:val="left"/>
      </w:pPr>
      <w:r>
        <w:rPr>
          <w:w w:val="97.99920916557312"/>
          <w:rFonts w:ascii="HYb1gj" w:hAnsi="HYb1gj" w:eastAsia="HYb1gj"/>
          <w:b w:val="0"/>
          <w:i w:val="0"/>
          <w:color w:val="221F1F"/>
          <w:sz w:val="16"/>
        </w:rPr>
        <w:t>作者简介：</w:t>
      </w:r>
      <w:r>
        <w:rPr>
          <w:w w:val="97.99920916557312"/>
          <w:rFonts w:ascii="FZKTK--GBK1-0" w:hAnsi="FZKTK--GBK1-0" w:eastAsia="FZKTK--GBK1-0"/>
          <w:b w:val="0"/>
          <w:i w:val="0"/>
          <w:color w:val="221F1F"/>
          <w:sz w:val="16"/>
        </w:rPr>
        <w:t>胡俊杰（</w:t>
      </w:r>
      <w:r>
        <w:rPr>
          <w:w w:val="97.99920916557312"/>
          <w:rFonts w:ascii="Times" w:hAnsi="Times" w:eastAsia="Times"/>
          <w:b w:val="0"/>
          <w:i w:val="0"/>
          <w:color w:val="221F1F"/>
          <w:sz w:val="16"/>
        </w:rPr>
        <w:t>1987</w:t>
      </w:r>
      <w:r>
        <w:rPr>
          <w:w w:val="97.99920916557312"/>
          <w:rFonts w:ascii="FZKTK--GBK1-0" w:hAnsi="FZKTK--GBK1-0" w:eastAsia="FZKTK--GBK1-0"/>
          <w:b w:val="0"/>
          <w:i w:val="0"/>
          <w:color w:val="221F1F"/>
          <w:sz w:val="16"/>
        </w:rPr>
        <w:t>—），男，工程师，从事地铁施工、安全风险管控工作。</w:t>
      </w:r>
    </w:p>
    <w:p>
      <w:pPr>
        <w:autoSpaceDN w:val="0"/>
        <w:autoSpaceDE w:val="0"/>
        <w:widowControl/>
        <w:spacing w:line="240" w:lineRule="auto" w:before="32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7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77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97.99778938293457"/>
          <w:rFonts w:ascii="Arial" w:hAnsi="Arial" w:eastAsia="Arial"/>
          <w:b w:val="0"/>
          <w:i w:val="0"/>
          <w:color w:val="221F1F"/>
          <w:sz w:val="20"/>
        </w:rPr>
        <w:t>75</w:t>
      </w:r>
    </w:p>
    <w:p>
      <w:pPr>
        <w:sectPr>
          <w:type w:val="continuous"/>
          <w:pgSz w:w="11905" w:h="16157"/>
          <w:pgMar w:top="196" w:right="1026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4838700</wp:posOffset>
            </wp:positionH>
            <wp:positionV relativeFrom="page">
              <wp:posOffset>939800</wp:posOffset>
            </wp:positionV>
            <wp:extent cx="38100" cy="381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4483100</wp:posOffset>
            </wp:positionH>
            <wp:positionV relativeFrom="page">
              <wp:posOffset>939800</wp:posOffset>
            </wp:positionV>
            <wp:extent cx="38100" cy="381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502"/>
        <w:ind w:left="9152" w:right="288" w:firstLine="358"/>
        <w:jc w:val="left"/>
      </w:pPr>
      <w:r>
        <w:rPr>
          <w:w w:val="97.64640205784848"/>
          <w:rFonts w:ascii="HYa4gj" w:hAnsi="HYa4gj" w:eastAsia="HYa4gj"/>
          <w:b w:val="0"/>
          <w:i w:val="0"/>
          <w:color w:val="221F1F"/>
          <w:sz w:val="19"/>
        </w:rPr>
        <w:t>交通世界</w:t>
      </w:r>
      <w:r>
        <w:br/>
      </w:r>
      <w:r>
        <w:rPr>
          <w:rFonts w:ascii="Arial" w:hAnsi="Arial" w:eastAsia="Arial"/>
          <w:b/>
          <w:i w:val="0"/>
          <w:color w:val="57585A"/>
          <w:sz w:val="15"/>
        </w:rPr>
        <w:t>TRANSPOWORLD</w:t>
      </w:r>
    </w:p>
    <w:p>
      <w:pPr>
        <w:sectPr>
          <w:pgSz w:w="11905" w:h="16157"/>
          <w:pgMar w:top="190" w:right="79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4" w:lineRule="exact" w:before="0" w:after="0"/>
        <w:ind w:left="736" w:right="144" w:firstLine="0"/>
        <w:jc w:val="left"/>
      </w:pP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辆运行时，紧急制动锚钩由空气制动控制，出现异常情况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时按下紧急按钮启动制动锚钩，卡在电机车轨枕上，使电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机车强行停止。此装置仅在电机车刚开始溜车或有溜车苗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头时使用，正常情况下启动会造成设备损坏。在盾构机内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电机车轨道末端设置防溜车止挡装置，在紧急特殊情况下，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可有效减缓电机车的溜车速度，避免电机车速度过大造成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设备损坏和人员伤亡。隧道内铺设的轨道需定期安排专人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做好检、维修以及清理工作，若有轨道偏位、变形等问题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则应予以维修，若轨道的电机车行驶区有杂物堆积的情况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应及时清理干净。电机车在使用前必须进行全面检查，尤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其是刹车系统、电气系统，定期做好对刹车系统以及警铃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灵敏度的检查，若存在问题则及时对车辆进行维修，并详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细记录维保情况。</w:t>
      </w:r>
    </w:p>
    <w:p>
      <w:pPr>
        <w:autoSpaceDN w:val="0"/>
        <w:tabs>
          <w:tab w:pos="1034" w:val="left"/>
        </w:tabs>
        <w:autoSpaceDE w:val="0"/>
        <w:widowControl/>
        <w:spacing w:line="280" w:lineRule="exact" w:before="2" w:after="0"/>
        <w:ind w:left="736" w:right="144" w:firstLine="0"/>
        <w:jc w:val="left"/>
      </w:pP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3.2 盾构区间隧道施工的安全控制措施</w:t>
      </w:r>
      <w:r>
        <w:br/>
      </w:r>
      <w:r>
        <w:tab/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（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1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）盾构掘进前做足准备。例如现场地质及水文条件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的勘察、周边现状建（构）筑物以及地下管线的调查评估，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基于勘察结果制定可行的安全措施。</w:t>
      </w:r>
    </w:p>
    <w:p>
      <w:pPr>
        <w:autoSpaceDN w:val="0"/>
        <w:autoSpaceDE w:val="0"/>
        <w:widowControl/>
        <w:spacing w:line="216" w:lineRule="exact" w:before="204" w:after="0"/>
        <w:ind w:left="736" w:right="244" w:firstLine="298"/>
        <w:jc w:val="both"/>
      </w:pP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（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2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）正式进入盾构掘进施工环节时，加强对设备数据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的观察，根据掘进数据判断盾构机的整机运行情况。若某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项运行参数有异常波动，则及时查明原因，采取处理措施。</w:t>
      </w:r>
    </w:p>
    <w:p>
      <w:pPr>
        <w:autoSpaceDN w:val="0"/>
        <w:autoSpaceDE w:val="0"/>
        <w:widowControl/>
        <w:spacing w:line="216" w:lineRule="exact" w:before="200" w:after="0"/>
        <w:ind w:left="736" w:right="144" w:firstLine="298"/>
        <w:jc w:val="left"/>
      </w:pP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（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3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）无论是管片还是渣土的运输，均要控制车辆的运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行速度，不可过快；还需定期检查轨道及轨枕的稳定性、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平顺性等，若有异常状况及时处理。</w:t>
      </w:r>
    </w:p>
    <w:p>
      <w:pPr>
        <w:autoSpaceDN w:val="0"/>
        <w:autoSpaceDE w:val="0"/>
        <w:widowControl/>
        <w:spacing w:line="214" w:lineRule="exact" w:before="204" w:after="0"/>
        <w:ind w:left="736" w:right="268" w:firstLine="298"/>
        <w:jc w:val="both"/>
      </w:pP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（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4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）管片拼装前，疏导无关人员并移走无关设备，防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止出现干扰，造成人员受伤、设备受损；拼装时应注重对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管片位置的控制和螺栓复紧工作。</w:t>
      </w:r>
    </w:p>
    <w:p>
      <w:pPr>
        <w:autoSpaceDN w:val="0"/>
        <w:tabs>
          <w:tab w:pos="1034" w:val="left"/>
        </w:tabs>
        <w:autoSpaceDE w:val="0"/>
        <w:widowControl/>
        <w:spacing w:line="280" w:lineRule="exact" w:before="2" w:after="0"/>
        <w:ind w:left="736" w:right="144" w:firstLine="0"/>
        <w:jc w:val="left"/>
      </w:pP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3.3 土方及管片吊装的安全控制措施</w:t>
      </w:r>
      <w:r>
        <w:br/>
      </w:r>
      <w:r>
        <w:tab/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（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1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）土方吊运过程中，安排专员在现场指挥，设备操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作人员严格听从指挥，按照要求提放土斗。若土斗上黏附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泥土，则及时铲除干净。</w:t>
      </w:r>
    </w:p>
    <w:p>
      <w:pPr>
        <w:autoSpaceDN w:val="0"/>
        <w:tabs>
          <w:tab w:pos="1034" w:val="left"/>
        </w:tabs>
        <w:autoSpaceDE w:val="0"/>
        <w:widowControl/>
        <w:spacing w:line="150" w:lineRule="exact" w:before="266" w:after="0"/>
        <w:ind w:left="736" w:right="144" w:firstLine="0"/>
        <w:jc w:val="left"/>
      </w:pPr>
      <w:r>
        <w:tab/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（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2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）正式吊装前，向起重机司机进行技术和安全交底，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明确施工规范。</w:t>
      </w:r>
    </w:p>
    <w:p>
      <w:pPr>
        <w:autoSpaceDN w:val="0"/>
        <w:autoSpaceDE w:val="0"/>
        <w:widowControl/>
        <w:spacing w:line="150" w:lineRule="exact" w:before="268" w:after="0"/>
        <w:ind w:left="736" w:right="144" w:firstLine="298"/>
        <w:jc w:val="left"/>
      </w:pP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（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3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）管片起吊前，详细检查吊带的使用情况，包括其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位置、宽度、承载力等，只有满足吊装要求后方可正式投</w:t>
      </w:r>
    </w:p>
    <w:p>
      <w:pPr>
        <w:sectPr>
          <w:type w:val="continuous"/>
          <w:pgSz w:w="11905" w:h="16157"/>
          <w:pgMar w:top="190" w:right="792" w:bottom="168" w:left="400" w:header="720" w:footer="720" w:gutter="0"/>
          <w:cols w:num="2" w:equalWidth="0">
            <w:col w:w="5656" w:space="0"/>
            <w:col w:w="5058" w:space="0"/>
          </w:cols>
          <w:docGrid w:linePitch="360"/>
        </w:sectPr>
      </w:pPr>
    </w:p>
    <w:p>
      <w:pPr>
        <w:autoSpaceDN w:val="0"/>
        <w:tabs>
          <w:tab w:pos="474" w:val="left"/>
        </w:tabs>
        <w:autoSpaceDE w:val="0"/>
        <w:widowControl/>
        <w:spacing w:line="150" w:lineRule="exact" w:before="266" w:after="0"/>
        <w:ind w:left="176" w:right="144" w:firstLine="0"/>
        <w:jc w:val="left"/>
      </w:pP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（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3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）注浆孔注浆后，对其采取防水处理措施，按要求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进行密封处理，防止渗漏水。</w:t>
      </w:r>
    </w:p>
    <w:p>
      <w:pPr>
        <w:autoSpaceDN w:val="0"/>
        <w:tabs>
          <w:tab w:pos="474" w:val="left"/>
        </w:tabs>
        <w:autoSpaceDE w:val="0"/>
        <w:widowControl/>
        <w:spacing w:line="150" w:lineRule="exact" w:before="268" w:after="0"/>
        <w:ind w:left="176" w:right="144" w:firstLine="0"/>
        <w:jc w:val="left"/>
      </w:pP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（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4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）隧道与工作井、通道的连接部位也是渗漏水高发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区域，应根据实际情况加大防水力度。</w:t>
      </w:r>
    </w:p>
    <w:p>
      <w:pPr>
        <w:autoSpaceDN w:val="0"/>
        <w:tabs>
          <w:tab w:pos="474" w:val="left"/>
        </w:tabs>
        <w:autoSpaceDE w:val="0"/>
        <w:widowControl/>
        <w:spacing w:line="280" w:lineRule="exact" w:before="0" w:after="0"/>
        <w:ind w:left="176" w:right="144" w:firstLine="0"/>
        <w:jc w:val="left"/>
      </w:pP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3.5 下穿建筑物及管线的安全控制措施</w:t>
      </w:r>
      <w:r>
        <w:br/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（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1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）穿越建筑物或管线前，由专员在现场进行全面调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查，明确现场水文及地质条件、周边建（构）筑物分布情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况、地下管线敷设情况等，制定具有可行性的施工方案。</w:t>
      </w:r>
    </w:p>
    <w:p>
      <w:pPr>
        <w:autoSpaceDN w:val="0"/>
        <w:autoSpaceDE w:val="0"/>
        <w:widowControl/>
        <w:spacing w:line="214" w:lineRule="exact" w:before="204" w:after="0"/>
        <w:ind w:left="176" w:right="206" w:firstLine="298"/>
        <w:jc w:val="both"/>
      </w:pP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（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2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）对盾构机、龙门吊等配套设备进行全面检修，确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保各设备稳定运行。日常施工中，加大对设备的检维修力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度，以免因设备运行故障而出现质量甚至安全层面的问题。</w:t>
      </w:r>
    </w:p>
    <w:p>
      <w:pPr>
        <w:autoSpaceDN w:val="0"/>
        <w:autoSpaceDE w:val="0"/>
        <w:widowControl/>
        <w:spacing w:line="236" w:lineRule="exact" w:before="182" w:after="0"/>
        <w:ind w:left="176" w:right="230" w:firstLine="298"/>
        <w:jc w:val="both"/>
      </w:pP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（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3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）小净距掘进前，根据现场施工条件预测施工可能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会对隧道所造成的影响，据此采取控制措施；详细收集隧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道的监测数据，判断实际施工情况，必要时对土体采取注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浆加固措施。</w:t>
      </w:r>
    </w:p>
    <w:p>
      <w:pPr>
        <w:autoSpaceDN w:val="0"/>
        <w:autoSpaceDE w:val="0"/>
        <w:widowControl/>
        <w:spacing w:line="238" w:lineRule="exact" w:before="178" w:after="0"/>
        <w:ind w:left="176" w:right="230" w:firstLine="298"/>
        <w:jc w:val="both"/>
      </w:pP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（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4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）盾构机推进时，由司机控制设备的运行状态，使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其沿着设计的轴线前行，每环姿态变化需在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±5mm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 xml:space="preserve"> 内，否则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需纠偏。控制千斤顶在不同部位油缸的油压差，应稳定在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合理的区间内，不可出现参数大幅度波动的情况。</w:t>
      </w:r>
    </w:p>
    <w:p>
      <w:pPr>
        <w:autoSpaceDN w:val="0"/>
        <w:autoSpaceDE w:val="0"/>
        <w:widowControl/>
        <w:spacing w:line="280" w:lineRule="exact" w:before="138" w:after="0"/>
        <w:ind w:left="474" w:right="144" w:firstLine="0"/>
        <w:jc w:val="left"/>
      </w:pP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（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5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）盾构掘进时，严格控制土仓压力，保持土压平衡。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（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6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）及时测量盾尾间隙，将该值控制在许可范围内。</w:t>
      </w:r>
    </w:p>
    <w:p>
      <w:pPr>
        <w:autoSpaceDN w:val="0"/>
        <w:autoSpaceDE w:val="0"/>
        <w:widowControl/>
        <w:spacing w:line="216" w:lineRule="exact" w:before="202" w:after="0"/>
        <w:ind w:left="176" w:right="230" w:firstLine="298"/>
        <w:jc w:val="both"/>
      </w:pP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（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7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）在刀盘前及土仓内注入泡沫、膨润土或其他可改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善渣土性能的材料，提升土体的流动性和止水性，规避掘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进期间出现涌水流砂、喷涌等问题。</w:t>
      </w:r>
    </w:p>
    <w:p>
      <w:pPr>
        <w:autoSpaceDN w:val="0"/>
        <w:tabs>
          <w:tab w:pos="474" w:val="left"/>
        </w:tabs>
        <w:autoSpaceDE w:val="0"/>
        <w:widowControl/>
        <w:spacing w:line="280" w:lineRule="exact" w:before="138" w:after="0"/>
        <w:ind w:left="176" w:right="0" w:firstLine="0"/>
        <w:jc w:val="left"/>
      </w:pP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（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8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）盾构机掘进时，推进速度稳定在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20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～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60mm/min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，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尽可能匀速推进，每日推进距离以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10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～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20m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为宜。</w:t>
      </w:r>
    </w:p>
    <w:p>
      <w:pPr>
        <w:autoSpaceDN w:val="0"/>
        <w:tabs>
          <w:tab w:pos="536" w:val="left"/>
        </w:tabs>
        <w:autoSpaceDE w:val="0"/>
        <w:widowControl/>
        <w:spacing w:line="280" w:lineRule="exact" w:before="160" w:after="356"/>
        <w:ind w:left="176" w:right="144" w:firstLine="0"/>
        <w:jc w:val="left"/>
      </w:pPr>
      <w:r>
        <w:rPr>
          <w:w w:val="97.99778938293457"/>
          <w:rFonts w:ascii="Times" w:hAnsi="Times" w:eastAsia="Times"/>
          <w:b w:val="0"/>
          <w:i w:val="0"/>
          <w:color w:val="221F1F"/>
          <w:sz w:val="20"/>
        </w:rPr>
        <w:t>4</w:t>
      </w:r>
      <w:r>
        <w:rPr>
          <w:w w:val="97.99778938293457"/>
          <w:rFonts w:ascii="HYb1gj" w:hAnsi="HYb1gj" w:eastAsia="HYb1gj"/>
          <w:b w:val="0"/>
          <w:i w:val="0"/>
          <w:color w:val="221F1F"/>
          <w:sz w:val="20"/>
        </w:rPr>
        <w:t xml:space="preserve"> 结语</w:t>
      </w:r>
      <w:r>
        <w:br/>
      </w:r>
      <w:r>
        <w:tab/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地铁盾构施工周期较长，现场作业条件复杂，容易诱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发各种安全事故。在正式施工前，应注重对地质、现场环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境的勘察，采取可行的控制措施。施工时应按照规范将各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项工作落实到位，若问题及时处理。在全流程、多方位的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安全控制机制下，建设安全的施工环境。</w:t>
      </w:r>
    </w:p>
    <w:p>
      <w:pPr>
        <w:sectPr>
          <w:type w:val="nextColumn"/>
          <w:pgSz w:w="11905" w:h="16157"/>
          <w:pgMar w:top="190" w:right="792" w:bottom="168" w:left="400" w:header="720" w:footer="720" w:gutter="0"/>
          <w:cols w:num="2" w:equalWidth="0">
            <w:col w:w="5656" w:space="0"/>
            <w:col w:w="5058" w:space="0"/>
          </w:cols>
          <w:docGrid w:linePitch="360"/>
        </w:sectPr>
      </w:pPr>
    </w:p>
    <w:p>
      <w:pPr>
        <w:autoSpaceDN w:val="0"/>
        <w:tabs>
          <w:tab w:pos="5832" w:val="left"/>
        </w:tabs>
        <w:autoSpaceDE w:val="0"/>
        <w:widowControl/>
        <w:spacing w:line="202" w:lineRule="exact" w:before="0" w:after="68"/>
        <w:ind w:left="736" w:right="0" w:firstLine="0"/>
        <w:jc w:val="left"/>
      </w:pP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入使用。</w:t>
      </w:r>
      <w:r>
        <w:tab/>
      </w:r>
      <w:r>
        <w:rPr>
          <w:w w:val="97.99778938293457"/>
          <w:rFonts w:ascii="HYb1gj" w:hAnsi="HYb1gj" w:eastAsia="HYb1gj"/>
          <w:b w:val="0"/>
          <w:i w:val="0"/>
          <w:color w:val="221F1F"/>
          <w:sz w:val="20"/>
        </w:rPr>
        <w:t>参考文献：</w:t>
      </w:r>
    </w:p>
    <w:p>
      <w:pPr>
        <w:sectPr>
          <w:type w:val="continuous"/>
          <w:pgSz w:w="11905" w:h="16157"/>
          <w:pgMar w:top="190" w:right="792" w:bottom="168" w:left="400" w:header="720" w:footer="720" w:gutter="0"/>
          <w:cols/>
          <w:docGrid w:linePitch="360"/>
        </w:sectPr>
      </w:pPr>
    </w:p>
    <w:p>
      <w:pPr>
        <w:autoSpaceDN w:val="0"/>
        <w:tabs>
          <w:tab w:pos="1034" w:val="left"/>
        </w:tabs>
        <w:autoSpaceDE w:val="0"/>
        <w:widowControl/>
        <w:spacing w:line="266" w:lineRule="exact" w:before="0" w:after="0"/>
        <w:ind w:left="736" w:right="144" w:firstLine="0"/>
        <w:jc w:val="left"/>
      </w:pP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3.4 隧道防水的安全控制措施</w:t>
      </w:r>
      <w:r>
        <w:br/>
      </w:r>
      <w:r>
        <w:tab/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（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1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）盾构施工所需的材料类型丰富、数量多，各部分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材料的品质均会对盾构施工效果造成影响。因此，在运输、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现场存放、使用时均要加强控制，避免材料受损、性能下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降等问题。</w:t>
      </w:r>
    </w:p>
    <w:p>
      <w:pPr>
        <w:autoSpaceDN w:val="0"/>
        <w:autoSpaceDE w:val="0"/>
        <w:widowControl/>
        <w:spacing w:line="238" w:lineRule="exact" w:before="178" w:after="0"/>
        <w:ind w:left="736" w:right="266" w:firstLine="298"/>
        <w:jc w:val="both"/>
      </w:pP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（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2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）部分隧道现场容易出现渗漏水现象。对此，需准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备满足质量要求的防水材料，将其配置到位，应考虑防水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材料是否与管片匹配、防水密封条的嵌入效果、变形缝的</w:t>
      </w:r>
      <w:r>
        <w:rPr>
          <w:w w:val="97.99841774834526"/>
          <w:rFonts w:ascii="FZSSK--GBK1-0" w:hAnsi="FZSSK--GBK1-0" w:eastAsia="FZSSK--GBK1-0"/>
          <w:b w:val="0"/>
          <w:i w:val="0"/>
          <w:color w:val="221F1F"/>
          <w:sz w:val="18"/>
        </w:rPr>
        <w:t>处理等。</w:t>
      </w:r>
    </w:p>
    <w:p>
      <w:pPr>
        <w:sectPr>
          <w:type w:val="continuous"/>
          <w:pgSz w:w="11905" w:h="16157"/>
          <w:pgMar w:top="190" w:right="792" w:bottom="168" w:left="400" w:header="720" w:footer="720" w:gutter="0"/>
          <w:cols w:num="2" w:equalWidth="0">
            <w:col w:w="5654" w:space="0"/>
            <w:col w:w="5060" w:space="0"/>
          </w:cols>
          <w:docGrid w:linePitch="360"/>
        </w:sectPr>
      </w:pPr>
    </w:p>
    <w:p>
      <w:pPr>
        <w:autoSpaceDN w:val="0"/>
        <w:tabs>
          <w:tab w:pos="504" w:val="left"/>
        </w:tabs>
        <w:autoSpaceDE w:val="0"/>
        <w:widowControl/>
        <w:spacing w:line="244" w:lineRule="exact" w:before="0" w:after="0"/>
        <w:ind w:left="178" w:right="144" w:firstLine="0"/>
        <w:jc w:val="left"/>
      </w:pPr>
      <w:r>
        <w:rPr>
          <w:w w:val="101.26450856526692"/>
          <w:rFonts w:ascii="Times" w:hAnsi="Times" w:eastAsia="Times"/>
          <w:b w:val="0"/>
          <w:i w:val="0"/>
          <w:color w:val="221F1F"/>
          <w:sz w:val="18"/>
        </w:rPr>
        <w:t>[1]</w:t>
      </w:r>
      <w:r>
        <w:rPr>
          <w:w w:val="101.26450856526692"/>
          <w:rFonts w:ascii="KaiTi" w:hAnsi="KaiTi" w:eastAsia="KaiTi"/>
          <w:b w:val="0"/>
          <w:i w:val="0"/>
          <w:color w:val="221F1F"/>
          <w:sz w:val="18"/>
        </w:rPr>
        <w:t xml:space="preserve"> 张志宽</w:t>
      </w:r>
      <w:r>
        <w:rPr>
          <w:w w:val="101.26450856526692"/>
          <w:rFonts w:ascii="Times" w:hAnsi="Times" w:eastAsia="Times"/>
          <w:b w:val="0"/>
          <w:i w:val="0"/>
          <w:color w:val="221F1F"/>
          <w:sz w:val="18"/>
        </w:rPr>
        <w:t>.</w:t>
      </w:r>
      <w:r>
        <w:rPr>
          <w:w w:val="101.26450856526692"/>
          <w:rFonts w:ascii="KaiTi" w:hAnsi="KaiTi" w:eastAsia="KaiTi"/>
          <w:b w:val="0"/>
          <w:i w:val="0"/>
          <w:color w:val="221F1F"/>
          <w:sz w:val="18"/>
        </w:rPr>
        <w:t xml:space="preserve"> 浅析地铁盾构施工的安全风险管理</w:t>
      </w:r>
      <w:r>
        <w:rPr>
          <w:w w:val="101.26450856526692"/>
          <w:rFonts w:ascii="Times" w:hAnsi="Times" w:eastAsia="Times"/>
          <w:b w:val="0"/>
          <w:i w:val="0"/>
          <w:color w:val="221F1F"/>
          <w:sz w:val="18"/>
        </w:rPr>
        <w:t>[J].</w:t>
      </w:r>
      <w:r>
        <w:rPr>
          <w:w w:val="101.26450856526692"/>
          <w:rFonts w:ascii="KaiTi" w:hAnsi="KaiTi" w:eastAsia="KaiTi"/>
          <w:b w:val="0"/>
          <w:i w:val="0"/>
          <w:color w:val="221F1F"/>
          <w:sz w:val="18"/>
        </w:rPr>
        <w:t xml:space="preserve"> 工程技</w:t>
      </w:r>
      <w:r>
        <w:rPr>
          <w:w w:val="101.26450856526692"/>
          <w:rFonts w:ascii="KaiTi" w:hAnsi="KaiTi" w:eastAsia="KaiTi"/>
          <w:b w:val="0"/>
          <w:i w:val="0"/>
          <w:color w:val="221F1F"/>
          <w:sz w:val="18"/>
        </w:rPr>
        <w:t>术（引文版），</w:t>
      </w:r>
      <w:r>
        <w:rPr>
          <w:w w:val="101.26450856526692"/>
          <w:rFonts w:ascii="Times" w:hAnsi="Times" w:eastAsia="Times"/>
          <w:b w:val="0"/>
          <w:i w:val="0"/>
          <w:color w:val="221F1F"/>
          <w:sz w:val="18"/>
        </w:rPr>
        <w:t>2016</w:t>
      </w:r>
      <w:r>
        <w:rPr>
          <w:w w:val="101.26450856526692"/>
          <w:rFonts w:ascii="KaiTi" w:hAnsi="KaiTi" w:eastAsia="KaiTi"/>
          <w:b w:val="0"/>
          <w:i w:val="0"/>
          <w:color w:val="221F1F"/>
          <w:sz w:val="18"/>
        </w:rPr>
        <w:t>（</w:t>
      </w:r>
      <w:r>
        <w:rPr>
          <w:w w:val="101.26450856526692"/>
          <w:rFonts w:ascii="Times" w:hAnsi="Times" w:eastAsia="Times"/>
          <w:b w:val="0"/>
          <w:i w:val="0"/>
          <w:color w:val="221F1F"/>
          <w:sz w:val="18"/>
        </w:rPr>
        <w:t>12</w:t>
      </w:r>
      <w:r>
        <w:rPr>
          <w:w w:val="101.26450856526692"/>
          <w:rFonts w:ascii="KaiTi" w:hAnsi="KaiTi" w:eastAsia="KaiTi"/>
          <w:b w:val="0"/>
          <w:i w:val="0"/>
          <w:color w:val="221F1F"/>
          <w:sz w:val="18"/>
        </w:rPr>
        <w:t>）：</w:t>
      </w:r>
      <w:r>
        <w:rPr>
          <w:w w:val="101.26450856526692"/>
          <w:rFonts w:ascii="Times" w:hAnsi="Times" w:eastAsia="Times"/>
          <w:b w:val="0"/>
          <w:i w:val="0"/>
          <w:color w:val="221F1F"/>
          <w:sz w:val="18"/>
        </w:rPr>
        <w:t>177-178.</w:t>
      </w:r>
    </w:p>
    <w:p>
      <w:pPr>
        <w:autoSpaceDN w:val="0"/>
        <w:tabs>
          <w:tab w:pos="504" w:val="left"/>
        </w:tabs>
        <w:autoSpaceDE w:val="0"/>
        <w:widowControl/>
        <w:spacing w:line="286" w:lineRule="exact" w:before="2" w:after="0"/>
        <w:ind w:left="178" w:right="144" w:firstLine="0"/>
        <w:jc w:val="left"/>
      </w:pPr>
      <w:r>
        <w:rPr>
          <w:w w:val="101.26450856526692"/>
          <w:rFonts w:ascii="Times" w:hAnsi="Times" w:eastAsia="Times"/>
          <w:b w:val="0"/>
          <w:i w:val="0"/>
          <w:color w:val="221F1F"/>
          <w:sz w:val="18"/>
        </w:rPr>
        <w:t>[2]</w:t>
      </w:r>
      <w:r>
        <w:rPr>
          <w:w w:val="101.26450856526692"/>
          <w:rFonts w:ascii="KaiTi" w:hAnsi="KaiTi" w:eastAsia="KaiTi"/>
          <w:b w:val="0"/>
          <w:i w:val="0"/>
          <w:color w:val="221F1F"/>
          <w:sz w:val="18"/>
        </w:rPr>
        <w:t xml:space="preserve"> 何乐</w:t>
      </w:r>
      <w:r>
        <w:rPr>
          <w:w w:val="101.26450856526692"/>
          <w:rFonts w:ascii="Times" w:hAnsi="Times" w:eastAsia="Times"/>
          <w:b w:val="0"/>
          <w:i w:val="0"/>
          <w:color w:val="221F1F"/>
          <w:sz w:val="18"/>
        </w:rPr>
        <w:t>.</w:t>
      </w:r>
      <w:r>
        <w:rPr>
          <w:w w:val="101.26450856526692"/>
          <w:rFonts w:ascii="KaiTi" w:hAnsi="KaiTi" w:eastAsia="KaiTi"/>
          <w:b w:val="0"/>
          <w:i w:val="0"/>
          <w:color w:val="221F1F"/>
          <w:sz w:val="18"/>
        </w:rPr>
        <w:t xml:space="preserve"> 浅析地铁盾构施工的安全风险管理</w:t>
      </w:r>
      <w:r>
        <w:rPr>
          <w:w w:val="101.26450856526692"/>
          <w:rFonts w:ascii="Times" w:hAnsi="Times" w:eastAsia="Times"/>
          <w:b w:val="0"/>
          <w:i w:val="0"/>
          <w:color w:val="221F1F"/>
          <w:sz w:val="18"/>
        </w:rPr>
        <w:t>[J].</w:t>
      </w:r>
      <w:r>
        <w:rPr>
          <w:w w:val="101.26450856526692"/>
          <w:rFonts w:ascii="KaiTi" w:hAnsi="KaiTi" w:eastAsia="KaiTi"/>
          <w:b w:val="0"/>
          <w:i w:val="0"/>
          <w:color w:val="221F1F"/>
          <w:sz w:val="18"/>
        </w:rPr>
        <w:t xml:space="preserve"> 城市建设</w:t>
      </w:r>
      <w:r>
        <w:rPr>
          <w:w w:val="101.26450856526692"/>
          <w:rFonts w:ascii="KaiTi" w:hAnsi="KaiTi" w:eastAsia="KaiTi"/>
          <w:b w:val="0"/>
          <w:i w:val="0"/>
          <w:color w:val="221F1F"/>
          <w:sz w:val="18"/>
        </w:rPr>
        <w:t>理论研究（电子版），</w:t>
      </w:r>
      <w:r>
        <w:rPr>
          <w:w w:val="101.26450856526692"/>
          <w:rFonts w:ascii="Times" w:hAnsi="Times" w:eastAsia="Times"/>
          <w:b w:val="0"/>
          <w:i w:val="0"/>
          <w:color w:val="221F1F"/>
          <w:sz w:val="18"/>
        </w:rPr>
        <w:t>2017</w:t>
      </w:r>
      <w:r>
        <w:rPr>
          <w:w w:val="101.26450856526692"/>
          <w:rFonts w:ascii="KaiTi" w:hAnsi="KaiTi" w:eastAsia="KaiTi"/>
          <w:b w:val="0"/>
          <w:i w:val="0"/>
          <w:color w:val="221F1F"/>
          <w:sz w:val="18"/>
        </w:rPr>
        <w:t>（</w:t>
      </w:r>
      <w:r>
        <w:rPr>
          <w:w w:val="101.26450856526692"/>
          <w:rFonts w:ascii="Times" w:hAnsi="Times" w:eastAsia="Times"/>
          <w:b w:val="0"/>
          <w:i w:val="0"/>
          <w:color w:val="221F1F"/>
          <w:sz w:val="18"/>
        </w:rPr>
        <w:t>27</w:t>
      </w:r>
      <w:r>
        <w:rPr>
          <w:w w:val="101.26450856526692"/>
          <w:rFonts w:ascii="KaiTi" w:hAnsi="KaiTi" w:eastAsia="KaiTi"/>
          <w:b w:val="0"/>
          <w:i w:val="0"/>
          <w:color w:val="221F1F"/>
          <w:sz w:val="18"/>
        </w:rPr>
        <w:t>）：</w:t>
      </w:r>
      <w:r>
        <w:rPr>
          <w:w w:val="101.26450856526692"/>
          <w:rFonts w:ascii="Times" w:hAnsi="Times" w:eastAsia="Times"/>
          <w:b w:val="0"/>
          <w:i w:val="0"/>
          <w:color w:val="221F1F"/>
          <w:sz w:val="18"/>
        </w:rPr>
        <w:t>131.</w:t>
      </w:r>
    </w:p>
    <w:p>
      <w:pPr>
        <w:autoSpaceDN w:val="0"/>
        <w:tabs>
          <w:tab w:pos="504" w:val="left"/>
        </w:tabs>
        <w:autoSpaceDE w:val="0"/>
        <w:widowControl/>
        <w:spacing w:line="288" w:lineRule="exact" w:before="0" w:after="2608"/>
        <w:ind w:left="178" w:right="144" w:firstLine="0"/>
        <w:jc w:val="left"/>
      </w:pPr>
      <w:r>
        <w:rPr>
          <w:w w:val="101.26450856526692"/>
          <w:rFonts w:ascii="Times" w:hAnsi="Times" w:eastAsia="Times"/>
          <w:b w:val="0"/>
          <w:i w:val="0"/>
          <w:color w:val="221F1F"/>
          <w:sz w:val="18"/>
        </w:rPr>
        <w:t>[3]</w:t>
      </w:r>
      <w:r>
        <w:rPr>
          <w:w w:val="101.26450856526692"/>
          <w:rFonts w:ascii="KaiTi" w:hAnsi="KaiTi" w:eastAsia="KaiTi"/>
          <w:b w:val="0"/>
          <w:i w:val="0"/>
          <w:color w:val="221F1F"/>
          <w:sz w:val="18"/>
        </w:rPr>
        <w:t xml:space="preserve"> 江玉生</w:t>
      </w:r>
      <w:r>
        <w:rPr>
          <w:w w:val="101.26450856526692"/>
          <w:rFonts w:ascii="Times" w:hAnsi="Times" w:eastAsia="Times"/>
          <w:b w:val="0"/>
          <w:i w:val="0"/>
          <w:color w:val="221F1F"/>
          <w:sz w:val="18"/>
        </w:rPr>
        <w:t>.</w:t>
      </w:r>
      <w:r>
        <w:rPr>
          <w:w w:val="101.26450856526692"/>
          <w:rFonts w:ascii="KaiTi" w:hAnsi="KaiTi" w:eastAsia="KaiTi"/>
          <w:b w:val="0"/>
          <w:i w:val="0"/>
          <w:color w:val="221F1F"/>
          <w:sz w:val="18"/>
        </w:rPr>
        <w:t xml:space="preserve"> 地铁盾构施工的安全与风险管理</w:t>
      </w:r>
      <w:r>
        <w:rPr>
          <w:w w:val="101.26450856526692"/>
          <w:rFonts w:ascii="Times" w:hAnsi="Times" w:eastAsia="Times"/>
          <w:b w:val="0"/>
          <w:i w:val="0"/>
          <w:color w:val="221F1F"/>
          <w:sz w:val="18"/>
        </w:rPr>
        <w:t>[J].</w:t>
      </w:r>
      <w:r>
        <w:rPr>
          <w:w w:val="101.26450856526692"/>
          <w:rFonts w:ascii="KaiTi" w:hAnsi="KaiTi" w:eastAsia="KaiTi"/>
          <w:b w:val="0"/>
          <w:i w:val="0"/>
          <w:color w:val="221F1F"/>
          <w:sz w:val="18"/>
        </w:rPr>
        <w:t xml:space="preserve"> 建设机械</w:t>
      </w:r>
      <w:r>
        <w:rPr>
          <w:w w:val="101.26450856526692"/>
          <w:rFonts w:ascii="KaiTi" w:hAnsi="KaiTi" w:eastAsia="KaiTi"/>
          <w:b w:val="0"/>
          <w:i w:val="0"/>
          <w:color w:val="221F1F"/>
          <w:sz w:val="18"/>
        </w:rPr>
        <w:t>技术与管理，</w:t>
      </w:r>
      <w:r>
        <w:rPr>
          <w:w w:val="101.26450856526692"/>
          <w:rFonts w:ascii="Times" w:hAnsi="Times" w:eastAsia="Times"/>
          <w:b w:val="0"/>
          <w:i w:val="0"/>
          <w:color w:val="221F1F"/>
          <w:sz w:val="18"/>
        </w:rPr>
        <w:t>2013</w:t>
      </w:r>
      <w:r>
        <w:rPr>
          <w:w w:val="101.26450856526692"/>
          <w:rFonts w:ascii="KaiTi" w:hAnsi="KaiTi" w:eastAsia="KaiTi"/>
          <w:b w:val="0"/>
          <w:i w:val="0"/>
          <w:color w:val="221F1F"/>
          <w:sz w:val="18"/>
        </w:rPr>
        <w:t>，</w:t>
      </w:r>
      <w:r>
        <w:rPr>
          <w:w w:val="101.26450856526692"/>
          <w:rFonts w:ascii="Times" w:hAnsi="Times" w:eastAsia="Times"/>
          <w:b w:val="0"/>
          <w:i w:val="0"/>
          <w:color w:val="221F1F"/>
          <w:sz w:val="18"/>
        </w:rPr>
        <w:t>26</w:t>
      </w:r>
      <w:r>
        <w:rPr>
          <w:w w:val="101.26450856526692"/>
          <w:rFonts w:ascii="KaiTi" w:hAnsi="KaiTi" w:eastAsia="KaiTi"/>
          <w:b w:val="0"/>
          <w:i w:val="0"/>
          <w:color w:val="221F1F"/>
          <w:sz w:val="18"/>
        </w:rPr>
        <w:t>（</w:t>
      </w:r>
      <w:r>
        <w:rPr>
          <w:w w:val="101.26450856526692"/>
          <w:rFonts w:ascii="Times" w:hAnsi="Times" w:eastAsia="Times"/>
          <w:b w:val="0"/>
          <w:i w:val="0"/>
          <w:color w:val="221F1F"/>
          <w:sz w:val="18"/>
        </w:rPr>
        <w:t>11</w:t>
      </w:r>
      <w:r>
        <w:rPr>
          <w:w w:val="101.26450856526692"/>
          <w:rFonts w:ascii="KaiTi" w:hAnsi="KaiTi" w:eastAsia="KaiTi"/>
          <w:b w:val="0"/>
          <w:i w:val="0"/>
          <w:color w:val="221F1F"/>
          <w:sz w:val="18"/>
        </w:rPr>
        <w:t>）：</w:t>
      </w:r>
      <w:r>
        <w:rPr>
          <w:w w:val="101.26450856526692"/>
          <w:rFonts w:ascii="Times" w:hAnsi="Times" w:eastAsia="Times"/>
          <w:b w:val="0"/>
          <w:i w:val="0"/>
          <w:color w:val="221F1F"/>
          <w:sz w:val="18"/>
        </w:rPr>
        <w:t>62-63.</w:t>
      </w:r>
    </w:p>
    <w:p>
      <w:pPr>
        <w:sectPr>
          <w:type w:val="nextColumn"/>
          <w:pgSz w:w="11905" w:h="16157"/>
          <w:pgMar w:top="190" w:right="792" w:bottom="168" w:left="400" w:header="720" w:footer="720" w:gutter="0"/>
          <w:cols w:num="2" w:equalWidth="0">
            <w:col w:w="5654" w:space="0"/>
            <w:col w:w="5060" w:space="0"/>
          </w:cols>
          <w:docGrid w:linePitch="360"/>
        </w:sectPr>
      </w:pPr>
    </w:p>
    <w:p>
      <w:pPr>
        <w:autoSpaceDN w:val="0"/>
        <w:tabs>
          <w:tab w:pos="10474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w w:val="97.99778938293457"/>
          <w:rFonts w:ascii="Arial" w:hAnsi="Arial" w:eastAsia="Arial"/>
          <w:b w:val="0"/>
          <w:i w:val="0"/>
          <w:color w:val="221F1F"/>
          <w:sz w:val="20"/>
        </w:rPr>
        <w:t>76</w:t>
      </w:r>
    </w:p>
    <w:sectPr w:rsidR="00FC693F" w:rsidRPr="0006063C" w:rsidSect="00034616">
      <w:type w:val="continuous"/>
      <w:pgSz w:w="11905" w:h="16157"/>
      <w:pgMar w:top="190" w:right="792" w:bottom="168" w:left="4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