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12"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4222750</wp:posOffset>
            </wp:positionH>
            <wp:positionV relativeFrom="page">
              <wp:posOffset>5561330</wp:posOffset>
            </wp:positionV>
            <wp:extent cx="2531109" cy="1903649"/>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531109" cy="19036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6654800</wp:posOffset>
            </wp:positionH>
            <wp:positionV relativeFrom="page">
              <wp:posOffset>5626100</wp:posOffset>
            </wp:positionV>
            <wp:extent cx="38100" cy="381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6616700</wp:posOffset>
            </wp:positionH>
            <wp:positionV relativeFrom="page">
              <wp:posOffset>5626100</wp:posOffset>
            </wp:positionV>
            <wp:extent cx="38100" cy="381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6654800</wp:posOffset>
            </wp:positionH>
            <wp:positionV relativeFrom="page">
              <wp:posOffset>5600700</wp:posOffset>
            </wp:positionV>
            <wp:extent cx="38100" cy="381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6083300</wp:posOffset>
            </wp:positionV>
            <wp:extent cx="165100" cy="381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6083300</wp:posOffset>
            </wp:positionV>
            <wp:extent cx="88900" cy="381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5867400</wp:posOffset>
            </wp:positionV>
            <wp:extent cx="127000" cy="508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5867400</wp:posOffset>
            </wp:positionV>
            <wp:extent cx="342900" cy="2032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429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5829300</wp:posOffset>
            </wp:positionV>
            <wp:extent cx="1905000" cy="13335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905000" cy="133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6477000</wp:posOffset>
            </wp:positionH>
            <wp:positionV relativeFrom="page">
              <wp:posOffset>5778500</wp:posOffset>
            </wp:positionV>
            <wp:extent cx="203200" cy="508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03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6502400</wp:posOffset>
            </wp:positionH>
            <wp:positionV relativeFrom="page">
              <wp:posOffset>5715000</wp:posOffset>
            </wp:positionV>
            <wp:extent cx="177800" cy="508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77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5715000</wp:posOffset>
            </wp:positionV>
            <wp:extent cx="88900" cy="508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5702300</wp:posOffset>
            </wp:positionV>
            <wp:extent cx="165100" cy="1524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65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5626100</wp:posOffset>
            </wp:positionV>
            <wp:extent cx="215900" cy="508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15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8559800</wp:posOffset>
            </wp:positionV>
            <wp:extent cx="38100" cy="381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4212590</wp:posOffset>
            </wp:positionH>
            <wp:positionV relativeFrom="page">
              <wp:posOffset>7611109</wp:posOffset>
            </wp:positionV>
            <wp:extent cx="2551430" cy="1899398"/>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551430" cy="189939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7861300</wp:posOffset>
            </wp:positionV>
            <wp:extent cx="38100" cy="381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7823200</wp:posOffset>
            </wp:positionV>
            <wp:extent cx="381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8128000</wp:posOffset>
            </wp:positionV>
            <wp:extent cx="38100" cy="508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6667500</wp:posOffset>
            </wp:positionH>
            <wp:positionV relativeFrom="page">
              <wp:posOffset>7785100</wp:posOffset>
            </wp:positionV>
            <wp:extent cx="38100" cy="508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7785100</wp:posOffset>
            </wp:positionV>
            <wp:extent cx="381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7658100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7937500</wp:posOffset>
            </wp:positionV>
            <wp:extent cx="127000" cy="762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9309100</wp:posOffset>
            </wp:positionV>
            <wp:extent cx="381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9309100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9309100</wp:posOffset>
            </wp:positionV>
            <wp:extent cx="381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9309100</wp:posOffset>
            </wp:positionV>
            <wp:extent cx="381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9309100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p>
    <w:p>
      <w:pPr>
        <w:autoSpaceDN w:val="0"/>
        <w:autoSpaceDE w:val="0"/>
        <w:widowControl/>
        <w:spacing w:line="290" w:lineRule="exact" w:before="0" w:after="0"/>
        <w:ind w:left="0" w:right="324" w:firstLine="0"/>
        <w:jc w:val="right"/>
      </w:pPr>
      <w:r>
        <w:rPr>
          <w:rFonts w:ascii="Arial" w:hAnsi="Arial" w:eastAsia="Arial"/>
          <w:b w:val="0"/>
          <w:i w:val="0"/>
          <w:color w:val="000000"/>
          <w:sz w:val="26"/>
        </w:rPr>
        <w:t xml:space="preserve">Engineering constructionn </w:t>
      </w:r>
      <w:r>
        <w:rPr>
          <w:rFonts w:ascii="SimHei" w:hAnsi="SimHei" w:eastAsia="SimHei"/>
          <w:b w:val="0"/>
          <w:i w:val="0"/>
          <w:color w:val="000000"/>
          <w:sz w:val="26"/>
        </w:rPr>
        <w:t>工程施工</w:t>
      </w:r>
      <w:r>
        <w:rPr>
          <w:rFonts w:ascii="Arial" w:hAnsi="Arial" w:eastAsia="Arial"/>
          <w:b w:val="0"/>
          <w:i w:val="0"/>
          <w:color w:val="000000"/>
          <w:sz w:val="21"/>
        </w:rPr>
        <w:t xml:space="preserve">115 </w:t>
      </w:r>
    </w:p>
    <w:p>
      <w:pPr>
        <w:autoSpaceDN w:val="0"/>
        <w:autoSpaceDE w:val="0"/>
        <w:widowControl/>
        <w:spacing w:line="480" w:lineRule="exact" w:before="738" w:after="0"/>
        <w:ind w:left="980" w:right="0" w:firstLine="0"/>
        <w:jc w:val="left"/>
      </w:pPr>
      <w:r>
        <w:rPr>
          <w:rFonts w:ascii="FZXiaoBiaoSong" w:hAnsi="FZXiaoBiaoSong" w:eastAsia="FZXiaoBiaoSong"/>
          <w:b w:val="0"/>
          <w:i w:val="0"/>
          <w:color w:val="000000"/>
          <w:sz w:val="48"/>
        </w:rPr>
        <w:t>地铁盾构施工钢套筒接收风险防控措施研究</w:t>
      </w:r>
    </w:p>
    <w:p>
      <w:pPr>
        <w:autoSpaceDN w:val="0"/>
        <w:autoSpaceDE w:val="0"/>
        <w:widowControl/>
        <w:spacing w:line="252" w:lineRule="exact" w:before="98" w:after="0"/>
        <w:ind w:left="2736" w:right="3168" w:firstLine="0"/>
        <w:jc w:val="center"/>
      </w:pPr>
      <w:r>
        <w:rPr>
          <w:rFonts w:ascii="SimHei" w:hAnsi="SimHei" w:eastAsia="SimHei"/>
          <w:b w:val="0"/>
          <w:i w:val="0"/>
          <w:color w:val="000000"/>
          <w:sz w:val="18"/>
        </w:rPr>
        <w:t>屈庆旭</w:t>
      </w:r>
      <w:r>
        <w:br/>
      </w:r>
      <w:r>
        <w:rPr>
          <w:rFonts w:ascii="FZKai" w:hAnsi="FZKai" w:eastAsia="FZKai"/>
          <w:b w:val="0"/>
          <w:i w:val="0"/>
          <w:color w:val="000000"/>
          <w:sz w:val="18"/>
        </w:rPr>
        <w:t>（中铁十六局集团北京轨道交通工程建设有限公司，</w:t>
      </w:r>
      <w:r>
        <w:rPr>
          <w:rFonts w:ascii="FZKai" w:hAnsi="FZKai" w:eastAsia="FZKai"/>
          <w:b w:val="0"/>
          <w:i w:val="0"/>
          <w:color w:val="000000"/>
          <w:sz w:val="18"/>
        </w:rPr>
        <w:t>北京</w:t>
      </w:r>
      <w:r>
        <w:rPr>
          <w:rFonts w:ascii="Times New Roman" w:hAnsi="Times New Roman" w:eastAsia="Times New Roman"/>
          <w:b w:val="0"/>
          <w:i w:val="0"/>
          <w:color w:val="000000"/>
          <w:sz w:val="18"/>
        </w:rPr>
        <w:t xml:space="preserve">  100000</w:t>
      </w:r>
      <w:r>
        <w:rPr>
          <w:rFonts w:ascii="FZKai" w:hAnsi="FZKai" w:eastAsia="FZKai"/>
          <w:b w:val="0"/>
          <w:i w:val="0"/>
          <w:color w:val="000000"/>
          <w:sz w:val="18"/>
        </w:rPr>
        <w:t>）</w:t>
      </w:r>
    </w:p>
    <w:p>
      <w:pPr>
        <w:autoSpaceDN w:val="0"/>
        <w:autoSpaceDE w:val="0"/>
        <w:widowControl/>
        <w:spacing w:line="180" w:lineRule="exact" w:before="292" w:after="0"/>
        <w:ind w:left="2276" w:right="0" w:firstLine="0"/>
        <w:jc w:val="left"/>
      </w:pPr>
      <w:r>
        <w:rPr>
          <w:rFonts w:ascii="SimHei" w:hAnsi="SimHei" w:eastAsia="SimHei"/>
          <w:b w:val="0"/>
          <w:i w:val="0"/>
          <w:color w:val="000000"/>
          <w:sz w:val="18"/>
        </w:rPr>
        <w:t xml:space="preserve">中图分类号：TU75    文献标识码：A    文章编号1007-6344（2021）01-0115-02 </w:t>
      </w:r>
    </w:p>
    <w:p>
      <w:pPr>
        <w:autoSpaceDN w:val="0"/>
        <w:autoSpaceDE w:val="0"/>
        <w:widowControl/>
        <w:spacing w:line="280" w:lineRule="exact" w:before="116" w:after="0"/>
        <w:ind w:left="1012" w:right="1412" w:firstLine="318"/>
        <w:jc w:val="both"/>
      </w:pPr>
      <w:r>
        <w:rPr>
          <w:rFonts w:ascii="FZKai" w:hAnsi="FZKai" w:eastAsia="FZKai"/>
          <w:b w:val="0"/>
          <w:i w:val="0"/>
          <w:color w:val="000000"/>
          <w:sz w:val="16"/>
        </w:rPr>
        <w:t>摘要：地铁盾构接收施工，因接收井周边条件复杂、存在富水层，常出现涌水、涌砂状况，引发地表塌陷，对已成型的盾构隧</w:t>
      </w:r>
      <w:r>
        <w:rPr>
          <w:rFonts w:ascii="FZKai" w:hAnsi="FZKai" w:eastAsia="FZKai"/>
          <w:b w:val="0"/>
          <w:i w:val="0"/>
          <w:color w:val="000000"/>
          <w:sz w:val="16"/>
        </w:rPr>
        <w:t>道、盾构机、地面建筑物及周边环境造成较大安全隐患。文章结合花苑路站盾构钢套筒接收工程实例，对地铁盾构钢套筒接收施工</w:t>
      </w:r>
      <w:r>
        <w:rPr>
          <w:rFonts w:ascii="FZKai" w:hAnsi="FZKai" w:eastAsia="FZKai"/>
          <w:b w:val="0"/>
          <w:i w:val="0"/>
          <w:color w:val="000000"/>
          <w:sz w:val="16"/>
        </w:rPr>
        <w:t>过程中存在的风险进行分析，并提出预防措施，有效降低了钢套筒接收的风险，确保了盾构机的顺利接收。</w:t>
      </w:r>
    </w:p>
    <w:p>
      <w:pPr>
        <w:autoSpaceDN w:val="0"/>
        <w:autoSpaceDE w:val="0"/>
        <w:widowControl/>
        <w:spacing w:line="162" w:lineRule="exact" w:before="118" w:after="348"/>
        <w:ind w:left="1330" w:right="0" w:firstLine="0"/>
        <w:jc w:val="left"/>
      </w:pPr>
      <w:r>
        <w:rPr>
          <w:rFonts w:ascii="FZKai" w:hAnsi="FZKai" w:eastAsia="FZKai"/>
          <w:b w:val="0"/>
          <w:i w:val="0"/>
          <w:color w:val="000000"/>
          <w:sz w:val="16"/>
        </w:rPr>
        <w:t>关键词：地铁盾构施工；钢套筒；盾构接收</w:t>
      </w:r>
    </w:p>
    <w:tbl>
      <w:tblPr>
        <w:tblW w:type="auto" w:w="0"/>
        <w:tblLayout w:type="fixed"/>
        <w:tblLook w:firstColumn="1" w:firstRow="1" w:lastColumn="0" w:lastRow="0" w:noHBand="0" w:noVBand="1" w:val="04A0"/>
        <w:tblInd w:w="180.0" w:type="dxa"/>
      </w:tblPr>
      <w:tblGrid>
        <w:gridCol w:w="5743"/>
        <w:gridCol w:w="5743"/>
      </w:tblGrid>
      <w:tr>
        <w:trPr>
          <w:trHeight w:hRule="exact" w:val="470"/>
        </w:trPr>
        <w:tc>
          <w:tcPr>
            <w:tcW w:type="dxa" w:w="3440"/>
            <w:tcBorders/>
            <w:tcMar>
              <w:start w:w="0" w:type="dxa"/>
              <w:end w:w="0" w:type="dxa"/>
            </w:tcMar>
          </w:tcPr>
          <w:p>
            <w:pPr>
              <w:autoSpaceDN w:val="0"/>
              <w:autoSpaceDE w:val="0"/>
              <w:widowControl/>
              <w:spacing w:line="246" w:lineRule="exact" w:before="182" w:after="0"/>
              <w:ind w:left="200" w:right="0" w:firstLine="0"/>
              <w:jc w:val="left"/>
            </w:pPr>
            <w:r>
              <w:rPr>
                <w:rFonts w:ascii="Arial" w:hAnsi="Arial" w:eastAsia="Arial"/>
                <w:b w:val="0"/>
                <w:i w:val="0"/>
                <w:color w:val="000000"/>
                <w:sz w:val="22"/>
              </w:rPr>
              <w:t xml:space="preserve">1 </w:t>
            </w:r>
            <w:r>
              <w:rPr>
                <w:rFonts w:ascii="SimHei" w:hAnsi="SimHei" w:eastAsia="SimHei"/>
                <w:b w:val="0"/>
                <w:i w:val="0"/>
                <w:color w:val="000000"/>
                <w:sz w:val="22"/>
              </w:rPr>
              <w:t>工程概况</w:t>
            </w:r>
          </w:p>
        </w:tc>
        <w:tc>
          <w:tcPr>
            <w:tcW w:type="dxa" w:w="7460"/>
            <w:tcBorders/>
            <w:tcMar>
              <w:start w:w="0" w:type="dxa"/>
              <w:end w:w="0" w:type="dxa"/>
            </w:tcMar>
          </w:tcPr>
          <w:p>
            <w:pPr>
              <w:autoSpaceDN w:val="0"/>
              <w:autoSpaceDE w:val="0"/>
              <w:widowControl/>
              <w:spacing w:line="244" w:lineRule="exact" w:before="0" w:after="0"/>
              <w:ind w:left="2132" w:right="288" w:firstLine="0"/>
              <w:jc w:val="left"/>
            </w:pPr>
            <w:r>
              <w:rPr>
                <w:rFonts w:ascii="FZShuSong" w:hAnsi="FZShuSong" w:eastAsia="FZShuSong"/>
                <w:b w:val="0"/>
                <w:i w:val="0"/>
                <w:color w:val="000000"/>
                <w:sz w:val="15"/>
              </w:rPr>
              <w:t>求。且通过开孔观察水位是否降至安全水位。开孔取芯是洞门凿除前的一项</w:t>
            </w:r>
            <w:r>
              <w:rPr>
                <w:rFonts w:ascii="FZShuSong" w:hAnsi="FZShuSong" w:eastAsia="FZShuSong"/>
                <w:b w:val="0"/>
                <w:i w:val="0"/>
                <w:color w:val="000000"/>
                <w:sz w:val="15"/>
              </w:rPr>
              <w:t xml:space="preserve">重要工作，是防止洞门凿除时出现洞门坍塌风险判断手段。 </w:t>
            </w:r>
          </w:p>
        </w:tc>
      </w:tr>
    </w:tbl>
    <w:p>
      <w:pPr>
        <w:autoSpaceDN w:val="0"/>
        <w:autoSpaceDE w:val="0"/>
        <w:widowControl/>
        <w:spacing w:line="14" w:lineRule="exact" w:before="0" w:after="40"/>
        <w:ind w:left="0" w:right="0"/>
      </w:pPr>
    </w:p>
    <w:p>
      <w:pPr>
        <w:sectPr>
          <w:pgSz w:w="11906" w:h="16160"/>
          <w:pgMar w:top="214" w:right="0" w:bottom="170" w:left="420" w:header="720" w:footer="720" w:gutter="0"/>
          <w:cols/>
          <w:docGrid w:linePitch="360"/>
        </w:sectPr>
      </w:pPr>
    </w:p>
    <w:p>
      <w:pPr>
        <w:autoSpaceDN w:val="0"/>
        <w:tabs>
          <w:tab w:pos="680" w:val="left"/>
        </w:tabs>
        <w:autoSpaceDE w:val="0"/>
        <w:widowControl/>
        <w:spacing w:line="258" w:lineRule="exact" w:before="0" w:after="0"/>
        <w:ind w:left="380" w:right="144" w:firstLine="0"/>
        <w:jc w:val="left"/>
      </w:pPr>
      <w:r>
        <w:rPr>
          <w:rFonts w:ascii="FZShuSong" w:hAnsi="FZShuSong" w:eastAsia="FZShuSong"/>
          <w:b w:val="0"/>
          <w:i w:val="0"/>
          <w:color w:val="000000"/>
          <w:sz w:val="15"/>
        </w:rPr>
        <w:t>1.1</w:t>
      </w:r>
      <w:r>
        <w:rPr>
          <w:rFonts w:ascii="SimHei" w:hAnsi="SimHei" w:eastAsia="SimHei"/>
          <w:b w:val="0"/>
          <w:i w:val="0"/>
          <w:color w:val="000000"/>
          <w:sz w:val="15"/>
        </w:rPr>
        <w:t xml:space="preserve"> 花苑路站～枫瑞路站区间</w:t>
      </w:r>
      <w:r>
        <w:br/>
      </w:r>
      <w:r>
        <w:tab/>
      </w:r>
      <w:r>
        <w:rPr>
          <w:rFonts w:ascii="FZShuSong" w:hAnsi="FZShuSong" w:eastAsia="FZShuSong"/>
          <w:b w:val="0"/>
          <w:i w:val="0"/>
          <w:color w:val="000000"/>
          <w:sz w:val="15"/>
        </w:rPr>
        <w:t>苏州市轨道交通5 号线花苑路站~枫瑞路站盾构区间工程场地位于苏州</w:t>
      </w:r>
      <w:r>
        <w:rPr>
          <w:rFonts w:ascii="FZShuSong" w:hAnsi="FZShuSong" w:eastAsia="FZShuSong"/>
          <w:b w:val="0"/>
          <w:i w:val="0"/>
          <w:color w:val="000000"/>
          <w:sz w:val="15"/>
        </w:rPr>
        <w:t>吴中区，区间线路从花苑路站出发后，继续沿二号河及花苑东路向东前进，</w:t>
      </w:r>
      <w:r>
        <w:rPr>
          <w:rFonts w:ascii="FZShuSong" w:hAnsi="FZShuSong" w:eastAsia="FZShuSong"/>
          <w:b w:val="0"/>
          <w:i w:val="0"/>
          <w:color w:val="000000"/>
          <w:sz w:val="15"/>
        </w:rPr>
        <w:t>依次下穿沈巷桥，二号河2、3、4 号河桥等河桥后达到枫瑞路站。区间左右</w:t>
      </w:r>
      <w:r>
        <w:rPr>
          <w:rFonts w:ascii="FZShuSong" w:hAnsi="FZShuSong" w:eastAsia="FZShuSong"/>
          <w:b w:val="0"/>
          <w:i w:val="0"/>
          <w:color w:val="000000"/>
          <w:sz w:val="15"/>
        </w:rPr>
        <w:t>线均采用盾构法施工，左线长为914.579m，区间右线长为912.600m，采用为</w:t>
      </w:r>
      <w:r>
        <w:rPr>
          <w:rFonts w:ascii="FZShuSong" w:hAnsi="FZShuSong" w:eastAsia="FZShuSong"/>
          <w:b w:val="0"/>
          <w:i w:val="0"/>
          <w:color w:val="000000"/>
          <w:sz w:val="15"/>
        </w:rPr>
        <w:t xml:space="preserve">铁建重工6410 型盾构机掘进。 </w:t>
      </w:r>
    </w:p>
    <w:p>
      <w:pPr>
        <w:autoSpaceDN w:val="0"/>
        <w:tabs>
          <w:tab w:pos="680" w:val="left"/>
        </w:tabs>
        <w:autoSpaceDE w:val="0"/>
        <w:widowControl/>
        <w:spacing w:line="278" w:lineRule="exact" w:before="0" w:after="0"/>
        <w:ind w:left="380" w:right="144" w:firstLine="0"/>
        <w:jc w:val="left"/>
      </w:pPr>
      <w:r>
        <w:rPr>
          <w:rFonts w:ascii="FZShuSong" w:hAnsi="FZShuSong" w:eastAsia="FZShuSong"/>
          <w:b w:val="0"/>
          <w:i w:val="0"/>
          <w:color w:val="000000"/>
          <w:sz w:val="15"/>
        </w:rPr>
        <w:t>1.2</w:t>
      </w:r>
      <w:r>
        <w:rPr>
          <w:rFonts w:ascii="SimHei" w:hAnsi="SimHei" w:eastAsia="SimHei"/>
          <w:b w:val="0"/>
          <w:i w:val="0"/>
          <w:color w:val="000000"/>
          <w:sz w:val="15"/>
        </w:rPr>
        <w:t xml:space="preserve"> 选用钢套筒接收分析</w:t>
      </w:r>
      <w:r>
        <w:br/>
      </w:r>
      <w:r>
        <w:tab/>
      </w:r>
      <w:r>
        <w:rPr>
          <w:rFonts w:ascii="FZShuSong" w:hAnsi="FZShuSong" w:eastAsia="FZShuSong"/>
          <w:b w:val="0"/>
          <w:i w:val="0"/>
          <w:color w:val="000000"/>
          <w:sz w:val="15"/>
        </w:rPr>
        <w:t>枫瑞路站西端头井为花苑路站～枫瑞路站盾构区间接收工作井，临近花</w:t>
      </w:r>
    </w:p>
    <w:p>
      <w:pPr>
        <w:sectPr>
          <w:type w:val="continuous"/>
          <w:pgSz w:w="11906" w:h="16160"/>
          <w:pgMar w:top="214" w:right="0" w:bottom="170" w:left="420" w:header="720" w:footer="720" w:gutter="0"/>
          <w:cols w:num="2" w:equalWidth="0">
            <w:col w:w="5542" w:space="0"/>
            <w:col w:w="5943" w:space="0"/>
          </w:cols>
          <w:docGrid w:linePitch="360"/>
        </w:sectPr>
      </w:pPr>
    </w:p>
    <w:p>
      <w:pPr>
        <w:autoSpaceDN w:val="0"/>
        <w:autoSpaceDE w:val="0"/>
        <w:widowControl/>
        <w:spacing w:line="254" w:lineRule="exact" w:before="0" w:after="0"/>
        <w:ind w:left="210" w:right="786" w:firstLine="300"/>
        <w:jc w:val="both"/>
      </w:pPr>
      <w:r>
        <w:rPr>
          <w:rFonts w:ascii="FZShuSong" w:hAnsi="FZShuSong" w:eastAsia="FZShuSong"/>
          <w:b w:val="0"/>
          <w:i w:val="0"/>
          <w:color w:val="000000"/>
          <w:sz w:val="15"/>
        </w:rPr>
        <w:t>如果加固区土体的自立性仍较差，存在渗漏现象，可采取对加固体进行</w:t>
      </w:r>
      <w:r>
        <w:rPr>
          <w:rFonts w:ascii="FZShuSong" w:hAnsi="FZShuSong" w:eastAsia="FZShuSong"/>
          <w:b w:val="0"/>
          <w:i w:val="0"/>
          <w:color w:val="000000"/>
          <w:sz w:val="15"/>
        </w:rPr>
        <w:t>注浆加固。在距离接收井结构与加固体的间隙内打入注浆管，自下而上，两</w:t>
      </w:r>
      <w:r>
        <w:rPr>
          <w:rFonts w:ascii="FZShuSong" w:hAnsi="FZShuSong" w:eastAsia="FZShuSong"/>
          <w:b w:val="0"/>
          <w:i w:val="0"/>
          <w:color w:val="000000"/>
          <w:sz w:val="15"/>
        </w:rPr>
        <w:t>边至中间，全洞门范围内注浆。浆液采用双液浆，配比为水：水泥：水玻璃</w:t>
      </w:r>
      <w:r>
        <w:rPr>
          <w:rFonts w:ascii="FZShuSong" w:hAnsi="FZShuSong" w:eastAsia="FZShuSong"/>
          <w:b w:val="0"/>
          <w:i w:val="0"/>
          <w:color w:val="000000"/>
          <w:sz w:val="15"/>
        </w:rPr>
        <w:t>＝0.5：1：1,注浆压力为0.2～0.3Mpa，初凝时间为5～10 分钟，浆液流量为</w:t>
      </w:r>
      <w:r>
        <w:rPr>
          <w:rFonts w:ascii="FZShuSong" w:hAnsi="FZShuSong" w:eastAsia="FZShuSong"/>
          <w:b w:val="0"/>
          <w:i w:val="0"/>
          <w:color w:val="000000"/>
          <w:sz w:val="15"/>
        </w:rPr>
        <w:t xml:space="preserve">10～15L/min，可有效的阻止泥水渗漏。 </w:t>
      </w:r>
    </w:p>
    <w:p>
      <w:pPr>
        <w:autoSpaceDN w:val="0"/>
        <w:autoSpaceDE w:val="0"/>
        <w:widowControl/>
        <w:spacing w:line="280" w:lineRule="exact" w:before="0" w:after="40"/>
        <w:ind w:left="210" w:right="784" w:firstLine="300"/>
        <w:jc w:val="both"/>
      </w:pPr>
      <w:r>
        <w:rPr>
          <w:rFonts w:ascii="FZShuSong" w:hAnsi="FZShuSong" w:eastAsia="FZShuSong"/>
          <w:b w:val="0"/>
          <w:i w:val="0"/>
          <w:color w:val="000000"/>
          <w:sz w:val="15"/>
        </w:rPr>
        <w:t>洞门破除时采取两次破除法施工，在钢套筒安装调试后，首先是剥出外</w:t>
      </w:r>
      <w:r>
        <w:rPr>
          <w:rFonts w:ascii="FZShuSong" w:hAnsi="FZShuSong" w:eastAsia="FZShuSong"/>
          <w:b w:val="0"/>
          <w:i w:val="0"/>
          <w:color w:val="000000"/>
          <w:sz w:val="15"/>
        </w:rPr>
        <w:t>层地连墙钢筋，外层的钢筋从上往下分段割除。其次从顶部开始破除中间60</w:t>
      </w:r>
      <w:r>
        <w:rPr>
          <w:rFonts w:ascii="FZShuSong" w:hAnsi="FZShuSong" w:eastAsia="FZShuSong"/>
          <w:b w:val="0"/>
          <w:i w:val="0"/>
          <w:color w:val="000000"/>
          <w:sz w:val="15"/>
        </w:rPr>
        <w:t>厘米混凝土，破除到里层钢筋露出一点，直到破除到底，清理干净渣土，做</w:t>
      </w:r>
    </w:p>
    <w:p>
      <w:pPr>
        <w:sectPr>
          <w:type w:val="nextColumn"/>
          <w:pgSz w:w="11906" w:h="16160"/>
          <w:pgMar w:top="214" w:right="0" w:bottom="170" w:left="420" w:header="720" w:footer="720" w:gutter="0"/>
          <w:cols w:num="2" w:equalWidth="0">
            <w:col w:w="5542" w:space="0"/>
            <w:col w:w="5943" w:space="0"/>
          </w:cols>
          <w:docGrid w:linePitch="360"/>
        </w:sectPr>
      </w:pPr>
    </w:p>
    <w:tbl>
      <w:tblPr>
        <w:tblW w:type="auto" w:w="0"/>
        <w:tblLayout w:type="fixed"/>
        <w:tblLook w:firstColumn="1" w:firstRow="1" w:lastColumn="0" w:lastRow="0" w:noHBand="0" w:noVBand="1" w:val="04A0"/>
        <w:tblInd w:w="180.0" w:type="dxa"/>
      </w:tblPr>
      <w:tblGrid>
        <w:gridCol w:w="5743"/>
        <w:gridCol w:w="5743"/>
      </w:tblGrid>
      <w:tr>
        <w:trPr>
          <w:trHeight w:hRule="exact" w:val="218"/>
        </w:trPr>
        <w:tc>
          <w:tcPr>
            <w:tcW w:type="dxa" w:w="5360"/>
            <w:tcBorders/>
            <w:tcMar>
              <w:start w:w="0" w:type="dxa"/>
              <w:end w:w="0" w:type="dxa"/>
            </w:tcMar>
          </w:tcPr>
          <w:p>
            <w:pPr>
              <w:autoSpaceDN w:val="0"/>
              <w:autoSpaceDE w:val="0"/>
              <w:widowControl/>
              <w:spacing w:line="152" w:lineRule="exact" w:before="0" w:after="0"/>
              <w:ind w:left="0" w:right="0" w:firstLine="0"/>
              <w:jc w:val="center"/>
            </w:pPr>
            <w:r>
              <w:rPr>
                <w:rFonts w:ascii="FZShuSong" w:hAnsi="FZShuSong" w:eastAsia="FZShuSong"/>
                <w:b w:val="0"/>
                <w:i w:val="0"/>
                <w:color w:val="000000"/>
                <w:sz w:val="15"/>
              </w:rPr>
              <w:t>苑路河及220KV 高压电力管线，其中车站端头围护结构外侧距220KV 金狮</w:t>
            </w:r>
          </w:p>
        </w:tc>
        <w:tc>
          <w:tcPr>
            <w:tcW w:type="dxa" w:w="3840"/>
            <w:tcBorders/>
            <w:tcMar>
              <w:start w:w="0" w:type="dxa"/>
              <w:end w:w="0" w:type="dxa"/>
            </w:tcMar>
          </w:tcPr>
          <w:p>
            <w:pPr>
              <w:autoSpaceDN w:val="0"/>
              <w:autoSpaceDE w:val="0"/>
              <w:widowControl/>
              <w:spacing w:line="152" w:lineRule="exact" w:before="86" w:after="0"/>
              <w:ind w:left="212" w:right="0" w:firstLine="0"/>
              <w:jc w:val="left"/>
            </w:pPr>
            <w:r>
              <w:rPr>
                <w:rFonts w:ascii="FZShuSong" w:hAnsi="FZShuSong" w:eastAsia="FZShuSong"/>
                <w:b w:val="0"/>
                <w:i w:val="0"/>
                <w:color w:val="000000"/>
                <w:sz w:val="15"/>
              </w:rPr>
              <w:t xml:space="preserve">好割除里层钢筋准备。 </w:t>
            </w:r>
          </w:p>
        </w:tc>
      </w:tr>
    </w:tbl>
    <w:p>
      <w:pPr>
        <w:autoSpaceDN w:val="0"/>
        <w:autoSpaceDE w:val="0"/>
        <w:widowControl/>
        <w:spacing w:line="14" w:lineRule="exact" w:before="0" w:after="40"/>
        <w:ind w:left="0" w:right="0"/>
      </w:pPr>
    </w:p>
    <w:p>
      <w:pPr>
        <w:sectPr>
          <w:type w:val="continuous"/>
          <w:pgSz w:w="11906" w:h="16160"/>
          <w:pgMar w:top="214" w:right="0" w:bottom="170" w:left="420" w:header="720" w:footer="720" w:gutter="0"/>
          <w:cols/>
          <w:docGrid w:linePitch="360"/>
        </w:sectPr>
      </w:pPr>
    </w:p>
    <w:p>
      <w:pPr>
        <w:autoSpaceDN w:val="0"/>
        <w:autoSpaceDE w:val="0"/>
        <w:widowControl/>
        <w:spacing w:line="266" w:lineRule="exact" w:before="0" w:after="0"/>
        <w:ind w:left="380" w:right="212" w:firstLine="0"/>
        <w:jc w:val="both"/>
      </w:pPr>
      <w:r>
        <w:rPr>
          <w:rFonts w:ascii="FZShuSong" w:hAnsi="FZShuSong" w:eastAsia="FZShuSong"/>
          <w:b w:val="0"/>
          <w:i w:val="0"/>
          <w:color w:val="000000"/>
          <w:sz w:val="15"/>
        </w:rPr>
        <w:t>线与金闾线最近处约10.3m。根据《电力设施保护条例》，220KV 高压电力架</w:t>
      </w:r>
      <w:r>
        <w:rPr>
          <w:rFonts w:ascii="FZShuSong" w:hAnsi="FZShuSong" w:eastAsia="FZShuSong"/>
          <w:b w:val="0"/>
          <w:i w:val="0"/>
          <w:color w:val="000000"/>
          <w:sz w:val="15"/>
        </w:rPr>
        <w:t>空线的水平及垂直保护距离为6m。为确保施工生产安全，对高压线采取硬性</w:t>
      </w:r>
      <w:r>
        <w:rPr>
          <w:rFonts w:ascii="FZShuSong" w:hAnsi="FZShuSong" w:eastAsia="FZShuSong"/>
          <w:b w:val="0"/>
          <w:i w:val="0"/>
          <w:color w:val="000000"/>
          <w:sz w:val="15"/>
        </w:rPr>
        <w:t>防护措施，高压线防护施工完成后，施工操作水平空间为6 米。由于场地限</w:t>
      </w:r>
      <w:r>
        <w:rPr>
          <w:rFonts w:ascii="FZShuSong" w:hAnsi="FZShuSong" w:eastAsia="FZShuSong"/>
          <w:b w:val="0"/>
          <w:i w:val="0"/>
          <w:color w:val="000000"/>
          <w:sz w:val="15"/>
        </w:rPr>
        <w:t>制，无法采取常规接收井加固方式。接收井处地质主要地层为富含水的④2</w:t>
      </w:r>
      <w:r>
        <w:rPr>
          <w:rFonts w:ascii="FZShuSong" w:hAnsi="FZShuSong" w:eastAsia="FZShuSong"/>
          <w:b w:val="0"/>
          <w:i w:val="0"/>
          <w:color w:val="000000"/>
          <w:sz w:val="15"/>
        </w:rPr>
        <w:t>粉砂或粉土地层且临近2 号河，接收地质条件差且易与上部河道连通形成流</w:t>
      </w:r>
      <w:r>
        <w:rPr>
          <w:rFonts w:ascii="FZShuSong" w:hAnsi="FZShuSong" w:eastAsia="FZShuSong"/>
          <w:b w:val="0"/>
          <w:i w:val="0"/>
          <w:color w:val="000000"/>
          <w:sz w:val="15"/>
        </w:rPr>
        <w:t>水通道。接收风险较大，因此采用安全性更高的钢套筒接收形式。盾构机钢</w:t>
      </w:r>
      <w:r>
        <w:rPr>
          <w:rFonts w:ascii="FZShuSong" w:hAnsi="FZShuSong" w:eastAsia="FZShuSong"/>
          <w:b w:val="0"/>
          <w:i w:val="0"/>
          <w:color w:val="000000"/>
          <w:sz w:val="15"/>
        </w:rPr>
        <w:t>套筒接收的原理是在接收工作井提前安装大于盾构机外径的装配式密闭钢</w:t>
      </w:r>
      <w:r>
        <w:rPr>
          <w:rFonts w:ascii="FZShuSong" w:hAnsi="FZShuSong" w:eastAsia="FZShuSong"/>
          <w:b w:val="0"/>
          <w:i w:val="0"/>
          <w:color w:val="000000"/>
          <w:sz w:val="15"/>
        </w:rPr>
        <w:t>箱体，与接收井混凝土接头封闭，并在套筒内填入填料，形成一个外挂接收</w:t>
      </w:r>
      <w:r>
        <w:rPr>
          <w:rFonts w:ascii="FZShuSong" w:hAnsi="FZShuSong" w:eastAsia="FZShuSong"/>
          <w:b w:val="0"/>
          <w:i w:val="0"/>
          <w:color w:val="000000"/>
          <w:sz w:val="15"/>
        </w:rPr>
        <w:t xml:space="preserve">体，密闭后可平衡水土压力，完成盾构接收。 </w:t>
      </w:r>
    </w:p>
    <w:p>
      <w:pPr>
        <w:autoSpaceDN w:val="0"/>
        <w:autoSpaceDE w:val="0"/>
        <w:widowControl/>
        <w:spacing w:line="256" w:lineRule="exact" w:before="238" w:after="0"/>
        <w:ind w:left="288" w:right="1728" w:firstLine="0"/>
        <w:jc w:val="center"/>
      </w:pPr>
      <w:r>
        <w:rPr>
          <w:rFonts w:ascii="Arial" w:hAnsi="Arial" w:eastAsia="Arial"/>
          <w:b w:val="0"/>
          <w:i w:val="0"/>
          <w:color w:val="000000"/>
          <w:sz w:val="22"/>
        </w:rPr>
        <w:t xml:space="preserve">2 </w:t>
      </w:r>
      <w:r>
        <w:rPr>
          <w:rFonts w:ascii="SimHei" w:hAnsi="SimHei" w:eastAsia="SimHei"/>
          <w:b w:val="0"/>
          <w:i w:val="0"/>
          <w:color w:val="000000"/>
          <w:sz w:val="22"/>
        </w:rPr>
        <w:t>钢套筒盾构接收风险及预防措施</w:t>
      </w:r>
      <w:r>
        <w:rPr>
          <w:rFonts w:ascii="FZShuSong" w:hAnsi="FZShuSong" w:eastAsia="FZShuSong"/>
          <w:b w:val="0"/>
          <w:i w:val="0"/>
          <w:color w:val="000000"/>
          <w:sz w:val="15"/>
        </w:rPr>
        <w:t>2.1</w:t>
      </w:r>
      <w:r>
        <w:rPr>
          <w:rFonts w:ascii="SimHei" w:hAnsi="SimHei" w:eastAsia="SimHei"/>
          <w:b w:val="0"/>
          <w:i w:val="0"/>
          <w:color w:val="000000"/>
          <w:sz w:val="15"/>
        </w:rPr>
        <w:t xml:space="preserve"> 隧道轴线与钢套筒轴线出现偏差风险及预防措施</w:t>
      </w:r>
    </w:p>
    <w:p>
      <w:pPr>
        <w:sectPr>
          <w:type w:val="continuous"/>
          <w:pgSz w:w="11906" w:h="16160"/>
          <w:pgMar w:top="214" w:right="0" w:bottom="170" w:left="420" w:header="720" w:footer="720" w:gutter="0"/>
          <w:cols w:num="2" w:equalWidth="0">
            <w:col w:w="5542" w:space="0"/>
            <w:col w:w="5943" w:space="0"/>
          </w:cols>
          <w:docGrid w:linePitch="360"/>
        </w:sectPr>
      </w:pPr>
    </w:p>
    <w:p>
      <w:pPr>
        <w:autoSpaceDN w:val="0"/>
        <w:tabs>
          <w:tab w:pos="510" w:val="left"/>
        </w:tabs>
        <w:autoSpaceDE w:val="0"/>
        <w:widowControl/>
        <w:spacing w:line="248" w:lineRule="exact" w:before="0" w:after="2194"/>
        <w:ind w:left="210" w:right="720" w:firstLine="0"/>
        <w:jc w:val="left"/>
      </w:pPr>
      <w:r>
        <w:rPr>
          <w:rFonts w:ascii="FZShuSong" w:hAnsi="FZShuSong" w:eastAsia="FZShuSong"/>
          <w:b w:val="0"/>
          <w:i w:val="0"/>
          <w:color w:val="000000"/>
          <w:sz w:val="15"/>
        </w:rPr>
        <w:t>2.3</w:t>
      </w:r>
      <w:r>
        <w:rPr>
          <w:rFonts w:ascii="SimHei" w:hAnsi="SimHei" w:eastAsia="SimHei"/>
          <w:b w:val="0"/>
          <w:i w:val="0"/>
          <w:color w:val="000000"/>
          <w:sz w:val="15"/>
        </w:rPr>
        <w:t xml:space="preserve"> 钢套筒产生位移、脱落风险及预防措施</w:t>
      </w:r>
      <w:r>
        <w:br/>
      </w:r>
      <w:r>
        <w:tab/>
      </w:r>
      <w:r>
        <w:rPr>
          <w:rFonts w:ascii="FZShuSong" w:hAnsi="FZShuSong" w:eastAsia="FZShuSong"/>
          <w:b w:val="0"/>
          <w:i w:val="0"/>
          <w:color w:val="000000"/>
          <w:sz w:val="15"/>
        </w:rPr>
        <w:t>钢套筒在接收过程，钢套筒主要通过反力斜撑平衡盾构机推力及地下水</w:t>
      </w:r>
      <w:r>
        <w:rPr>
          <w:rFonts w:ascii="FZShuSong" w:hAnsi="FZShuSong" w:eastAsia="FZShuSong"/>
          <w:b w:val="0"/>
          <w:i w:val="0"/>
          <w:color w:val="000000"/>
          <w:sz w:val="15"/>
        </w:rPr>
        <w:t>土压力， 钢套筒与接收井的连接点也是受力关键节点。钢套筒安装前，模</w:t>
      </w:r>
      <w:r>
        <w:rPr>
          <w:rFonts w:ascii="FZShuSong" w:hAnsi="FZShuSong" w:eastAsia="FZShuSong"/>
          <w:b w:val="0"/>
          <w:i w:val="0"/>
          <w:color w:val="000000"/>
          <w:sz w:val="15"/>
        </w:rPr>
        <w:t xml:space="preserve">拟计算钢套筒强度及刚度及模拟计算反力架受力及位移情况。 </w:t>
      </w:r>
    </w:p>
    <w:p>
      <w:pPr>
        <w:sectPr>
          <w:type w:val="nextColumn"/>
          <w:pgSz w:w="11906" w:h="16160"/>
          <w:pgMar w:top="214" w:right="0" w:bottom="170" w:left="420" w:header="720" w:footer="720" w:gutter="0"/>
          <w:cols w:num="2" w:equalWidth="0">
            <w:col w:w="5542" w:space="0"/>
            <w:col w:w="5943" w:space="0"/>
          </w:cols>
          <w:docGrid w:linePitch="360"/>
        </w:sectPr>
      </w:pPr>
    </w:p>
    <w:p>
      <w:pPr>
        <w:autoSpaceDN w:val="0"/>
        <w:tabs>
          <w:tab w:pos="680" w:val="left"/>
        </w:tabs>
        <w:autoSpaceDE w:val="0"/>
        <w:widowControl/>
        <w:spacing w:line="216" w:lineRule="exact" w:before="0" w:after="70"/>
        <w:ind w:left="380" w:right="6048" w:firstLine="0"/>
        <w:jc w:val="left"/>
      </w:pPr>
      <w:r>
        <w:tab/>
      </w:r>
      <w:r>
        <w:rPr>
          <w:rFonts w:ascii="FZShuSong" w:hAnsi="FZShuSong" w:eastAsia="FZShuSong"/>
          <w:b w:val="0"/>
          <w:i w:val="0"/>
          <w:color w:val="000000"/>
          <w:sz w:val="15"/>
        </w:rPr>
        <w:t>在钢套筒安装前，复核接收井洞门钢环的中心点。依据洞门钢环的位置，</w:t>
      </w:r>
      <w:r>
        <w:br/>
      </w:r>
      <w:r>
        <w:rPr>
          <w:rFonts w:ascii="FZShuSong" w:hAnsi="FZShuSong" w:eastAsia="FZShuSong"/>
          <w:b w:val="0"/>
          <w:i w:val="0"/>
          <w:color w:val="000000"/>
          <w:sz w:val="15"/>
        </w:rPr>
        <w:t>精确定位并安装钢套筒。钢套筒安装结束后，复核并确保钢套筒与钢环中心</w:t>
      </w:r>
    </w:p>
    <w:tbl>
      <w:tblPr>
        <w:tblW w:type="auto" w:w="0"/>
        <w:tblLayout w:type="fixed"/>
        <w:tblLook w:firstColumn="1" w:firstRow="1" w:lastColumn="0" w:lastRow="0" w:noHBand="0" w:noVBand="1" w:val="04A0"/>
        <w:tblInd w:w="180.0" w:type="dxa"/>
      </w:tblPr>
      <w:tblGrid>
        <w:gridCol w:w="2297"/>
        <w:gridCol w:w="2297"/>
        <w:gridCol w:w="2297"/>
        <w:gridCol w:w="2297"/>
        <w:gridCol w:w="2297"/>
      </w:tblGrid>
      <w:tr>
        <w:trPr>
          <w:trHeight w:hRule="exact" w:val="324"/>
        </w:trPr>
        <w:tc>
          <w:tcPr>
            <w:tcW w:type="dxa" w:w="5820"/>
            <w:tcBorders/>
            <w:tcMar>
              <w:start w:w="0" w:type="dxa"/>
              <w:end w:w="0" w:type="dxa"/>
            </w:tcMar>
          </w:tcPr>
          <w:p>
            <w:pPr>
              <w:autoSpaceDN w:val="0"/>
              <w:autoSpaceDE w:val="0"/>
              <w:widowControl/>
              <w:spacing w:line="150" w:lineRule="exact" w:before="60" w:after="0"/>
              <w:ind w:left="200" w:right="0" w:firstLine="0"/>
              <w:jc w:val="left"/>
            </w:pPr>
            <w:r>
              <w:rPr>
                <w:rFonts w:ascii="FZShuSong" w:hAnsi="FZShuSong" w:eastAsia="FZShuSong"/>
                <w:b w:val="0"/>
                <w:i w:val="0"/>
                <w:color w:val="000000"/>
                <w:sz w:val="15"/>
              </w:rPr>
              <w:t>同轴。在盾构机接收段施工过程中，分别在到达接收井前100 环、前50 环、</w:t>
            </w:r>
          </w:p>
        </w:tc>
        <w:tc>
          <w:tcPr>
            <w:tcW w:type="dxa" w:w="920"/>
            <w:vMerge w:val="restart"/>
            <w:tcBorders/>
            <w:tcMar>
              <w:start w:w="0" w:type="dxa"/>
              <w:end w:w="0" w:type="dxa"/>
            </w:tcMar>
            <w:tcMar>
              <w:start w:w="0" w:type="dxa"/>
              <w:end w:w="0" w:type="dxa"/>
            </w:tcMar>
          </w:tcPr>
          <w:p>
            <w:pPr>
              <w:autoSpaceDN w:val="0"/>
              <w:autoSpaceDE w:val="0"/>
              <w:widowControl/>
              <w:spacing w:line="240" w:lineRule="auto" w:before="164" w:after="0"/>
              <w:ind w:left="0" w:right="240" w:firstLine="0"/>
              <w:jc w:val="right"/>
            </w:pPr>
            <w:r>
              <w:drawing>
                <wp:inline xmlns:a="http://schemas.openxmlformats.org/drawingml/2006/main" xmlns:pic="http://schemas.openxmlformats.org/drawingml/2006/picture">
                  <wp:extent cx="50800" cy="38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800" cy="38100"/>
                          </a:xfrm>
                          <a:prstGeom prst="rect"/>
                        </pic:spPr>
                      </pic:pic>
                    </a:graphicData>
                  </a:graphic>
                </wp:inline>
              </w:drawing>
            </w:r>
          </w:p>
        </w:tc>
        <w:tc>
          <w:tcPr>
            <w:tcW w:type="dxa" w:w="500"/>
            <w:vMerge w:val="restart"/>
            <w:tcBorders/>
            <w:tcMar>
              <w:start w:w="0" w:type="dxa"/>
              <w:end w:w="0" w:type="dxa"/>
            </w:tcMar>
            <w:tcMar>
              <w:start w:w="0" w:type="dxa"/>
              <w:end w:w="0" w:type="dxa"/>
            </w:tcMar>
          </w:tcPr>
          <w:p>
            <w:pPr>
              <w:autoSpaceDN w:val="0"/>
              <w:autoSpaceDE w:val="0"/>
              <w:widowControl/>
              <w:spacing w:line="240" w:lineRule="auto" w:before="284" w:after="0"/>
              <w:ind w:left="0" w:right="180" w:firstLine="0"/>
              <w:jc w:val="right"/>
            </w:pPr>
            <w:r>
              <w:drawing>
                <wp:inline xmlns:a="http://schemas.openxmlformats.org/drawingml/2006/main" xmlns:pic="http://schemas.openxmlformats.org/drawingml/2006/picture">
                  <wp:extent cx="38100" cy="38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100" cy="38100"/>
                          </a:xfrm>
                          <a:prstGeom prst="rect"/>
                        </pic:spPr>
                      </pic:pic>
                    </a:graphicData>
                  </a:graphic>
                </wp:inline>
              </w:drawing>
            </w:r>
          </w:p>
        </w:tc>
        <w:tc>
          <w:tcPr>
            <w:tcW w:type="dxa" w:w="840"/>
            <w:tcBorders/>
            <w:tcMar>
              <w:start w:w="0" w:type="dxa"/>
              <w:end w:w="0" w:type="dxa"/>
            </w:tcMar>
          </w:tcPr>
          <w:p/>
        </w:tc>
        <w:tc>
          <w:tcPr>
            <w:tcW w:type="dxa" w:w="1900"/>
            <w:tcBorders/>
            <w:tcMar>
              <w:start w:w="0" w:type="dxa"/>
              <w:end w:w="0" w:type="dxa"/>
            </w:tcMar>
          </w:tcPr>
          <w:p/>
        </w:tc>
      </w:tr>
      <w:tr>
        <w:trPr>
          <w:trHeight w:hRule="exact" w:val="246"/>
        </w:trPr>
        <w:tc>
          <w:tcPr>
            <w:tcW w:type="dxa" w:w="5820"/>
            <w:tcBorders/>
            <w:tcMar>
              <w:start w:w="0" w:type="dxa"/>
              <w:end w:w="0" w:type="dxa"/>
            </w:tcMar>
          </w:tcPr>
          <w:p>
            <w:pPr>
              <w:autoSpaceDN w:val="0"/>
              <w:autoSpaceDE w:val="0"/>
              <w:widowControl/>
              <w:spacing w:line="152" w:lineRule="exact" w:before="16" w:after="0"/>
              <w:ind w:left="200" w:right="0" w:firstLine="0"/>
              <w:jc w:val="left"/>
            </w:pPr>
            <w:r>
              <w:rPr>
                <w:rFonts w:ascii="FZShuSong" w:hAnsi="FZShuSong" w:eastAsia="FZShuSong"/>
                <w:b w:val="0"/>
                <w:i w:val="0"/>
                <w:color w:val="000000"/>
                <w:sz w:val="15"/>
              </w:rPr>
              <w:t>前30 环位置调整盾构姿态，确保控制点精确无误。盾构机刀盘接触到墙止</w:t>
            </w:r>
          </w:p>
        </w:tc>
        <w:tc>
          <w:tcPr>
            <w:tcW w:type="dxa" w:w="2297"/>
            <w:vMerge/>
            <w:tcBorders/>
          </w:tcPr>
          <w:p/>
        </w:tc>
        <w:tc>
          <w:tcPr>
            <w:tcW w:type="dxa" w:w="2297"/>
            <w:vMerge/>
            <w:tcBorders/>
          </w:tcPr>
          <w:p/>
        </w:tc>
        <w:tc>
          <w:tcPr>
            <w:tcW w:type="dxa" w:w="2740"/>
            <w:gridSpan w:val="2"/>
            <w:tcBorders/>
            <w:tcMar>
              <w:start w:w="0" w:type="dxa"/>
              <w:end w:w="0" w:type="dxa"/>
            </w:tcMar>
            <w:tcMar>
              <w:start w:w="0" w:type="dxa"/>
              <w:end w:w="0" w:type="dxa"/>
            </w:tcMar>
          </w:tcPr>
          <w:p>
            <w:pPr>
              <w:autoSpaceDN w:val="0"/>
              <w:autoSpaceDE w:val="0"/>
              <w:widowControl/>
              <w:spacing w:line="150" w:lineRule="exact" w:before="48" w:after="0"/>
              <w:ind w:left="204" w:right="0" w:firstLine="0"/>
              <w:jc w:val="left"/>
            </w:pPr>
            <w:r>
              <w:rPr>
                <w:rFonts w:ascii="FZShuSong" w:hAnsi="FZShuSong" w:eastAsia="FZShuSong"/>
                <w:b w:val="0"/>
                <w:i w:val="0"/>
                <w:color w:val="000000"/>
                <w:sz w:val="15"/>
              </w:rPr>
              <w:t xml:space="preserve">竖向位移应力云图 </w:t>
            </w:r>
          </w:p>
        </w:tc>
      </w:tr>
    </w:tbl>
    <w:p>
      <w:pPr>
        <w:autoSpaceDN w:val="0"/>
        <w:autoSpaceDE w:val="0"/>
        <w:widowControl/>
        <w:spacing w:line="254" w:lineRule="exact" w:before="0" w:after="0"/>
        <w:ind w:left="380" w:right="6156" w:firstLine="0"/>
        <w:jc w:val="both"/>
      </w:pPr>
      <w:r>
        <w:rPr>
          <w:rFonts w:ascii="FZShuSong" w:hAnsi="FZShuSong" w:eastAsia="FZShuSong"/>
          <w:b w:val="0"/>
          <w:i w:val="0"/>
          <w:color w:val="000000"/>
          <w:sz w:val="15"/>
        </w:rPr>
        <w:t>水帷幕前，调整盾构机自动测量系统，将盾构姿态调整到与洞门钢环中心线</w:t>
      </w:r>
      <w:r>
        <w:br/>
      </w:r>
      <w:r>
        <w:rPr>
          <w:rFonts w:ascii="FZShuSong" w:hAnsi="FZShuSong" w:eastAsia="FZShuSong"/>
          <w:b w:val="0"/>
          <w:i w:val="0"/>
          <w:color w:val="000000"/>
          <w:sz w:val="15"/>
        </w:rPr>
        <w:t>同轴，对隧道轴线进行多次复核，确保轴线准确，保证盾构机安全进入洞门</w:t>
      </w:r>
      <w:r>
        <w:br/>
      </w:r>
      <w:r>
        <w:rPr>
          <w:rFonts w:ascii="FZShuSong" w:hAnsi="FZShuSong" w:eastAsia="FZShuSong"/>
          <w:b w:val="0"/>
          <w:i w:val="0"/>
          <w:color w:val="000000"/>
          <w:sz w:val="15"/>
        </w:rPr>
        <w:t xml:space="preserve">圈。在加固体掘进过程每1 环复核一遍盾构姿态。 </w:t>
      </w:r>
    </w:p>
    <w:p>
      <w:pPr>
        <w:autoSpaceDN w:val="0"/>
        <w:tabs>
          <w:tab w:pos="680" w:val="left"/>
        </w:tabs>
        <w:autoSpaceDE w:val="0"/>
        <w:widowControl/>
        <w:spacing w:line="280" w:lineRule="exact" w:before="0" w:after="46"/>
        <w:ind w:left="380" w:right="6048" w:firstLine="0"/>
        <w:jc w:val="left"/>
      </w:pPr>
      <w:r>
        <w:rPr>
          <w:rFonts w:ascii="FZShuSong" w:hAnsi="FZShuSong" w:eastAsia="FZShuSong"/>
          <w:b w:val="0"/>
          <w:i w:val="0"/>
          <w:color w:val="000000"/>
          <w:sz w:val="15"/>
        </w:rPr>
        <w:t>2.2</w:t>
      </w:r>
      <w:r>
        <w:rPr>
          <w:rFonts w:ascii="SimHei" w:hAnsi="SimHei" w:eastAsia="SimHei"/>
          <w:b w:val="0"/>
          <w:i w:val="0"/>
          <w:color w:val="000000"/>
          <w:sz w:val="15"/>
        </w:rPr>
        <w:t xml:space="preserve"> 洞门失稳风险及预防措施</w:t>
      </w:r>
      <w:r>
        <w:br/>
      </w:r>
      <w:r>
        <w:tab/>
      </w:r>
      <w:r>
        <w:rPr>
          <w:rFonts w:ascii="FZShuSong" w:hAnsi="FZShuSong" w:eastAsia="FZShuSong"/>
          <w:b w:val="0"/>
          <w:i w:val="0"/>
          <w:color w:val="000000"/>
          <w:sz w:val="15"/>
        </w:rPr>
        <w:t>盾构机进洞前，需对接收井围护结构进行破除，破除时易发生洞门失稳</w:t>
      </w:r>
      <w:r>
        <w:br/>
      </w:r>
      <w:r>
        <w:rPr>
          <w:rFonts w:ascii="FZShuSong" w:hAnsi="FZShuSong" w:eastAsia="FZShuSong"/>
          <w:b w:val="0"/>
          <w:i w:val="0"/>
          <w:color w:val="000000"/>
          <w:sz w:val="15"/>
        </w:rPr>
        <w:t>坍塌的风险。接收井加固采用6 米宽三轴搅拌桩加固，为保证加固质量，加</w:t>
      </w:r>
      <w:r>
        <w:br/>
      </w:r>
      <w:r>
        <w:rPr>
          <w:rFonts w:ascii="FZShuSong" w:hAnsi="FZShuSong" w:eastAsia="FZShuSong"/>
          <w:b w:val="0"/>
          <w:i w:val="0"/>
          <w:color w:val="000000"/>
          <w:sz w:val="15"/>
        </w:rPr>
        <w:t>固体宜采用“双控全套打复搅式”加固方式。加固体外，设置一道三轴搅拌</w:t>
      </w:r>
      <w:r>
        <w:br/>
      </w:r>
      <w:r>
        <w:rPr>
          <w:rFonts w:ascii="FZShuSong" w:hAnsi="FZShuSong" w:eastAsia="FZShuSong"/>
          <w:b w:val="0"/>
          <w:i w:val="0"/>
          <w:color w:val="000000"/>
          <w:sz w:val="15"/>
        </w:rPr>
        <w:t>桩止水帷幕，以封闭加固体。加固体与接收工作井之间的空隙，采用旋喷桩</w:t>
      </w:r>
      <w:r>
        <w:br/>
      </w:r>
      <w:r>
        <w:rPr>
          <w:rFonts w:ascii="FZShuSong" w:hAnsi="FZShuSong" w:eastAsia="FZShuSong"/>
          <w:b w:val="0"/>
          <w:i w:val="0"/>
          <w:color w:val="000000"/>
          <w:sz w:val="15"/>
        </w:rPr>
        <w:t>施工填充。在止水帷幕内采取疏干井点降水，确保洞门破除时水位降至洞门</w:t>
      </w:r>
      <w:r>
        <w:br/>
      </w:r>
      <w:r>
        <w:rPr>
          <w:rFonts w:ascii="FZShuSong" w:hAnsi="FZShuSong" w:eastAsia="FZShuSong"/>
          <w:b w:val="0"/>
          <w:i w:val="0"/>
          <w:color w:val="000000"/>
          <w:sz w:val="15"/>
        </w:rPr>
        <w:t xml:space="preserve">中心线下1 米。 </w:t>
      </w:r>
    </w:p>
    <w:tbl>
      <w:tblPr>
        <w:tblW w:type="auto" w:w="0"/>
        <w:tblLayout w:type="fixed"/>
        <w:tblLook w:firstColumn="1" w:firstRow="1" w:lastColumn="0" w:lastRow="0" w:noHBand="0" w:noVBand="1" w:val="04A0"/>
        <w:tblInd w:w="0.0" w:type="dxa"/>
      </w:tblPr>
      <w:tblGrid>
        <w:gridCol w:w="1276"/>
        <w:gridCol w:w="1276"/>
        <w:gridCol w:w="1276"/>
        <w:gridCol w:w="1276"/>
        <w:gridCol w:w="1276"/>
        <w:gridCol w:w="1276"/>
        <w:gridCol w:w="1276"/>
        <w:gridCol w:w="1276"/>
        <w:gridCol w:w="1276"/>
      </w:tblGrid>
      <w:tr>
        <w:trPr>
          <w:trHeight w:hRule="exact" w:val="248"/>
        </w:trPr>
        <w:tc>
          <w:tcPr>
            <w:tcW w:type="dxa" w:w="6140"/>
            <w:gridSpan w:val="2"/>
            <w:tcBorders/>
            <w:tcMar>
              <w:start w:w="0" w:type="dxa"/>
              <w:end w:w="0" w:type="dxa"/>
            </w:tcMar>
            <w:tcMar>
              <w:start w:w="0" w:type="dxa"/>
              <w:end w:w="0" w:type="dxa"/>
            </w:tcMar>
          </w:tcPr>
          <w:p>
            <w:pPr>
              <w:autoSpaceDN w:val="0"/>
              <w:autoSpaceDE w:val="0"/>
              <w:widowControl/>
              <w:spacing w:line="150" w:lineRule="exact" w:before="84" w:after="0"/>
              <w:ind w:left="680" w:right="0" w:firstLine="0"/>
              <w:jc w:val="left"/>
            </w:pPr>
            <w:r>
              <w:rPr>
                <w:rFonts w:ascii="FZShuSong" w:hAnsi="FZShuSong" w:eastAsia="FZShuSong"/>
                <w:b w:val="0"/>
                <w:i w:val="0"/>
                <w:color w:val="000000"/>
                <w:sz w:val="15"/>
              </w:rPr>
              <w:t>洞门凿除前，采用取芯法，观察加固体情况，取芯深度应超过地下连续</w:t>
            </w:r>
          </w:p>
        </w:tc>
        <w:tc>
          <w:tcPr>
            <w:tcW w:type="dxa" w:w="102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48" w:after="0"/>
              <w:ind w:left="0" w:right="60" w:firstLine="0"/>
              <w:jc w:val="right"/>
            </w:pPr>
            <w:r>
              <w:drawing>
                <wp:inline xmlns:a="http://schemas.openxmlformats.org/drawingml/2006/main" xmlns:pic="http://schemas.openxmlformats.org/drawingml/2006/picture">
                  <wp:extent cx="88900" cy="381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8900" cy="38100"/>
                          </a:xfrm>
                          <a:prstGeom prst="rect"/>
                        </pic:spPr>
                      </pic:pic>
                    </a:graphicData>
                  </a:graphic>
                </wp:inline>
              </w:drawing>
            </w:r>
          </w:p>
        </w:tc>
        <w:tc>
          <w:tcPr>
            <w:tcW w:type="dxa" w:w="660"/>
            <w:tcBorders/>
            <w:tcMar>
              <w:start w:w="0" w:type="dxa"/>
              <w:end w:w="0" w:type="dxa"/>
            </w:tcMar>
          </w:tcPr>
          <w:p>
            <w:pPr>
              <w:autoSpaceDN w:val="0"/>
              <w:autoSpaceDE w:val="0"/>
              <w:widowControl/>
              <w:spacing w:line="240" w:lineRule="auto" w:before="88" w:after="0"/>
              <w:ind w:left="80" w:right="0" w:firstLine="0"/>
              <w:jc w:val="left"/>
            </w:pPr>
            <w:r>
              <w:drawing>
                <wp:inline xmlns:a="http://schemas.openxmlformats.org/drawingml/2006/main" xmlns:pic="http://schemas.openxmlformats.org/drawingml/2006/picture">
                  <wp:extent cx="165100" cy="635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65100" cy="63500"/>
                          </a:xfrm>
                          <a:prstGeom prst="rect"/>
                        </pic:spPr>
                      </pic:pic>
                    </a:graphicData>
                  </a:graphic>
                </wp:inline>
              </w:drawing>
            </w:r>
            <w:r>
              <w:drawing>
                <wp:inline xmlns:a="http://schemas.openxmlformats.org/drawingml/2006/main" xmlns:pic="http://schemas.openxmlformats.org/drawingml/2006/picture">
                  <wp:extent cx="114300" cy="508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4300" cy="50800"/>
                          </a:xfrm>
                          <a:prstGeom prst="rect"/>
                        </pic:spPr>
                      </pic:pic>
                    </a:graphicData>
                  </a:graphic>
                </wp:inline>
              </w:drawing>
            </w:r>
          </w:p>
        </w:tc>
        <w:tc>
          <w:tcPr>
            <w:tcW w:type="dxa" w:w="640"/>
            <w:tcBorders/>
            <w:tcMar>
              <w:start w:w="0" w:type="dxa"/>
              <w:end w:w="0" w:type="dxa"/>
            </w:tcMar>
          </w:tcPr>
          <w:p>
            <w:pPr>
              <w:autoSpaceDN w:val="0"/>
              <w:autoSpaceDE w:val="0"/>
              <w:widowControl/>
              <w:spacing w:line="240" w:lineRule="auto" w:before="108" w:after="0"/>
              <w:ind w:left="0" w:right="100" w:firstLine="0"/>
              <w:jc w:val="right"/>
            </w:pPr>
            <w:r>
              <w:drawing>
                <wp:inline xmlns:a="http://schemas.openxmlformats.org/drawingml/2006/main" xmlns:pic="http://schemas.openxmlformats.org/drawingml/2006/picture">
                  <wp:extent cx="215900" cy="508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15900" cy="50800"/>
                          </a:xfrm>
                          <a:prstGeom prst="rect"/>
                        </pic:spPr>
                      </pic:pic>
                    </a:graphicData>
                  </a:graphic>
                </wp:inline>
              </w:drawing>
            </w:r>
          </w:p>
        </w:tc>
        <w:tc>
          <w:tcPr>
            <w:tcW w:type="dxa" w:w="220"/>
            <w:tcBorders/>
            <w:tcMar>
              <w:start w:w="0" w:type="dxa"/>
              <w:end w:w="0" w:type="dxa"/>
            </w:tcMar>
          </w:tcPr>
          <w:p>
            <w:pPr>
              <w:autoSpaceDN w:val="0"/>
              <w:autoSpaceDE w:val="0"/>
              <w:widowControl/>
              <w:spacing w:line="240" w:lineRule="auto" w:before="48" w:after="0"/>
              <w:ind w:left="0" w:right="20" w:firstLine="0"/>
              <w:jc w:val="right"/>
            </w:pPr>
            <w:r>
              <w:drawing>
                <wp:inline xmlns:a="http://schemas.openxmlformats.org/drawingml/2006/main" xmlns:pic="http://schemas.openxmlformats.org/drawingml/2006/picture">
                  <wp:extent cx="63500" cy="381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500" cy="38100"/>
                          </a:xfrm>
                          <a:prstGeom prst="rect"/>
                        </pic:spPr>
                      </pic:pic>
                    </a:graphicData>
                  </a:graphic>
                </wp:inline>
              </w:drawing>
            </w:r>
          </w:p>
        </w:tc>
        <w:tc>
          <w:tcPr>
            <w:tcW w:type="dxa" w:w="520"/>
            <w:tcBorders/>
            <w:tcMar>
              <w:start w:w="0" w:type="dxa"/>
              <w:end w:w="0" w:type="dxa"/>
            </w:tcMar>
          </w:tcPr>
          <w:p>
            <w:pPr>
              <w:autoSpaceDN w:val="0"/>
              <w:autoSpaceDE w:val="0"/>
              <w:widowControl/>
              <w:spacing w:line="240" w:lineRule="auto" w:before="88" w:after="0"/>
              <w:ind w:left="20" w:right="0" w:firstLine="0"/>
              <w:jc w:val="left"/>
            </w:pPr>
            <w:r>
              <w:drawing>
                <wp:inline xmlns:a="http://schemas.openxmlformats.org/drawingml/2006/main" xmlns:pic="http://schemas.openxmlformats.org/drawingml/2006/picture">
                  <wp:extent cx="241300" cy="635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41300" cy="63500"/>
                          </a:xfrm>
                          <a:prstGeom prst="rect"/>
                        </pic:spPr>
                      </pic:pic>
                    </a:graphicData>
                  </a:graphic>
                </wp:inline>
              </w:drawing>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48" w:after="0"/>
              <w:ind w:left="0" w:right="0" w:firstLine="0"/>
              <w:jc w:val="right"/>
            </w:pPr>
            <w:r>
              <w:drawing>
                <wp:inline xmlns:a="http://schemas.openxmlformats.org/drawingml/2006/main" xmlns:pic="http://schemas.openxmlformats.org/drawingml/2006/picture">
                  <wp:extent cx="38100" cy="381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inline>
              </w:drawing>
            </w:r>
          </w:p>
        </w:tc>
        <w:tc>
          <w:tcPr>
            <w:tcW w:type="dxa" w:w="124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48" w:after="0"/>
              <w:ind w:left="20" w:right="0" w:firstLine="0"/>
              <w:jc w:val="left"/>
            </w:pPr>
            <w:r>
              <w:drawing>
                <wp:inline xmlns:a="http://schemas.openxmlformats.org/drawingml/2006/main" xmlns:pic="http://schemas.openxmlformats.org/drawingml/2006/picture">
                  <wp:extent cx="254000" cy="889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54000" cy="88900"/>
                          </a:xfrm>
                          <a:prstGeom prst="rect"/>
                        </pic:spPr>
                      </pic:pic>
                    </a:graphicData>
                  </a:graphic>
                </wp:inline>
              </w:drawing>
            </w:r>
          </w:p>
        </w:tc>
      </w:tr>
      <w:tr>
        <w:trPr>
          <w:trHeight w:hRule="exact" w:val="400"/>
        </w:trPr>
        <w:tc>
          <w:tcPr>
            <w:tcW w:type="dxa" w:w="6140"/>
            <w:gridSpan w:val="2"/>
            <w:tcBorders/>
            <w:tcMar>
              <w:start w:w="0" w:type="dxa"/>
              <w:end w:w="0" w:type="dxa"/>
            </w:tcMar>
            <w:tcMar>
              <w:start w:w="0" w:type="dxa"/>
              <w:end w:w="0" w:type="dxa"/>
            </w:tcMar>
          </w:tcPr>
          <w:p>
            <w:pPr>
              <w:autoSpaceDN w:val="0"/>
              <w:autoSpaceDE w:val="0"/>
              <w:widowControl/>
              <w:spacing w:line="152" w:lineRule="exact" w:before="116" w:after="0"/>
              <w:ind w:left="380" w:right="0" w:firstLine="0"/>
              <w:jc w:val="left"/>
            </w:pPr>
            <w:r>
              <w:rPr>
                <w:rFonts w:ascii="FZShuSong" w:hAnsi="FZShuSong" w:eastAsia="FZShuSong"/>
                <w:b w:val="0"/>
                <w:i w:val="0"/>
                <w:color w:val="000000"/>
                <w:sz w:val="15"/>
              </w:rPr>
              <w:t>墙，深入加固体内不小于1m。通过芯样可观察出加固体是否满足施工安全需</w:t>
            </w:r>
          </w:p>
        </w:tc>
        <w:tc>
          <w:tcPr>
            <w:tcW w:type="dxa" w:w="1276"/>
            <w:vMerge/>
            <w:tcBorders/>
          </w:tcPr>
          <w:p/>
        </w:tc>
        <w:tc>
          <w:tcPr>
            <w:tcW w:type="dxa" w:w="20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0" w:lineRule="exact" w:before="16" w:after="0"/>
              <w:ind w:left="464" w:right="0" w:firstLine="0"/>
              <w:jc w:val="left"/>
            </w:pPr>
            <w:r>
              <w:rPr>
                <w:rFonts w:ascii="FZShuSong" w:hAnsi="FZShuSong" w:eastAsia="FZShuSong"/>
                <w:b w:val="0"/>
                <w:i w:val="0"/>
                <w:color w:val="000000"/>
                <w:sz w:val="15"/>
              </w:rPr>
              <w:t xml:space="preserve">横向位移应力云图 </w:t>
            </w:r>
          </w:p>
        </w:tc>
        <w:tc>
          <w:tcPr>
            <w:tcW w:type="dxa" w:w="1276"/>
            <w:vMerge/>
            <w:tcBorders/>
          </w:tcPr>
          <w:p/>
        </w:tc>
        <w:tc>
          <w:tcPr>
            <w:tcW w:type="dxa" w:w="1276"/>
            <w:vMerge/>
            <w:tcBorders/>
          </w:tcPr>
          <w:p/>
        </w:tc>
      </w:tr>
      <w:tr>
        <w:trPr>
          <w:trHeight w:hRule="exact" w:val="400"/>
        </w:trPr>
        <w:tc>
          <w:tcPr>
            <w:tcW w:type="dxa" w:w="1080"/>
            <w:tcBorders/>
            <w:tcMar>
              <w:start w:w="0" w:type="dxa"/>
              <w:end w:w="0" w:type="dxa"/>
            </w:tcMar>
          </w:tcPr>
          <w:p>
            <w:pPr>
              <w:autoSpaceDN w:val="0"/>
              <w:autoSpaceDE w:val="0"/>
              <w:widowControl/>
              <w:spacing w:line="240" w:lineRule="auto" w:before="140" w:after="0"/>
              <w:ind w:left="0" w:right="0" w:firstLine="0"/>
              <w:jc w:val="left"/>
            </w:pPr>
            <w:r>
              <w:drawing>
                <wp:inline xmlns:a="http://schemas.openxmlformats.org/drawingml/2006/main" xmlns:pic="http://schemas.openxmlformats.org/drawingml/2006/picture">
                  <wp:extent cx="584200" cy="1651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4200" cy="165100"/>
                          </a:xfrm>
                          <a:prstGeom prst="rect"/>
                        </pic:spPr>
                      </pic:pic>
                    </a:graphicData>
                  </a:graphic>
                </wp:inline>
              </w:drawing>
            </w:r>
          </w:p>
        </w:tc>
        <w:tc>
          <w:tcPr>
            <w:tcW w:type="dxa" w:w="5060"/>
            <w:tcBorders/>
            <w:tcMar>
              <w:start w:w="0" w:type="dxa"/>
              <w:end w:w="0" w:type="dxa"/>
            </w:tcMar>
          </w:tcPr>
          <w:p>
            <w:pPr>
              <w:autoSpaceDN w:val="0"/>
              <w:autoSpaceDE w:val="0"/>
              <w:widowControl/>
              <w:spacing w:line="240" w:lineRule="auto" w:before="180" w:after="0"/>
              <w:ind w:left="160" w:right="0" w:firstLine="0"/>
              <w:jc w:val="left"/>
            </w:pPr>
            <w:r>
              <w:drawing>
                <wp:inline xmlns:a="http://schemas.openxmlformats.org/drawingml/2006/main" xmlns:pic="http://schemas.openxmlformats.org/drawingml/2006/picture">
                  <wp:extent cx="1371600" cy="1524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371600" cy="152400"/>
                          </a:xfrm>
                          <a:prstGeom prst="rect"/>
                        </pic:spPr>
                      </pic:pic>
                    </a:graphicData>
                  </a:graphic>
                </wp:inline>
              </w:drawing>
            </w:r>
          </w:p>
        </w:tc>
        <w:tc>
          <w:tcPr>
            <w:tcW w:type="dxa" w:w="1276"/>
            <w:vMerge/>
            <w:tcBorders/>
          </w:tcPr>
          <w:p/>
        </w:tc>
        <w:tc>
          <w:tcPr>
            <w:tcW w:type="dxa" w:w="5104"/>
            <w:gridSpan w:val="4"/>
            <w:vMerge/>
            <w:tcBorders/>
          </w:tcPr>
          <w:p/>
        </w:tc>
        <w:tc>
          <w:tcPr>
            <w:tcW w:type="dxa" w:w="1276"/>
            <w:vMerge/>
            <w:tcBorders/>
          </w:tcPr>
          <w:p/>
        </w:tc>
        <w:tc>
          <w:tcPr>
            <w:tcW w:type="dxa" w:w="1276"/>
            <w:vMerge/>
            <w:tcBorders/>
          </w:tcPr>
          <w:p/>
        </w:tc>
      </w:tr>
    </w:tbl>
    <w:p>
      <w:pPr>
        <w:autoSpaceDN w:val="0"/>
        <w:autoSpaceDE w:val="0"/>
        <w:widowControl/>
        <w:spacing w:line="14" w:lineRule="exact" w:before="0" w:after="0"/>
        <w:ind w:left="0" w:right="0"/>
      </w:pPr>
    </w:p>
    <w:p>
      <w:pPr>
        <w:sectPr>
          <w:type w:val="continuous"/>
          <w:pgSz w:w="11906" w:h="16160"/>
          <w:pgMar w:top="214" w:right="0" w:bottom="170" w:left="420" w:header="720" w:footer="720" w:gutter="0"/>
          <w:cols/>
          <w:docGrid w:linePitch="360"/>
        </w:sectPr>
      </w:pPr>
    </w:p>
    <w:p>
      <w:pPr>
        <w:autoSpaceDN w:val="0"/>
        <w:autoSpaceDE w:val="0"/>
        <w:widowControl/>
        <w:spacing w:line="214"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753110</wp:posOffset>
            </wp:positionH>
            <wp:positionV relativeFrom="page">
              <wp:posOffset>866140</wp:posOffset>
            </wp:positionV>
            <wp:extent cx="2649219" cy="1978715"/>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649219" cy="197871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2717800</wp:posOffset>
            </wp:positionV>
            <wp:extent cx="381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939800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800100</wp:posOffset>
            </wp:positionH>
            <wp:positionV relativeFrom="page">
              <wp:posOffset>939800</wp:posOffset>
            </wp:positionV>
            <wp:extent cx="508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914400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889000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1066800</wp:posOffset>
            </wp:positionH>
            <wp:positionV relativeFrom="page">
              <wp:posOffset>1193800</wp:posOffset>
            </wp:positionV>
            <wp:extent cx="139700" cy="508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1041400</wp:posOffset>
            </wp:positionV>
            <wp:extent cx="304800" cy="1143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04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838200</wp:posOffset>
            </wp:positionH>
            <wp:positionV relativeFrom="page">
              <wp:posOffset>1028700</wp:posOffset>
            </wp:positionV>
            <wp:extent cx="330200" cy="3810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30200" cy="381000"/>
                    </a:xfrm>
                    <a:prstGeom prst="rect"/>
                  </pic:spPr>
                </pic:pic>
              </a:graphicData>
            </a:graphic>
          </wp:anchor>
        </w:drawing>
      </w:r>
    </w:p>
    <w:p>
      <w:pPr>
        <w:autoSpaceDN w:val="0"/>
        <w:autoSpaceDE w:val="0"/>
        <w:widowControl/>
        <w:spacing w:line="236" w:lineRule="exact" w:before="0" w:after="0"/>
        <w:ind w:left="402" w:right="0" w:firstLine="0"/>
        <w:jc w:val="left"/>
      </w:pPr>
      <w:r>
        <w:rPr>
          <w:rFonts w:ascii="Arial" w:hAnsi="Arial" w:eastAsia="Arial"/>
          <w:b w:val="0"/>
          <w:i w:val="0"/>
          <w:color w:val="000000"/>
          <w:sz w:val="21"/>
        </w:rPr>
        <w:t xml:space="preserve">116 </w:t>
      </w:r>
      <w:r>
        <w:rPr>
          <w:rFonts w:ascii="SimHei" w:hAnsi="SimHei" w:eastAsia="SimHei"/>
          <w:b w:val="0"/>
          <w:i w:val="0"/>
          <w:color w:val="000000"/>
          <w:sz w:val="26"/>
        </w:rPr>
        <w:t>工程施工</w:t>
      </w:r>
      <w:r>
        <w:rPr>
          <w:rFonts w:ascii="Arial" w:hAnsi="Arial" w:eastAsia="Arial"/>
          <w:b w:val="0"/>
          <w:i w:val="0"/>
          <w:color w:val="000000"/>
          <w:sz w:val="26"/>
        </w:rPr>
        <w:t xml:space="preserve"> Engineering constructionn</w:t>
      </w:r>
    </w:p>
    <w:p>
      <w:pPr>
        <w:autoSpaceDN w:val="0"/>
        <w:autoSpaceDE w:val="0"/>
        <w:widowControl/>
        <w:spacing w:line="152" w:lineRule="exact" w:before="746" w:after="0"/>
        <w:ind w:left="0" w:right="2006" w:firstLine="0"/>
        <w:jc w:val="right"/>
      </w:pPr>
      <w:r>
        <w:rPr>
          <w:rFonts w:ascii="FZShuSong" w:hAnsi="FZShuSong" w:eastAsia="FZShuSong"/>
          <w:b w:val="0"/>
          <w:i w:val="0"/>
          <w:color w:val="000000"/>
          <w:sz w:val="15"/>
        </w:rPr>
        <w:t xml:space="preserve">止免盾尾渗漏，压注量应控制在60-80kg/环。 </w:t>
      </w:r>
    </w:p>
    <w:p>
      <w:pPr>
        <w:autoSpaceDN w:val="0"/>
        <w:autoSpaceDE w:val="0"/>
        <w:widowControl/>
        <w:spacing w:line="288" w:lineRule="exact" w:before="0" w:after="0"/>
        <w:ind w:left="6472" w:right="0" w:firstLine="0"/>
        <w:jc w:val="left"/>
      </w:pPr>
      <w:r>
        <w:rPr>
          <w:rFonts w:ascii="FZShuSong" w:hAnsi="FZShuSong" w:eastAsia="FZShuSong"/>
          <w:b w:val="0"/>
          <w:i w:val="0"/>
          <w:color w:val="000000"/>
          <w:sz w:val="15"/>
        </w:rPr>
        <w:t xml:space="preserve">（2）盾构机加固体段的推进施工 </w:t>
      </w:r>
      <w:r>
        <w:br/>
      </w:r>
      <w:r>
        <w:rPr>
          <w:rFonts w:ascii="FZShuSong" w:hAnsi="FZShuSong" w:eastAsia="FZShuSong"/>
          <w:b w:val="0"/>
          <w:i w:val="0"/>
          <w:color w:val="000000"/>
          <w:sz w:val="15"/>
        </w:rPr>
        <w:t xml:space="preserve">①盾构机自在推进至加固前，停机检查，以保证盾构机后期的工作状态。 </w:t>
      </w:r>
    </w:p>
    <w:p>
      <w:pPr>
        <w:autoSpaceDN w:val="0"/>
        <w:autoSpaceDE w:val="0"/>
        <w:widowControl/>
        <w:spacing w:line="288" w:lineRule="exact" w:before="0" w:after="0"/>
        <w:ind w:left="6172" w:right="0" w:firstLine="300"/>
        <w:jc w:val="left"/>
      </w:pPr>
      <w:r>
        <w:rPr>
          <w:rFonts w:ascii="FZShuSong" w:hAnsi="FZShuSong" w:eastAsia="FZShuSong"/>
          <w:b w:val="0"/>
          <w:i w:val="0"/>
          <w:color w:val="000000"/>
          <w:sz w:val="15"/>
        </w:rPr>
        <w:t>②在加固体推进过程中为防止进刀量过大导致同步注浆液分布不均，法</w:t>
      </w:r>
      <w:r>
        <w:br/>
      </w:r>
      <w:r>
        <w:rPr>
          <w:rFonts w:ascii="FZShuSong" w:hAnsi="FZShuSong" w:eastAsia="FZShuSong"/>
          <w:b w:val="0"/>
          <w:i w:val="0"/>
          <w:color w:val="000000"/>
          <w:sz w:val="15"/>
        </w:rPr>
        <w:t>形成封闭环，需严格控制盾构机推进速度和总推力，推进速度在1～2cm/mini，</w:t>
      </w:r>
      <w:r>
        <w:br/>
      </w:r>
      <w:r>
        <w:rPr>
          <w:rFonts w:ascii="FZShuSong" w:hAnsi="FZShuSong" w:eastAsia="FZShuSong"/>
          <w:b w:val="0"/>
          <w:i w:val="0"/>
          <w:color w:val="000000"/>
          <w:sz w:val="15"/>
        </w:rPr>
        <w:t xml:space="preserve">推力&lt;8000KN，控制刀盘扭矩＜2000KN.m。 </w:t>
      </w:r>
    </w:p>
    <w:p>
      <w:pPr>
        <w:autoSpaceDN w:val="0"/>
        <w:autoSpaceDE w:val="0"/>
        <w:widowControl/>
        <w:spacing w:line="152" w:lineRule="exact" w:before="136" w:after="0"/>
        <w:ind w:left="0" w:right="956" w:firstLine="0"/>
        <w:jc w:val="right"/>
      </w:pPr>
      <w:r>
        <w:rPr>
          <w:rFonts w:ascii="FZShuSong" w:hAnsi="FZShuSong" w:eastAsia="FZShuSong"/>
          <w:b w:val="0"/>
          <w:i w:val="0"/>
          <w:color w:val="000000"/>
          <w:sz w:val="15"/>
        </w:rPr>
        <w:t xml:space="preserve">③在土仓内及刀盘采用前加注膨润土浆液进行改良土体。 </w:t>
      </w:r>
    </w:p>
    <w:p>
      <w:pPr>
        <w:autoSpaceDN w:val="0"/>
        <w:tabs>
          <w:tab w:pos="6472" w:val="left"/>
        </w:tabs>
        <w:autoSpaceDE w:val="0"/>
        <w:widowControl/>
        <w:spacing w:line="288" w:lineRule="exact" w:before="0" w:after="0"/>
        <w:ind w:left="6172" w:right="0" w:firstLine="0"/>
        <w:jc w:val="left"/>
      </w:pPr>
      <w:r>
        <w:tab/>
      </w:r>
      <w:r>
        <w:rPr>
          <w:rFonts w:ascii="FZShuSong" w:hAnsi="FZShuSong" w:eastAsia="FZShuSong"/>
          <w:b w:val="0"/>
          <w:i w:val="0"/>
          <w:color w:val="000000"/>
          <w:sz w:val="15"/>
        </w:rPr>
        <w:t>④盾构机推进过程中，严格控制盾构姿态，水平、垂直姿态偏差控制在</w:t>
      </w:r>
      <w:r>
        <w:br/>
      </w:r>
      <w:r>
        <w:rPr>
          <w:rFonts w:ascii="FZShuSong" w:hAnsi="FZShuSong" w:eastAsia="FZShuSong"/>
          <w:b w:val="0"/>
          <w:i w:val="0"/>
          <w:color w:val="000000"/>
          <w:sz w:val="15"/>
        </w:rPr>
        <w:t xml:space="preserve">±10mm 以内。 </w:t>
      </w:r>
    </w:p>
    <w:p>
      <w:pPr>
        <w:autoSpaceDN w:val="0"/>
        <w:autoSpaceDE w:val="0"/>
        <w:widowControl/>
        <w:spacing w:line="152" w:lineRule="exact" w:before="136" w:after="0"/>
        <w:ind w:left="0" w:right="98" w:firstLine="0"/>
        <w:jc w:val="right"/>
      </w:pPr>
      <w:r>
        <w:rPr>
          <w:rFonts w:ascii="FZShuSong" w:hAnsi="FZShuSong" w:eastAsia="FZShuSong"/>
          <w:b w:val="0"/>
          <w:i w:val="0"/>
          <w:color w:val="000000"/>
          <w:sz w:val="15"/>
        </w:rPr>
        <w:t>⑤盾构机推进过程中严格控制盾尾间隙，可通过安装转弯环管片进行调</w:t>
      </w:r>
    </w:p>
    <w:p>
      <w:pPr>
        <w:autoSpaceDN w:val="0"/>
        <w:autoSpaceDE w:val="0"/>
        <w:widowControl/>
        <w:spacing w:line="240" w:lineRule="auto" w:before="94" w:after="0"/>
        <w:ind w:left="2040" w:right="0" w:firstLine="0"/>
        <w:jc w:val="left"/>
      </w:pPr>
      <w:r>
        <w:drawing>
          <wp:inline xmlns:a="http://schemas.openxmlformats.org/drawingml/2006/main" xmlns:pic="http://schemas.openxmlformats.org/drawingml/2006/picture">
            <wp:extent cx="63500" cy="3810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63500" cy="38100"/>
                    </a:xfrm>
                    <a:prstGeom prst="rect"/>
                  </pic:spPr>
                </pic:pic>
              </a:graphicData>
            </a:graphic>
          </wp:inline>
        </w:drawing>
      </w:r>
      <w:r>
        <w:drawing>
          <wp:inline xmlns:a="http://schemas.openxmlformats.org/drawingml/2006/main" xmlns:pic="http://schemas.openxmlformats.org/drawingml/2006/picture">
            <wp:extent cx="114300" cy="5080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14300" cy="50800"/>
                    </a:xfrm>
                    <a:prstGeom prst="rect"/>
                  </pic:spPr>
                </pic:pic>
              </a:graphicData>
            </a:graphic>
          </wp:inline>
        </w:drawing>
      </w:r>
    </w:p>
    <w:p>
      <w:pPr>
        <w:autoSpaceDN w:val="0"/>
        <w:tabs>
          <w:tab w:pos="2280" w:val="left"/>
          <w:tab w:pos="6172" w:val="left"/>
        </w:tabs>
        <w:autoSpaceDE w:val="0"/>
        <w:widowControl/>
        <w:spacing w:line="240" w:lineRule="auto" w:before="0" w:after="82"/>
        <w:ind w:left="2180" w:right="0" w:firstLine="0"/>
        <w:jc w:val="left"/>
      </w:pPr>
      <w:r>
        <w:drawing>
          <wp:inline xmlns:a="http://schemas.openxmlformats.org/drawingml/2006/main" xmlns:pic="http://schemas.openxmlformats.org/drawingml/2006/picture">
            <wp:extent cx="38100" cy="38100"/>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444500" cy="88900"/>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44500" cy="88900"/>
                    </a:xfrm>
                    <a:prstGeom prst="rect"/>
                  </pic:spPr>
                </pic:pic>
              </a:graphicData>
            </a:graphic>
          </wp:inline>
        </w:drawing>
      </w:r>
      <w:r>
        <w:tab/>
      </w:r>
      <w:r>
        <w:rPr>
          <w:rFonts w:ascii="FZShuSong" w:hAnsi="FZShuSong" w:eastAsia="FZShuSong"/>
          <w:b w:val="0"/>
          <w:i w:val="0"/>
          <w:color w:val="000000"/>
          <w:sz w:val="15"/>
        </w:rPr>
        <w:t xml:space="preserve">节盾尾间隙，以确保盾尾间隙均匀。 </w:t>
      </w:r>
    </w:p>
    <w:p>
      <w:pPr>
        <w:sectPr>
          <w:pgSz w:w="11906" w:h="16160"/>
          <w:pgMar w:top="212" w:right="688" w:bottom="170" w:left="0" w:header="720" w:footer="720" w:gutter="0"/>
          <w:cols/>
          <w:docGrid w:linePitch="360"/>
        </w:sectPr>
      </w:pPr>
    </w:p>
    <w:p>
      <w:pPr>
        <w:autoSpaceDN w:val="0"/>
        <w:autoSpaceDE w:val="0"/>
        <w:widowControl/>
        <w:spacing w:line="236" w:lineRule="exact" w:before="0" w:after="0"/>
        <w:ind w:left="1100" w:right="144" w:firstLine="1122"/>
        <w:jc w:val="left"/>
      </w:pPr>
      <w:r>
        <w:rPr>
          <w:rFonts w:ascii="FZShuSong" w:hAnsi="FZShuSong" w:eastAsia="FZShuSong"/>
          <w:b w:val="0"/>
          <w:i w:val="0"/>
          <w:color w:val="000000"/>
          <w:sz w:val="15"/>
        </w:rPr>
        <w:t xml:space="preserve">反力斜撑强度及稳定性计算云图 </w:t>
      </w:r>
      <w:r>
        <w:br/>
      </w:r>
      <w:r>
        <w:rPr>
          <w:rFonts w:ascii="FZShuSong" w:hAnsi="FZShuSong" w:eastAsia="FZShuSong"/>
          <w:b w:val="0"/>
          <w:i w:val="0"/>
          <w:color w:val="000000"/>
          <w:sz w:val="15"/>
        </w:rPr>
        <w:t xml:space="preserve">经过计算，钢套筒最大竖向位移值为1.2mm，最大横向位移值为1.54mm。 </w:t>
      </w:r>
      <w:r>
        <w:rPr>
          <w:rFonts w:ascii="FZShuSong" w:hAnsi="FZShuSong" w:eastAsia="FZShuSong"/>
          <w:b w:val="0"/>
          <w:i w:val="0"/>
          <w:color w:val="000000"/>
          <w:sz w:val="15"/>
        </w:rPr>
        <w:t>反力架为斜撑形式，采用3 道600mm×650mm 型钢立柱及609 钢管斜撑</w:t>
      </w:r>
    </w:p>
    <w:p>
      <w:pPr>
        <w:sectPr>
          <w:type w:val="continuous"/>
          <w:pgSz w:w="11906" w:h="16160"/>
          <w:pgMar w:top="212" w:right="688" w:bottom="170" w:left="0" w:header="720" w:footer="720" w:gutter="0"/>
          <w:cols w:num="2" w:equalWidth="0">
            <w:col w:w="5998" w:space="0"/>
            <w:col w:w="5220" w:space="0"/>
          </w:cols>
          <w:docGrid w:linePitch="360"/>
        </w:sectPr>
      </w:pPr>
    </w:p>
    <w:p>
      <w:pPr>
        <w:autoSpaceDN w:val="0"/>
        <w:autoSpaceDE w:val="0"/>
        <w:widowControl/>
        <w:spacing w:line="242" w:lineRule="exact" w:before="0" w:after="58"/>
        <w:ind w:left="174" w:right="96" w:firstLine="300"/>
        <w:jc w:val="both"/>
      </w:pPr>
      <w:r>
        <w:rPr>
          <w:rFonts w:ascii="FZShuSong" w:hAnsi="FZShuSong" w:eastAsia="FZShuSong"/>
          <w:b w:val="0"/>
          <w:i w:val="0"/>
          <w:color w:val="000000"/>
          <w:sz w:val="15"/>
        </w:rPr>
        <w:t>⑥进过程中加强对盾尾油脂的压注管控，以防止盾尾漏浆。由于此阶段</w:t>
      </w:r>
      <w:r>
        <w:rPr>
          <w:rFonts w:ascii="FZShuSong" w:hAnsi="FZShuSong" w:eastAsia="FZShuSong"/>
          <w:b w:val="0"/>
          <w:i w:val="0"/>
          <w:color w:val="000000"/>
          <w:sz w:val="15"/>
        </w:rPr>
        <w:t>二次注浆位置距离盾尾太近，会造成双液浆击穿盾尾刷和同步注浆排浆孔，</w:t>
      </w:r>
      <w:r>
        <w:rPr>
          <w:rFonts w:ascii="FZShuSong" w:hAnsi="FZShuSong" w:eastAsia="FZShuSong"/>
          <w:b w:val="0"/>
          <w:i w:val="0"/>
          <w:color w:val="000000"/>
          <w:sz w:val="15"/>
        </w:rPr>
        <w:t>阻断同步注浆管道，因此选择在管片脱出盾尾5 环后开始二次注浆，并同时</w:t>
      </w:r>
    </w:p>
    <w:p>
      <w:pPr>
        <w:sectPr>
          <w:type w:val="nextColumn"/>
          <w:pgSz w:w="11906" w:h="16160"/>
          <w:pgMar w:top="212" w:right="688" w:bottom="170" w:left="0" w:header="720" w:footer="720" w:gutter="0"/>
          <w:cols w:num="2" w:equalWidth="0">
            <w:col w:w="5998" w:space="0"/>
            <w:col w:w="5220" w:space="0"/>
          </w:cols>
          <w:docGrid w:linePitch="360"/>
        </w:sectPr>
      </w:pPr>
    </w:p>
    <w:tbl>
      <w:tblPr>
        <w:tblW w:type="auto" w:w="0"/>
        <w:tblLayout w:type="fixed"/>
        <w:tblLook w:firstColumn="1" w:firstRow="1" w:lastColumn="0" w:lastRow="0" w:noHBand="0" w:noVBand="1" w:val="04A0"/>
        <w:tblInd w:w="400.0" w:type="dxa"/>
      </w:tblPr>
      <w:tblGrid>
        <w:gridCol w:w="5609"/>
        <w:gridCol w:w="5609"/>
      </w:tblGrid>
      <w:tr>
        <w:trPr>
          <w:trHeight w:hRule="exact" w:val="210"/>
        </w:trPr>
        <w:tc>
          <w:tcPr>
            <w:tcW w:type="dxa" w:w="5560"/>
            <w:tcBorders/>
            <w:tcMar>
              <w:start w:w="0" w:type="dxa"/>
              <w:end w:w="0" w:type="dxa"/>
            </w:tcMar>
          </w:tcPr>
          <w:p>
            <w:pPr>
              <w:autoSpaceDN w:val="0"/>
              <w:autoSpaceDE w:val="0"/>
              <w:widowControl/>
              <w:spacing w:line="150" w:lineRule="exact" w:before="0" w:after="0"/>
              <w:ind w:left="400" w:right="0" w:firstLine="0"/>
              <w:jc w:val="left"/>
            </w:pPr>
            <w:r>
              <w:rPr>
                <w:rFonts w:ascii="FZShuSong" w:hAnsi="FZShuSong" w:eastAsia="FZShuSong"/>
                <w:b w:val="0"/>
                <w:i w:val="0"/>
                <w:color w:val="000000"/>
                <w:sz w:val="15"/>
              </w:rPr>
              <w:t>组成 。斜撑与车站底板预埋钢板焊接，反力架上均布9 道支撑柱与后端盖</w:t>
            </w:r>
          </w:p>
        </w:tc>
        <w:tc>
          <w:tcPr>
            <w:tcW w:type="dxa" w:w="3120"/>
            <w:tcBorders/>
            <w:tcMar>
              <w:start w:w="0" w:type="dxa"/>
              <w:end w:w="0" w:type="dxa"/>
            </w:tcMar>
          </w:tcPr>
          <w:p>
            <w:pPr>
              <w:autoSpaceDN w:val="0"/>
              <w:autoSpaceDE w:val="0"/>
              <w:widowControl/>
              <w:spacing w:line="152" w:lineRule="exact" w:before="78" w:after="0"/>
              <w:ind w:left="212" w:right="0" w:firstLine="0"/>
              <w:jc w:val="left"/>
            </w:pPr>
            <w:r>
              <w:rPr>
                <w:rFonts w:ascii="FZShuSong" w:hAnsi="FZShuSong" w:eastAsia="FZShuSong"/>
                <w:b w:val="0"/>
                <w:i w:val="0"/>
                <w:color w:val="000000"/>
                <w:sz w:val="15"/>
              </w:rPr>
              <w:t xml:space="preserve">同步注浆。 </w:t>
            </w:r>
          </w:p>
        </w:tc>
      </w:tr>
    </w:tbl>
    <w:p>
      <w:pPr>
        <w:autoSpaceDN w:val="0"/>
        <w:autoSpaceDE w:val="0"/>
        <w:widowControl/>
        <w:spacing w:line="14" w:lineRule="exact" w:before="0" w:after="50"/>
        <w:ind w:left="0" w:right="0"/>
      </w:pPr>
    </w:p>
    <w:p>
      <w:pPr>
        <w:sectPr>
          <w:type w:val="continuous"/>
          <w:pgSz w:w="11906" w:h="16160"/>
          <w:pgMar w:top="212" w:right="688" w:bottom="170" w:left="0" w:header="720" w:footer="720" w:gutter="0"/>
          <w:cols/>
          <w:docGrid w:linePitch="360"/>
        </w:sectPr>
      </w:pPr>
    </w:p>
    <w:p>
      <w:pPr>
        <w:autoSpaceDN w:val="0"/>
        <w:autoSpaceDE w:val="0"/>
        <w:widowControl/>
        <w:spacing w:line="216" w:lineRule="exact" w:before="0" w:after="0"/>
        <w:ind w:left="800" w:right="144" w:firstLine="0"/>
        <w:jc w:val="left"/>
      </w:pPr>
      <w:r>
        <w:rPr>
          <w:rFonts w:ascii="FZShuSong" w:hAnsi="FZShuSong" w:eastAsia="FZShuSong"/>
          <w:b w:val="0"/>
          <w:i w:val="0"/>
          <w:color w:val="000000"/>
          <w:sz w:val="15"/>
        </w:rPr>
        <w:t>板顶紧，反力架与支撑柱之间用支撑楔块垫实并焊接[2]。经过模拟计算反力</w:t>
      </w:r>
      <w:r>
        <w:rPr>
          <w:rFonts w:ascii="FZShuSong" w:hAnsi="FZShuSong" w:eastAsia="FZShuSong"/>
          <w:b w:val="0"/>
          <w:i w:val="0"/>
          <w:color w:val="000000"/>
          <w:sz w:val="15"/>
        </w:rPr>
        <w:t xml:space="preserve">架横向最大位移量为2.8mm。 </w:t>
      </w:r>
    </w:p>
    <w:p>
      <w:pPr>
        <w:autoSpaceDN w:val="0"/>
        <w:tabs>
          <w:tab w:pos="1100" w:val="left"/>
        </w:tabs>
        <w:autoSpaceDE w:val="0"/>
        <w:widowControl/>
        <w:spacing w:line="274" w:lineRule="exact" w:before="0" w:after="0"/>
        <w:ind w:left="800" w:right="144" w:firstLine="0"/>
        <w:jc w:val="left"/>
      </w:pPr>
      <w:r>
        <w:tab/>
      </w:r>
      <w:r>
        <w:rPr>
          <w:rFonts w:ascii="FZShuSong" w:hAnsi="FZShuSong" w:eastAsia="FZShuSong"/>
          <w:b w:val="0"/>
          <w:i w:val="0"/>
          <w:color w:val="000000"/>
          <w:sz w:val="15"/>
        </w:rPr>
        <w:t>洞门环板与钢套筒之间过渡过渡连接板连接，连接板厚2cm。连接板与</w:t>
      </w:r>
      <w:r>
        <w:rPr>
          <w:rFonts w:ascii="FZShuSong" w:hAnsi="FZShuSong" w:eastAsia="FZShuSong"/>
          <w:b w:val="0"/>
          <w:i w:val="0"/>
          <w:color w:val="000000"/>
          <w:sz w:val="15"/>
        </w:rPr>
        <w:t>洞门钢环焊接，与钢套筒螺栓连接。过渡连接板与洞门环板采用焊接是防止</w:t>
      </w:r>
      <w:r>
        <w:rPr>
          <w:rFonts w:ascii="FZShuSong" w:hAnsi="FZShuSong" w:eastAsia="FZShuSong"/>
          <w:b w:val="0"/>
          <w:i w:val="0"/>
          <w:color w:val="000000"/>
          <w:sz w:val="15"/>
        </w:rPr>
        <w:t>钢套筒脱落的关键点。端头处土体已进行了加固处理，具有较强的自立性，</w:t>
      </w:r>
      <w:r>
        <w:rPr>
          <w:rFonts w:ascii="FZShuSong" w:hAnsi="FZShuSong" w:eastAsia="FZShuSong"/>
          <w:b w:val="0"/>
          <w:i w:val="0"/>
          <w:color w:val="000000"/>
          <w:sz w:val="15"/>
        </w:rPr>
        <w:t>现不考虑土压力，现按照最大水压力验算焊缝受力，洞门底部最大水位深度</w:t>
      </w:r>
      <w:r>
        <w:rPr>
          <w:rFonts w:ascii="FZShuSong" w:hAnsi="FZShuSong" w:eastAsia="FZShuSong"/>
          <w:b w:val="0"/>
          <w:i w:val="0"/>
          <w:color w:val="000000"/>
          <w:sz w:val="15"/>
        </w:rPr>
        <w:t xml:space="preserve">约为14m，则底部受最大水压力σw=q×γh </w:t>
      </w:r>
      <w:r>
        <w:br/>
      </w:r>
      <w:r>
        <w:tab/>
      </w:r>
      <w:r>
        <w:rPr>
          <w:rFonts w:ascii="FZShuSong" w:hAnsi="FZShuSong" w:eastAsia="FZShuSong"/>
          <w:b w:val="0"/>
          <w:i w:val="0"/>
          <w:color w:val="000000"/>
          <w:sz w:val="15"/>
        </w:rPr>
        <w:t>q－根据土的渗透系数确定的一个经验数值。砂性土中q＝0.8～1.0，粘</w:t>
      </w:r>
      <w:r>
        <w:rPr>
          <w:rFonts w:ascii="FZShuSong" w:hAnsi="FZShuSong" w:eastAsia="FZShuSong"/>
          <w:b w:val="0"/>
          <w:i w:val="0"/>
          <w:color w:val="000000"/>
          <w:sz w:val="15"/>
        </w:rPr>
        <w:t xml:space="preserve">性土中q＝0.3～0.5，洞门为砂性土，q 取0.9。 </w:t>
      </w:r>
    </w:p>
    <w:p>
      <w:pPr>
        <w:sectPr>
          <w:type w:val="continuous"/>
          <w:pgSz w:w="11906" w:h="16160"/>
          <w:pgMar w:top="212" w:right="688" w:bottom="170" w:left="0" w:header="720" w:footer="720" w:gutter="0"/>
          <w:cols w:num="2" w:equalWidth="0">
            <w:col w:w="5962" w:space="0"/>
            <w:col w:w="5255" w:space="0"/>
          </w:cols>
          <w:docGrid w:linePitch="360"/>
        </w:sectPr>
      </w:pPr>
    </w:p>
    <w:p>
      <w:pPr>
        <w:autoSpaceDN w:val="0"/>
        <w:autoSpaceDE w:val="0"/>
        <w:widowControl/>
        <w:spacing w:line="254" w:lineRule="exact" w:before="0" w:after="0"/>
        <w:ind w:left="210" w:right="98" w:firstLine="300"/>
        <w:jc w:val="both"/>
      </w:pPr>
      <w:r>
        <w:rPr>
          <w:rFonts w:ascii="FZShuSong" w:hAnsi="FZShuSong" w:eastAsia="FZShuSong"/>
          <w:b w:val="0"/>
          <w:i w:val="0"/>
          <w:color w:val="000000"/>
          <w:sz w:val="15"/>
        </w:rPr>
        <w:t>⑦此阶段重点监控使用管片质量，管片破损严重时不得使用，如有掉角</w:t>
      </w:r>
      <w:r>
        <w:rPr>
          <w:rFonts w:ascii="FZShuSong" w:hAnsi="FZShuSong" w:eastAsia="FZShuSong"/>
          <w:b w:val="0"/>
          <w:i w:val="0"/>
          <w:color w:val="000000"/>
          <w:sz w:val="15"/>
        </w:rPr>
        <w:t>缺损情况不得使用。螺栓紧固严格分三步进行：在管片拼装完成后实施第一</w:t>
      </w:r>
      <w:r>
        <w:rPr>
          <w:rFonts w:ascii="FZShuSong" w:hAnsi="FZShuSong" w:eastAsia="FZShuSong"/>
          <w:b w:val="0"/>
          <w:i w:val="0"/>
          <w:color w:val="000000"/>
          <w:sz w:val="15"/>
        </w:rPr>
        <w:t>遍紧固；推进到管片脱出盾尾后第二次紧固当前环至向后10 环；管片越过</w:t>
      </w:r>
      <w:r>
        <w:rPr>
          <w:rFonts w:ascii="FZShuSong" w:hAnsi="FZShuSong" w:eastAsia="FZShuSong"/>
          <w:b w:val="0"/>
          <w:i w:val="0"/>
          <w:color w:val="000000"/>
          <w:sz w:val="15"/>
        </w:rPr>
        <w:t xml:space="preserve">操作室进入后备台车后，进行第三遍紧固。 </w:t>
      </w:r>
    </w:p>
    <w:p>
      <w:pPr>
        <w:autoSpaceDN w:val="0"/>
        <w:autoSpaceDE w:val="0"/>
        <w:widowControl/>
        <w:spacing w:line="152" w:lineRule="exact" w:before="136" w:after="0"/>
        <w:ind w:left="510" w:right="0" w:firstLine="0"/>
        <w:jc w:val="left"/>
      </w:pPr>
      <w:r>
        <w:rPr>
          <w:rFonts w:ascii="FZShuSong" w:hAnsi="FZShuSong" w:eastAsia="FZShuSong"/>
          <w:b w:val="0"/>
          <w:i w:val="0"/>
          <w:color w:val="000000"/>
          <w:sz w:val="15"/>
        </w:rPr>
        <w:t xml:space="preserve">盾构机刀盘推进至地墙边时停机，开始进行地墙破除等接收工作。 </w:t>
      </w:r>
    </w:p>
    <w:p>
      <w:pPr>
        <w:autoSpaceDN w:val="0"/>
        <w:tabs>
          <w:tab w:pos="510" w:val="left"/>
        </w:tabs>
        <w:autoSpaceDE w:val="0"/>
        <w:widowControl/>
        <w:spacing w:line="288" w:lineRule="exact" w:before="0" w:after="136"/>
        <w:ind w:left="210" w:right="0" w:firstLine="0"/>
        <w:jc w:val="left"/>
      </w:pPr>
      <w:r>
        <w:tab/>
      </w:r>
      <w:r>
        <w:rPr>
          <w:rFonts w:ascii="FZShuSong" w:hAnsi="FZShuSong" w:eastAsia="FZShuSong"/>
          <w:b w:val="0"/>
          <w:i w:val="0"/>
          <w:color w:val="000000"/>
          <w:sz w:val="15"/>
        </w:rPr>
        <w:t xml:space="preserve">（3）盾构机钢套筒内推进施工 </w:t>
      </w:r>
      <w:r>
        <w:br/>
      </w:r>
      <w:r>
        <w:tab/>
      </w:r>
      <w:r>
        <w:rPr>
          <w:rFonts w:ascii="FZShuSong" w:hAnsi="FZShuSong" w:eastAsia="FZShuSong"/>
          <w:b w:val="0"/>
          <w:i w:val="0"/>
          <w:color w:val="000000"/>
          <w:sz w:val="15"/>
        </w:rPr>
        <w:t>①盾构机推入钢套筒，速度＜10mm/min 以内，刀盘转速控制在</w:t>
      </w:r>
      <w:r>
        <w:rPr>
          <w:rFonts w:ascii="FZShuSong" w:hAnsi="FZShuSong" w:eastAsia="FZShuSong"/>
          <w:b w:val="0"/>
          <w:i w:val="0"/>
          <w:color w:val="000000"/>
          <w:sz w:val="15"/>
        </w:rPr>
        <w:t>0.2~0.3r/min，总推力＜400t，土压逐渐降至0.05~0.08Mpa，同步注浆量减至</w:t>
      </w:r>
    </w:p>
    <w:p>
      <w:pPr>
        <w:sectPr>
          <w:type w:val="nextColumn"/>
          <w:pgSz w:w="11906" w:h="16160"/>
          <w:pgMar w:top="212" w:right="688" w:bottom="170" w:left="0" w:header="720" w:footer="720" w:gutter="0"/>
          <w:cols w:num="2" w:equalWidth="0">
            <w:col w:w="5962" w:space="0"/>
            <w:col w:w="5255" w:space="0"/>
          </w:cols>
          <w:docGrid w:linePitch="360"/>
        </w:sectPr>
      </w:pPr>
    </w:p>
    <w:tbl>
      <w:tblPr>
        <w:tblW w:type="auto" w:w="0"/>
        <w:tblLayout w:type="fixed"/>
        <w:tblLook w:firstColumn="1" w:firstRow="1" w:lastColumn="0" w:lastRow="0" w:noHBand="0" w:noVBand="1" w:val="04A0"/>
        <w:tblInd w:w="540.0" w:type="dxa"/>
      </w:tblPr>
      <w:tblGrid>
        <w:gridCol w:w="935"/>
        <w:gridCol w:w="935"/>
        <w:gridCol w:w="935"/>
        <w:gridCol w:w="935"/>
        <w:gridCol w:w="935"/>
        <w:gridCol w:w="935"/>
        <w:gridCol w:w="935"/>
        <w:gridCol w:w="935"/>
        <w:gridCol w:w="935"/>
        <w:gridCol w:w="935"/>
        <w:gridCol w:w="935"/>
        <w:gridCol w:w="935"/>
      </w:tblGrid>
      <w:tr>
        <w:trPr>
          <w:trHeight w:hRule="exact" w:val="1674"/>
        </w:trPr>
        <w:tc>
          <w:tcPr>
            <w:tcW w:type="dxa" w:w="510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0" w:after="0"/>
              <w:ind w:left="560" w:right="2160" w:firstLine="0"/>
              <w:jc w:val="left"/>
            </w:pPr>
            <w:r>
              <w:rPr>
                <w:rFonts w:ascii="FZShuSong" w:hAnsi="FZShuSong" w:eastAsia="FZShuSong"/>
                <w:b w:val="0"/>
                <w:i w:val="0"/>
                <w:color w:val="000000"/>
                <w:sz w:val="15"/>
              </w:rPr>
              <w:t xml:space="preserve">γ－水的容重 </w:t>
            </w:r>
            <w:r>
              <w:br/>
            </w:r>
            <w:r>
              <w:rPr>
                <w:rFonts w:ascii="FZShuSong" w:hAnsi="FZShuSong" w:eastAsia="FZShuSong"/>
                <w:b w:val="0"/>
                <w:i w:val="0"/>
                <w:color w:val="000000"/>
                <w:sz w:val="15"/>
              </w:rPr>
              <w:t xml:space="preserve">h－地下水位距离洞门底部的高度。 </w:t>
            </w:r>
          </w:p>
          <w:p>
            <w:pPr>
              <w:autoSpaceDN w:val="0"/>
              <w:autoSpaceDE w:val="0"/>
              <w:widowControl/>
              <w:spacing w:line="280" w:lineRule="exact" w:before="0" w:after="0"/>
              <w:ind w:left="560" w:right="432" w:firstLine="0"/>
              <w:jc w:val="left"/>
            </w:pPr>
            <w:r>
              <w:rPr>
                <w:rFonts w:ascii="FZShuSong" w:hAnsi="FZShuSong" w:eastAsia="FZShuSong"/>
                <w:b w:val="0"/>
                <w:i w:val="0"/>
                <w:color w:val="000000"/>
                <w:sz w:val="15"/>
              </w:rPr>
              <w:t xml:space="preserve">则σw=123.48KPa </w:t>
            </w:r>
            <w:r>
              <w:br/>
            </w:r>
            <w:r>
              <w:rPr>
                <w:rFonts w:ascii="FZShuSong" w:hAnsi="FZShuSong" w:eastAsia="FZShuSong"/>
                <w:b w:val="0"/>
                <w:i w:val="0"/>
                <w:color w:val="000000"/>
                <w:sz w:val="15"/>
              </w:rPr>
              <w:t xml:space="preserve">单块弧形钢板受力面积S 约为0.125m2，则钢板受水平压力为 </w:t>
            </w:r>
            <w:r>
              <w:rPr>
                <w:rFonts w:ascii="FZShuSong" w:hAnsi="FZShuSong" w:eastAsia="FZShuSong"/>
                <w:b w:val="0"/>
                <w:i w:val="0"/>
                <w:color w:val="000000"/>
                <w:sz w:val="15"/>
              </w:rPr>
              <w:t xml:space="preserve">F=σw×S=15.4KN </w:t>
            </w:r>
            <w:r>
              <w:br/>
            </w:r>
            <w:r>
              <w:rPr>
                <w:rFonts w:ascii="FZShuSong" w:hAnsi="FZShuSong" w:eastAsia="FZShuSong"/>
                <w:b w:val="0"/>
                <w:i w:val="0"/>
                <w:color w:val="000000"/>
                <w:sz w:val="15"/>
              </w:rPr>
              <w:t xml:space="preserve">受压力F 时角焊缝的应力及强度要求为： </w:t>
            </w:r>
          </w:p>
        </w:tc>
        <w:tc>
          <w:tcPr>
            <w:tcW w:type="dxa" w:w="5560"/>
            <w:vMerge w:val="restart"/>
            <w:tcBorders>
              <w:bottom w:sz="1.9199999570846558" w:val="single" w:color="#000000"/>
            </w:tcBorders>
            <w:tcMar>
              <w:start w:w="0" w:type="dxa"/>
              <w:end w:w="0" w:type="dxa"/>
            </w:tcMar>
            <w:tcMar>
              <w:start w:w="0" w:type="dxa"/>
              <w:end w:w="0" w:type="dxa"/>
            </w:tcMar>
          </w:tcPr>
          <w:p>
            <w:pPr>
              <w:autoSpaceDN w:val="0"/>
              <w:autoSpaceDE w:val="0"/>
              <w:widowControl/>
              <w:spacing w:line="220" w:lineRule="exact" w:before="0" w:after="0"/>
              <w:ind w:left="532" w:right="0" w:firstLine="0"/>
              <w:jc w:val="left"/>
            </w:pPr>
            <w:r>
              <w:rPr>
                <w:rFonts w:ascii="FZShuSong" w:hAnsi="FZShuSong" w:eastAsia="FZShuSong"/>
                <w:b w:val="0"/>
                <w:i w:val="0"/>
                <w:color w:val="000000"/>
                <w:sz w:val="15"/>
              </w:rPr>
              <w:t>3m</w:t>
            </w:r>
            <w:r>
              <w:rPr>
                <w:rFonts w:ascii="SimSun" w:hAnsi="SimSun" w:eastAsia="SimSun"/>
                <w:b w:val="0"/>
                <w:i w:val="0"/>
                <w:color w:val="000000"/>
                <w:sz w:val="15"/>
              </w:rPr>
              <w:t>³</w:t>
            </w:r>
            <w:r>
              <w:rPr>
                <w:rFonts w:ascii="FZShuSong" w:hAnsi="FZShuSong" w:eastAsia="FZShuSong"/>
                <w:b w:val="0"/>
                <w:i w:val="0"/>
                <w:color w:val="000000"/>
                <w:sz w:val="15"/>
              </w:rPr>
              <w:t>/环，推进过程中径向注膨润土；同时进行壁后二次注入双液浆，形成止</w:t>
            </w:r>
            <w:r>
              <w:rPr>
                <w:rFonts w:ascii="FZShuSong" w:hAnsi="FZShuSong" w:eastAsia="FZShuSong"/>
                <w:b w:val="0"/>
                <w:i w:val="0"/>
                <w:color w:val="000000"/>
                <w:sz w:val="15"/>
              </w:rPr>
              <w:t xml:space="preserve">水环箍。 </w:t>
            </w:r>
          </w:p>
          <w:p>
            <w:pPr>
              <w:autoSpaceDN w:val="0"/>
              <w:autoSpaceDE w:val="0"/>
              <w:widowControl/>
              <w:spacing w:line="288" w:lineRule="exact" w:before="0" w:after="0"/>
              <w:ind w:left="532" w:right="80" w:firstLine="300"/>
              <w:jc w:val="both"/>
            </w:pPr>
            <w:r>
              <w:rPr>
                <w:rFonts w:ascii="FZShuSong" w:hAnsi="FZShuSong" w:eastAsia="FZShuSong"/>
                <w:b w:val="0"/>
                <w:i w:val="0"/>
                <w:color w:val="000000"/>
                <w:sz w:val="15"/>
              </w:rPr>
              <w:t>②根据钢套筒后端盖安装的压力表的读数，及时调整盾构机推力，避免</w:t>
            </w:r>
            <w:r>
              <w:rPr>
                <w:rFonts w:ascii="FZShuSong" w:hAnsi="FZShuSong" w:eastAsia="FZShuSong"/>
                <w:b w:val="0"/>
                <w:i w:val="0"/>
                <w:color w:val="000000"/>
                <w:sz w:val="15"/>
              </w:rPr>
              <w:t>推进力过大，破坏钢套筒的密封，导致渗漏。当套筒内的压力过大时，打开</w:t>
            </w:r>
            <w:r>
              <w:rPr>
                <w:rFonts w:ascii="FZShuSong" w:hAnsi="FZShuSong" w:eastAsia="FZShuSong"/>
                <w:b w:val="0"/>
                <w:i w:val="0"/>
                <w:color w:val="000000"/>
                <w:sz w:val="15"/>
              </w:rPr>
              <w:t xml:space="preserve">钢套筒排浆口，进行卸压。 </w:t>
            </w:r>
          </w:p>
          <w:p>
            <w:pPr>
              <w:autoSpaceDN w:val="0"/>
              <w:tabs>
                <w:tab w:pos="832" w:val="left"/>
              </w:tabs>
              <w:autoSpaceDE w:val="0"/>
              <w:widowControl/>
              <w:spacing w:line="278" w:lineRule="exact" w:before="0" w:after="0"/>
              <w:ind w:left="532" w:right="0" w:firstLine="0"/>
              <w:jc w:val="left"/>
            </w:pPr>
            <w:r>
              <w:tab/>
            </w:r>
            <w:r>
              <w:rPr>
                <w:rFonts w:ascii="FZShuSong" w:hAnsi="FZShuSong" w:eastAsia="FZShuSong"/>
                <w:b w:val="0"/>
                <w:i w:val="0"/>
                <w:color w:val="000000"/>
                <w:sz w:val="15"/>
              </w:rPr>
              <w:t>③进套筒时姿态控制：必须以实际测量的钢套筒安装中心线为准控制盾</w:t>
            </w:r>
            <w:r>
              <w:rPr>
                <w:rFonts w:ascii="FZShuSong" w:hAnsi="FZShuSong" w:eastAsia="FZShuSong"/>
                <w:b w:val="0"/>
                <w:i w:val="0"/>
                <w:color w:val="000000"/>
                <w:sz w:val="15"/>
              </w:rPr>
              <w:t>构机姿态，要求中心线偏差控制在±2cm 之内。盾构机在进入钢套筒内之后，</w:t>
            </w:r>
          </w:p>
        </w:tc>
      </w:tr>
      <w:tr>
        <w:trPr>
          <w:trHeight w:hRule="exact" w:val="187"/>
        </w:trPr>
        <w:tc>
          <w:tcPr>
            <w:tcW w:type="dxa" w:w="720"/>
            <w:vMerge w:val="restart"/>
            <w:tcBorders/>
            <w:tcMar>
              <w:start w:w="0" w:type="dxa"/>
              <w:end w:w="0" w:type="dxa"/>
            </w:tcMar>
            <w:tcMar>
              <w:start w:w="0" w:type="dxa"/>
              <w:end w:w="0" w:type="dxa"/>
            </w:tcMar>
          </w:tcPr>
          <w:p>
            <w:pPr>
              <w:autoSpaceDN w:val="0"/>
              <w:autoSpaceDE w:val="0"/>
              <w:widowControl/>
              <w:spacing w:line="130" w:lineRule="exact" w:before="210" w:after="0"/>
              <w:ind w:left="0" w:right="0" w:firstLine="0"/>
              <w:jc w:val="right"/>
            </w:pPr>
            <w:r>
              <w:rPr>
                <w:w w:val="98.00000190734863"/>
                <w:rFonts w:ascii="Times New Roman" w:hAnsi="Times New Roman" w:eastAsia="Times New Roman"/>
                <w:b w:val="0"/>
                <w:i w:val="0"/>
                <w:color w:val="000000"/>
                <w:sz w:val="12"/>
              </w:rPr>
              <w:t>7.0</w:t>
            </w:r>
          </w:p>
        </w:tc>
        <w:tc>
          <w:tcPr>
            <w:tcW w:type="dxa" w:w="260"/>
            <w:gridSpan w:val="2"/>
            <w:tcBorders/>
            <w:tcMar>
              <w:start w:w="0" w:type="dxa"/>
              <w:end w:w="0" w:type="dxa"/>
            </w:tcMar>
            <w:tcMar>
              <w:start w:w="0" w:type="dxa"/>
              <w:end w:w="0" w:type="dxa"/>
            </w:tcMar>
          </w:tcPr>
          <w:p>
            <w:pPr>
              <w:autoSpaceDN w:val="0"/>
              <w:autoSpaceDE w:val="0"/>
              <w:widowControl/>
              <w:spacing w:line="130" w:lineRule="exact" w:before="46" w:after="0"/>
              <w:ind w:left="38" w:right="0" w:firstLine="0"/>
              <w:jc w:val="left"/>
            </w:pPr>
            <w:r>
              <w:rPr>
                <w:w w:val="98.00000190734863"/>
                <w:rFonts w:ascii="Times New Roman" w:hAnsi="Times New Roman" w:eastAsia="Times New Roman"/>
                <w:b w:val="0"/>
                <w:i/>
                <w:color w:val="000000"/>
                <w:sz w:val="12"/>
              </w:rPr>
              <w:t>F</w:t>
            </w:r>
          </w:p>
        </w:tc>
        <w:tc>
          <w:tcPr>
            <w:tcW w:type="dxa" w:w="120"/>
            <w:vMerge w:val="restart"/>
            <w:tcBorders/>
            <w:tcMar>
              <w:start w:w="0" w:type="dxa"/>
              <w:end w:w="0" w:type="dxa"/>
            </w:tcMar>
            <w:tcMar>
              <w:start w:w="0" w:type="dxa"/>
              <w:end w:w="0" w:type="dxa"/>
            </w:tcMar>
          </w:tcPr>
          <w:p>
            <w:pPr>
              <w:autoSpaceDN w:val="0"/>
              <w:tabs>
                <w:tab w:pos="72" w:val="left"/>
              </w:tabs>
              <w:autoSpaceDE w:val="0"/>
              <w:widowControl/>
              <w:spacing w:line="90" w:lineRule="exact" w:before="160" w:after="0"/>
              <w:ind w:left="0" w:right="0" w:firstLine="0"/>
              <w:jc w:val="left"/>
            </w:pPr>
            <w:r>
              <w:rPr>
                <w:w w:val="98.00000190734863"/>
                <w:rFonts w:ascii="Symbol" w:hAnsi="Symbol" w:eastAsia="Symbol"/>
                <w:b w:val="0"/>
                <w:i w:val="0"/>
                <w:color w:val="000000"/>
                <w:sz w:val="12"/>
              </w:rPr>
              <w:t>≤</w:t>
            </w:r>
            <w:r>
              <w:rPr>
                <w:w w:val="98.00000190734863"/>
                <w:rFonts w:ascii="Times New Roman" w:hAnsi="Times New Roman" w:eastAsia="Times New Roman"/>
                <w:b w:val="0"/>
                <w:i/>
                <w:color w:val="000000"/>
                <w:sz w:val="12"/>
              </w:rPr>
              <w:t>l</w:t>
            </w:r>
          </w:p>
        </w:tc>
        <w:tc>
          <w:tcPr>
            <w:tcW w:type="dxa" w:w="400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62" w:after="0"/>
              <w:ind w:left="24" w:right="0" w:firstLine="0"/>
              <w:jc w:val="left"/>
            </w:pPr>
            <w:r>
              <w:rPr>
                <w:w w:val="97.7973324911935"/>
                <w:rFonts w:ascii="Symbol" w:hAnsi="Symbol" w:eastAsia="Symbol"/>
                <w:b w:val="0"/>
                <w:i w:val="0"/>
                <w:color w:val="000000"/>
                <w:sz w:val="14"/>
              </w:rPr>
              <w:t xml:space="preserve">[ ] </w:t>
            </w:r>
            <w:r>
              <w:rPr>
                <w:w w:val="95.99999700273786"/>
                <w:rFonts w:ascii="Times New Roman" w:hAnsi="Times New Roman" w:eastAsia="Times New Roman"/>
                <w:b w:val="0"/>
                <w:i w:val="0"/>
                <w:color w:val="000000"/>
                <w:sz w:val="7"/>
              </w:rPr>
              <w:t>'</w:t>
            </w:r>
          </w:p>
        </w:tc>
        <w:tc>
          <w:tcPr>
            <w:tcW w:type="dxa" w:w="935"/>
            <w:vMerge/>
            <w:tcBorders>
              <w:bottom w:sz="1.9199999570846558" w:val="single" w:color="#000000"/>
            </w:tcBorders>
          </w:tcPr>
          <w:p/>
        </w:tc>
      </w:tr>
      <w:tr>
        <w:trPr>
          <w:trHeight w:hRule="exact" w:val="213"/>
        </w:trPr>
        <w:tc>
          <w:tcPr>
            <w:tcW w:type="dxa" w:w="935"/>
            <w:vMerge/>
            <w:tcBorders/>
          </w:tcPr>
          <w:p/>
        </w:tc>
        <w:tc>
          <w:tcPr>
            <w:tcW w:type="dxa" w:w="100"/>
            <w:tcBorders/>
            <w:tcMar>
              <w:start w:w="0" w:type="dxa"/>
              <w:end w:w="0" w:type="dxa"/>
            </w:tcMar>
          </w:tcPr>
          <w:p>
            <w:pPr>
              <w:autoSpaceDN w:val="0"/>
              <w:autoSpaceDE w:val="0"/>
              <w:widowControl/>
              <w:spacing w:line="130" w:lineRule="exact" w:before="22" w:after="0"/>
              <w:ind w:left="0" w:right="0" w:firstLine="0"/>
              <w:jc w:val="center"/>
            </w:pPr>
            <w:r>
              <w:rPr>
                <w:w w:val="98.00000190734863"/>
                <w:rFonts w:ascii="Times New Roman" w:hAnsi="Times New Roman" w:eastAsia="Times New Roman"/>
                <w:b w:val="0"/>
                <w:i/>
                <w:color w:val="000000"/>
                <w:sz w:val="12"/>
              </w:rPr>
              <w:t>K</w:t>
            </w:r>
          </w:p>
        </w:tc>
        <w:tc>
          <w:tcPr>
            <w:tcW w:type="dxa" w:w="160"/>
            <w:tcBorders/>
            <w:tcMar>
              <w:start w:w="0" w:type="dxa"/>
              <w:end w:w="0" w:type="dxa"/>
            </w:tcMar>
          </w:tcPr>
          <w:p>
            <w:pPr>
              <w:autoSpaceDN w:val="0"/>
              <w:autoSpaceDE w:val="0"/>
              <w:widowControl/>
              <w:spacing w:line="214" w:lineRule="exact" w:before="0" w:after="0"/>
              <w:ind w:left="0" w:right="0" w:firstLine="0"/>
              <w:jc w:val="center"/>
            </w:pPr>
            <w:r>
              <w:rPr>
                <w:w w:val="97.33333587646484"/>
                <w:rFonts w:ascii="Symbol" w:hAnsi="Symbol" w:eastAsia="Symbol"/>
                <w:b w:val="0"/>
                <w:i w:val="0"/>
                <w:color w:val="000000"/>
                <w:sz w:val="18"/>
              </w:rPr>
              <w:t>∑</w:t>
            </w:r>
            <w:r>
              <w:rPr>
                <w:w w:val="98.00000190734863"/>
                <w:rFonts w:ascii="Times New Roman" w:hAnsi="Times New Roman" w:eastAsia="Times New Roman"/>
                <w:b w:val="0"/>
                <w:i/>
                <w:color w:val="000000"/>
                <w:sz w:val="12"/>
              </w:rPr>
              <w:t>l</w:t>
            </w:r>
          </w:p>
        </w:tc>
        <w:tc>
          <w:tcPr>
            <w:tcW w:type="dxa" w:w="935"/>
            <w:vMerge/>
            <w:tcBorders/>
          </w:tcPr>
          <w:p/>
        </w:tc>
        <w:tc>
          <w:tcPr>
            <w:tcW w:type="dxa" w:w="6545"/>
            <w:gridSpan w:val="7"/>
            <w:vMerge/>
            <w:tcBorders/>
          </w:tcPr>
          <w:p/>
        </w:tc>
        <w:tc>
          <w:tcPr>
            <w:tcW w:type="dxa" w:w="5560"/>
            <w:vMerge w:val="restart"/>
            <w:tcBorders>
              <w:top w:sz="1.9199999570846558" w:val="single" w:color="#000000"/>
              <w:bottom w:sz="1.9199999570846558" w:val="single" w:color="#000000"/>
            </w:tcBorders>
            <w:tcMar>
              <w:start w:w="0" w:type="dxa"/>
              <w:end w:w="0" w:type="dxa"/>
            </w:tcMar>
            <w:tcMar>
              <w:start w:w="0" w:type="dxa"/>
              <w:end w:w="0" w:type="dxa"/>
            </w:tcMar>
            <w:tcMar>
              <w:start w:w="0" w:type="dxa"/>
              <w:end w:w="0" w:type="dxa"/>
            </w:tcMar>
          </w:tcPr>
          <w:p>
            <w:pPr>
              <w:autoSpaceDN w:val="0"/>
              <w:autoSpaceDE w:val="0"/>
              <w:widowControl/>
              <w:spacing w:line="152" w:lineRule="exact" w:before="152" w:after="0"/>
              <w:ind w:left="532" w:right="0" w:firstLine="0"/>
              <w:jc w:val="left"/>
            </w:pPr>
            <w:r>
              <w:rPr>
                <w:rFonts w:ascii="FZShuSong" w:hAnsi="FZShuSong" w:eastAsia="FZShuSong"/>
                <w:b w:val="0"/>
                <w:i w:val="0"/>
                <w:color w:val="000000"/>
                <w:sz w:val="15"/>
              </w:rPr>
              <w:t xml:space="preserve">要注意姿态控制。 </w:t>
            </w:r>
          </w:p>
          <w:p>
            <w:pPr>
              <w:autoSpaceDN w:val="0"/>
              <w:tabs>
                <w:tab w:pos="832" w:val="left"/>
              </w:tabs>
              <w:autoSpaceDE w:val="0"/>
              <w:widowControl/>
              <w:spacing w:line="288" w:lineRule="exact" w:before="0" w:after="0"/>
              <w:ind w:left="532" w:right="0" w:firstLine="0"/>
              <w:jc w:val="left"/>
            </w:pPr>
            <w:r>
              <w:tab/>
            </w:r>
            <w:r>
              <w:rPr>
                <w:rFonts w:ascii="FZShuSong" w:hAnsi="FZShuSong" w:eastAsia="FZShuSong"/>
                <w:b w:val="0"/>
                <w:i w:val="0"/>
                <w:color w:val="000000"/>
                <w:sz w:val="15"/>
              </w:rPr>
              <w:t>④盾构机到达掘进过程中，地面监测按照4 次/天，并及时将监测数据反</w:t>
            </w:r>
            <w:r>
              <w:rPr>
                <w:rFonts w:ascii="FZShuSong" w:hAnsi="FZShuSong" w:eastAsia="FZShuSong"/>
                <w:b w:val="0"/>
                <w:i w:val="0"/>
                <w:color w:val="000000"/>
                <w:sz w:val="15"/>
              </w:rPr>
              <w:t xml:space="preserve">馈给推进施工技术人员，以便及时优化推进参数。 </w:t>
            </w:r>
          </w:p>
          <w:p>
            <w:pPr>
              <w:autoSpaceDN w:val="0"/>
              <w:autoSpaceDE w:val="0"/>
              <w:widowControl/>
              <w:spacing w:line="248" w:lineRule="exact" w:before="252" w:after="0"/>
              <w:ind w:left="532" w:right="0" w:firstLine="0"/>
              <w:jc w:val="left"/>
            </w:pPr>
            <w:r>
              <w:rPr>
                <w:rFonts w:ascii="Arial" w:hAnsi="Arial" w:eastAsia="Arial"/>
                <w:b w:val="0"/>
                <w:i w:val="0"/>
                <w:color w:val="000000"/>
                <w:sz w:val="22"/>
              </w:rPr>
              <w:t xml:space="preserve">3 </w:t>
            </w:r>
            <w:r>
              <w:rPr>
                <w:rFonts w:ascii="SimHei" w:hAnsi="SimHei" w:eastAsia="SimHei"/>
                <w:b w:val="0"/>
                <w:i w:val="0"/>
                <w:color w:val="000000"/>
                <w:sz w:val="22"/>
              </w:rPr>
              <w:t>结束语</w:t>
            </w:r>
          </w:p>
        </w:tc>
      </w:tr>
      <w:tr>
        <w:trPr>
          <w:trHeight w:hRule="exact" w:val="1060"/>
        </w:trPr>
        <w:tc>
          <w:tcPr>
            <w:tcW w:type="dxa" w:w="510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88" w:val="left"/>
                <w:tab w:pos="3370" w:val="left"/>
              </w:tabs>
              <w:autoSpaceDE w:val="0"/>
              <w:widowControl/>
              <w:spacing w:line="256" w:lineRule="exact" w:before="0" w:after="0"/>
              <w:ind w:left="560" w:right="864" w:firstLine="0"/>
              <w:jc w:val="left"/>
            </w:pPr>
            <w:r>
              <w:rPr>
                <w:rFonts w:ascii="FZShuSong" w:hAnsi="FZShuSong" w:eastAsia="FZShuSong"/>
                <w:b w:val="0"/>
                <w:i w:val="0"/>
                <w:color w:val="000000"/>
                <w:sz w:val="15"/>
              </w:rPr>
              <w:t xml:space="preserve">K: 焊缝高度8mm </w:t>
            </w:r>
            <w:r>
              <w:br/>
            </w:r>
            <w:r>
              <w:rPr>
                <w:rFonts w:ascii="Symbol" w:hAnsi="Symbol" w:eastAsia="Symbol"/>
                <w:b w:val="0"/>
                <w:i w:val="0"/>
                <w:color w:val="000000"/>
                <w:sz w:val="15"/>
              </w:rPr>
              <w:t>∑</w:t>
            </w:r>
            <w:r>
              <w:rPr>
                <w:rFonts w:ascii="Times New Roman" w:hAnsi="Times New Roman" w:eastAsia="Times New Roman"/>
                <w:b w:val="0"/>
                <w:i/>
                <w:color w:val="000000"/>
                <w:sz w:val="10"/>
              </w:rPr>
              <w:t>l</w:t>
            </w:r>
            <w:r>
              <w:rPr>
                <w:rFonts w:ascii="FZShuSong" w:hAnsi="FZShuSong" w:eastAsia="FZShuSong"/>
                <w:b w:val="0"/>
                <w:i w:val="0"/>
                <w:color w:val="000000"/>
                <w:sz w:val="15"/>
              </w:rPr>
              <w:t xml:space="preserve">：焊缝总长度50cm </w:t>
            </w:r>
            <w:r>
              <w:br/>
            </w:r>
            <w:r>
              <w:rPr>
                <w:rFonts w:ascii="Symbol" w:hAnsi="Symbol" w:eastAsia="Symbol"/>
                <w:b w:val="0"/>
                <w:i/>
                <w:color w:val="000000"/>
                <w:sz w:val="12"/>
              </w:rPr>
              <w:t>τ</w:t>
            </w:r>
            <w:r>
              <w:rPr>
                <w:rFonts w:ascii="FZShuSong" w:hAnsi="FZShuSong" w:eastAsia="FZShuSong"/>
                <w:b w:val="0"/>
                <w:i w:val="0"/>
                <w:color w:val="000000"/>
                <w:sz w:val="15"/>
              </w:rPr>
              <w:t xml:space="preserve"> ：焊缝需用切应力，Q235 钢板填角焊缝</w:t>
            </w:r>
            <w:r>
              <w:rPr>
                <w:rFonts w:ascii="Symbol" w:hAnsi="Symbol" w:eastAsia="Symbol"/>
                <w:b w:val="0"/>
                <w:i w:val="0"/>
                <w:color w:val="000000"/>
                <w:sz w:val="14"/>
              </w:rPr>
              <w:t>[ ]</w:t>
            </w:r>
            <w:r>
              <w:rPr>
                <w:rFonts w:ascii="Times New Roman" w:hAnsi="Times New Roman" w:eastAsia="Times New Roman"/>
                <w:b w:val="0"/>
                <w:i w:val="0"/>
                <w:color w:val="000000"/>
                <w:sz w:val="12"/>
              </w:rPr>
              <w:t>'</w:t>
            </w:r>
            <w:r>
              <w:rPr>
                <w:rFonts w:ascii="Symbol" w:hAnsi="Symbol" w:eastAsia="Symbol"/>
                <w:b w:val="0"/>
                <w:i/>
                <w:color w:val="000000"/>
                <w:sz w:val="12"/>
              </w:rPr>
              <w:t>τ</w:t>
            </w:r>
            <w:r>
              <w:rPr>
                <w:rFonts w:ascii="FZShuSong" w:hAnsi="FZShuSong" w:eastAsia="FZShuSong"/>
                <w:b w:val="0"/>
                <w:i w:val="0"/>
                <w:color w:val="000000"/>
                <w:sz w:val="15"/>
              </w:rPr>
              <w:t xml:space="preserve"> =140MPa </w:t>
            </w:r>
            <w:r>
              <w:rPr>
                <w:rFonts w:ascii="FZShuSong" w:hAnsi="FZShuSong" w:eastAsia="FZShuSong"/>
                <w:b w:val="0"/>
                <w:i w:val="0"/>
                <w:color w:val="000000"/>
                <w:sz w:val="15"/>
              </w:rPr>
              <w:t xml:space="preserve">经计算得： </w:t>
            </w:r>
          </w:p>
        </w:tc>
        <w:tc>
          <w:tcPr>
            <w:tcW w:type="dxa" w:w="935"/>
            <w:vMerge/>
            <w:tcBorders>
              <w:top w:sz="1.9199999570846558" w:val="single" w:color="#000000"/>
              <w:bottom w:sz="1.9199999570846558" w:val="single" w:color="#000000"/>
            </w:tcBorders>
          </w:tcPr>
          <w:p/>
        </w:tc>
      </w:tr>
      <w:tr>
        <w:trPr>
          <w:trHeight w:hRule="exact" w:val="198"/>
        </w:trPr>
        <w:tc>
          <w:tcPr>
            <w:tcW w:type="dxa" w:w="720"/>
            <w:vMerge w:val="restart"/>
            <w:tcBorders/>
            <w:tcMar>
              <w:start w:w="0" w:type="dxa"/>
              <w:end w:w="0" w:type="dxa"/>
            </w:tcMar>
            <w:tcMar>
              <w:start w:w="0" w:type="dxa"/>
              <w:end w:w="0" w:type="dxa"/>
            </w:tcMar>
          </w:tcPr>
          <w:p>
            <w:pPr>
              <w:autoSpaceDN w:val="0"/>
              <w:autoSpaceDE w:val="0"/>
              <w:widowControl/>
              <w:spacing w:line="130" w:lineRule="exact" w:before="212" w:after="0"/>
              <w:ind w:left="0" w:right="0" w:firstLine="0"/>
              <w:jc w:val="right"/>
            </w:pPr>
            <w:r>
              <w:rPr>
                <w:w w:val="98.00000190734863"/>
                <w:rFonts w:ascii="Times New Roman" w:hAnsi="Times New Roman" w:eastAsia="Times New Roman"/>
                <w:b w:val="0"/>
                <w:i w:val="0"/>
                <w:color w:val="000000"/>
                <w:sz w:val="12"/>
              </w:rPr>
              <w:t>7.0</w:t>
            </w:r>
          </w:p>
        </w:tc>
        <w:tc>
          <w:tcPr>
            <w:tcW w:type="dxa" w:w="260"/>
            <w:gridSpan w:val="2"/>
            <w:tcBorders/>
            <w:tcMar>
              <w:start w:w="0" w:type="dxa"/>
              <w:end w:w="0" w:type="dxa"/>
            </w:tcMar>
            <w:tcMar>
              <w:start w:w="0" w:type="dxa"/>
              <w:end w:w="0" w:type="dxa"/>
            </w:tcMar>
          </w:tcPr>
          <w:p>
            <w:pPr>
              <w:autoSpaceDN w:val="0"/>
              <w:autoSpaceDE w:val="0"/>
              <w:widowControl/>
              <w:spacing w:line="130" w:lineRule="exact" w:before="46" w:after="0"/>
              <w:ind w:left="38" w:right="0" w:firstLine="0"/>
              <w:jc w:val="left"/>
            </w:pPr>
            <w:r>
              <w:rPr>
                <w:w w:val="98.00000190734863"/>
                <w:rFonts w:ascii="Times New Roman" w:hAnsi="Times New Roman" w:eastAsia="Times New Roman"/>
                <w:b w:val="0"/>
                <w:i/>
                <w:color w:val="000000"/>
                <w:sz w:val="12"/>
              </w:rPr>
              <w:t>F</w:t>
            </w:r>
          </w:p>
        </w:tc>
        <w:tc>
          <w:tcPr>
            <w:tcW w:type="dxa" w:w="120"/>
            <w:vMerge w:val="restart"/>
            <w:tcBorders/>
            <w:tcMar>
              <w:start w:w="0" w:type="dxa"/>
              <w:end w:w="0" w:type="dxa"/>
            </w:tcMar>
            <w:tcMar>
              <w:start w:w="0" w:type="dxa"/>
              <w:end w:w="0" w:type="dxa"/>
            </w:tcMar>
          </w:tcPr>
          <w:p>
            <w:pPr>
              <w:autoSpaceDN w:val="0"/>
              <w:tabs>
                <w:tab w:pos="74" w:val="left"/>
              </w:tabs>
              <w:autoSpaceDE w:val="0"/>
              <w:widowControl/>
              <w:spacing w:line="90" w:lineRule="exact" w:before="162" w:after="0"/>
              <w:ind w:left="0" w:right="0" w:firstLine="0"/>
              <w:jc w:val="left"/>
            </w:pPr>
            <w:r>
              <w:rPr>
                <w:w w:val="98.00000190734863"/>
                <w:rFonts w:ascii="Symbol" w:hAnsi="Symbol" w:eastAsia="Symbol"/>
                <w:b w:val="0"/>
                <w:i w:val="0"/>
                <w:color w:val="000000"/>
                <w:sz w:val="12"/>
              </w:rPr>
              <w:t xml:space="preserve">= </w:t>
            </w:r>
            <w:r>
              <w:rPr>
                <w:w w:val="98.00000190734863"/>
                <w:rFonts w:ascii="Times New Roman" w:hAnsi="Times New Roman" w:eastAsia="Times New Roman"/>
                <w:b w:val="0"/>
                <w:i/>
                <w:color w:val="000000"/>
                <w:sz w:val="12"/>
              </w:rPr>
              <w:t>l</w:t>
            </w:r>
          </w:p>
        </w:tc>
        <w:tc>
          <w:tcPr>
            <w:tcW w:type="dxa" w:w="160"/>
            <w:tcBorders>
              <w:bottom w:sz="1.9199999570846558" w:val="single" w:color="#000000"/>
            </w:tcBorders>
            <w:tcMar>
              <w:start w:w="0" w:type="dxa"/>
              <w:end w:w="0" w:type="dxa"/>
            </w:tcMar>
          </w:tcPr>
          <w:p>
            <w:pPr>
              <w:autoSpaceDN w:val="0"/>
              <w:autoSpaceDE w:val="0"/>
              <w:widowControl/>
              <w:spacing w:line="130" w:lineRule="exact" w:before="66" w:after="0"/>
              <w:ind w:left="0" w:right="0" w:firstLine="0"/>
              <w:jc w:val="center"/>
            </w:pPr>
            <w:r>
              <w:rPr>
                <w:w w:val="98.00000190734863"/>
                <w:rFonts w:ascii="Times New Roman" w:hAnsi="Times New Roman" w:eastAsia="Times New Roman"/>
                <w:b w:val="0"/>
                <w:i w:val="0"/>
                <w:color w:val="000000"/>
                <w:sz w:val="12"/>
              </w:rPr>
              <w:t>.5</w:t>
            </w:r>
          </w:p>
        </w:tc>
        <w:tc>
          <w:tcPr>
            <w:tcW w:type="dxa" w:w="240"/>
            <w:tcBorders>
              <w:bottom w:sz="1.9199999570846558" w:val="single" w:color="#000000"/>
            </w:tcBorders>
            <w:tcMar>
              <w:start w:w="0" w:type="dxa"/>
              <w:end w:w="0" w:type="dxa"/>
            </w:tcMar>
          </w:tcPr>
          <w:p>
            <w:pPr>
              <w:autoSpaceDN w:val="0"/>
              <w:autoSpaceDE w:val="0"/>
              <w:widowControl/>
              <w:spacing w:line="130" w:lineRule="exact" w:before="66" w:after="0"/>
              <w:ind w:left="0" w:right="0" w:firstLine="0"/>
              <w:jc w:val="center"/>
            </w:pPr>
            <w:r>
              <w:rPr>
                <w:w w:val="98.00000190734863"/>
                <w:rFonts w:ascii="Times New Roman" w:hAnsi="Times New Roman" w:eastAsia="Times New Roman"/>
                <w:b w:val="0"/>
                <w:i/>
                <w:color w:val="000000"/>
                <w:sz w:val="12"/>
              </w:rPr>
              <w:t>MPa</w:t>
            </w:r>
          </w:p>
        </w:tc>
        <w:tc>
          <w:tcPr>
            <w:tcW w:type="dxa" w:w="100"/>
            <w:tcBorders>
              <w:bottom w:sz="1.9199999570846558" w:val="single" w:color="#000000"/>
            </w:tcBorders>
            <w:tcMar>
              <w:start w:w="0" w:type="dxa"/>
              <w:end w:w="0" w:type="dxa"/>
            </w:tcMar>
          </w:tcPr>
          <w:p>
            <w:pPr>
              <w:autoSpaceDN w:val="0"/>
              <w:autoSpaceDE w:val="0"/>
              <w:widowControl/>
              <w:spacing w:line="144" w:lineRule="exact" w:before="52" w:after="0"/>
              <w:ind w:left="0" w:right="0" w:firstLine="0"/>
              <w:jc w:val="center"/>
            </w:pPr>
            <w:r>
              <w:rPr>
                <w:w w:val="98.00000190734863"/>
                <w:rFonts w:ascii="Symbol" w:hAnsi="Symbol" w:eastAsia="Symbol"/>
                <w:b w:val="0"/>
                <w:i w:val="0"/>
                <w:color w:val="000000"/>
                <w:sz w:val="12"/>
              </w:rPr>
              <w:t>&lt;</w:t>
            </w:r>
          </w:p>
        </w:tc>
        <w:tc>
          <w:tcPr>
            <w:tcW w:type="dxa" w:w="140"/>
            <w:tcBorders>
              <w:bottom w:sz="1.9199999570846558" w:val="single" w:color="#000000"/>
            </w:tcBorders>
            <w:tcMar>
              <w:start w:w="0" w:type="dxa"/>
              <w:end w:w="0" w:type="dxa"/>
            </w:tcMar>
          </w:tcPr>
          <w:p>
            <w:pPr>
              <w:autoSpaceDN w:val="0"/>
              <w:autoSpaceDE w:val="0"/>
              <w:widowControl/>
              <w:spacing w:line="198" w:lineRule="exact" w:before="0" w:after="0"/>
              <w:ind w:left="0" w:right="0" w:firstLine="0"/>
              <w:jc w:val="center"/>
            </w:pPr>
            <w:r>
              <w:rPr>
                <w:w w:val="97.7973324911935"/>
                <w:rFonts w:ascii="Symbol" w:hAnsi="Symbol" w:eastAsia="Symbol"/>
                <w:b w:val="0"/>
                <w:i w:val="0"/>
                <w:color w:val="000000"/>
                <w:sz w:val="14"/>
              </w:rPr>
              <w:t>[ ]</w:t>
            </w:r>
          </w:p>
        </w:tc>
        <w:tc>
          <w:tcPr>
            <w:tcW w:type="dxa" w:w="80"/>
            <w:tcBorders/>
            <w:tcMar>
              <w:start w:w="0" w:type="dxa"/>
              <w:end w:w="0" w:type="dxa"/>
            </w:tcMar>
          </w:tcPr>
          <w:p>
            <w:pPr>
              <w:autoSpaceDN w:val="0"/>
              <w:autoSpaceDE w:val="0"/>
              <w:widowControl/>
              <w:spacing w:line="144" w:lineRule="exact" w:before="54" w:after="0"/>
              <w:ind w:left="0" w:right="0" w:firstLine="0"/>
              <w:jc w:val="center"/>
            </w:pPr>
            <w:r>
              <w:rPr>
                <w:w w:val="98.00000190734863"/>
                <w:rFonts w:ascii="Symbol" w:hAnsi="Symbol" w:eastAsia="Symbol"/>
                <w:b w:val="0"/>
                <w:i w:val="0"/>
                <w:color w:val="000000"/>
                <w:sz w:val="12"/>
              </w:rPr>
              <w:t>=</w:t>
            </w:r>
          </w:p>
        </w:tc>
        <w:tc>
          <w:tcPr>
            <w:tcW w:type="dxa" w:w="420"/>
            <w:tcBorders>
              <w:bottom w:sz="1.9199999570846558" w:val="single" w:color="#000000"/>
            </w:tcBorders>
            <w:tcMar>
              <w:start w:w="0" w:type="dxa"/>
              <w:end w:w="0" w:type="dxa"/>
            </w:tcMar>
          </w:tcPr>
          <w:p>
            <w:pPr>
              <w:autoSpaceDN w:val="0"/>
              <w:autoSpaceDE w:val="0"/>
              <w:widowControl/>
              <w:spacing w:line="130" w:lineRule="exact" w:before="66" w:after="0"/>
              <w:ind w:left="0" w:right="0" w:firstLine="0"/>
              <w:jc w:val="center"/>
            </w:pPr>
            <w:r>
              <w:rPr>
                <w:w w:val="98.00000190734863"/>
                <w:rFonts w:ascii="Times New Roman" w:hAnsi="Times New Roman" w:eastAsia="Times New Roman"/>
                <w:b w:val="0"/>
                <w:i w:val="0"/>
                <w:color w:val="000000"/>
                <w:sz w:val="12"/>
              </w:rPr>
              <w:t xml:space="preserve">140 </w:t>
            </w:r>
            <w:r>
              <w:rPr>
                <w:w w:val="98.00000190734863"/>
                <w:rFonts w:ascii="Times New Roman" w:hAnsi="Times New Roman" w:eastAsia="Times New Roman"/>
                <w:b w:val="0"/>
                <w:i/>
                <w:color w:val="000000"/>
                <w:sz w:val="12"/>
              </w:rPr>
              <w:t>MPa</w:t>
            </w:r>
          </w:p>
        </w:tc>
        <w:tc>
          <w:tcPr>
            <w:tcW w:type="dxa" w:w="2860"/>
            <w:tcBorders>
              <w:bottom w:sz="1.9199999570846558" w:val="single" w:color="#000000"/>
            </w:tcBorders>
            <w:tcMar>
              <w:start w:w="0" w:type="dxa"/>
              <w:end w:w="0" w:type="dxa"/>
            </w:tcMar>
          </w:tcPr>
          <w:p/>
        </w:tc>
        <w:tc>
          <w:tcPr>
            <w:tcW w:type="dxa" w:w="935"/>
            <w:vMerge/>
            <w:tcBorders>
              <w:top w:sz="1.9199999570846558" w:val="single" w:color="#000000"/>
              <w:bottom w:sz="1.9199999570846558" w:val="single" w:color="#000000"/>
            </w:tcBorders>
          </w:tcPr>
          <w:p/>
        </w:tc>
      </w:tr>
      <w:tr>
        <w:trPr>
          <w:trHeight w:hRule="exact" w:val="164"/>
        </w:trPr>
        <w:tc>
          <w:tcPr>
            <w:tcW w:type="dxa" w:w="935"/>
            <w:vMerge/>
            <w:tcBorders/>
          </w:tcPr>
          <w:p/>
        </w:tc>
        <w:tc>
          <w:tcPr>
            <w:tcW w:type="dxa" w:w="100"/>
            <w:tcBorders/>
            <w:tcMar>
              <w:start w:w="0" w:type="dxa"/>
              <w:end w:w="0" w:type="dxa"/>
            </w:tcMar>
          </w:tcPr>
          <w:p>
            <w:pPr>
              <w:autoSpaceDN w:val="0"/>
              <w:autoSpaceDE w:val="0"/>
              <w:widowControl/>
              <w:spacing w:line="130" w:lineRule="exact" w:before="14" w:after="0"/>
              <w:ind w:left="0" w:right="0" w:firstLine="0"/>
              <w:jc w:val="center"/>
            </w:pPr>
            <w:r>
              <w:rPr>
                <w:w w:val="98.00000190734863"/>
                <w:rFonts w:ascii="Times New Roman" w:hAnsi="Times New Roman" w:eastAsia="Times New Roman"/>
                <w:b w:val="0"/>
                <w:i/>
                <w:color w:val="000000"/>
                <w:sz w:val="12"/>
              </w:rPr>
              <w:t>K</w:t>
            </w:r>
          </w:p>
        </w:tc>
        <w:tc>
          <w:tcPr>
            <w:tcW w:type="dxa" w:w="160"/>
            <w:tcBorders/>
            <w:tcMar>
              <w:start w:w="0" w:type="dxa"/>
              <w:end w:w="0" w:type="dxa"/>
            </w:tcMar>
          </w:tcPr>
          <w:p>
            <w:pPr>
              <w:autoSpaceDN w:val="0"/>
              <w:autoSpaceDE w:val="0"/>
              <w:widowControl/>
              <w:spacing w:line="214" w:lineRule="exact" w:before="0" w:after="0"/>
              <w:ind w:left="0" w:right="0" w:firstLine="0"/>
              <w:jc w:val="center"/>
            </w:pPr>
            <w:r>
              <w:rPr>
                <w:w w:val="97.33333587646484"/>
                <w:rFonts w:ascii="Symbol" w:hAnsi="Symbol" w:eastAsia="Symbol"/>
                <w:b w:val="0"/>
                <w:i w:val="0"/>
                <w:color w:val="000000"/>
                <w:sz w:val="18"/>
              </w:rPr>
              <w:t>∑</w:t>
            </w:r>
          </w:p>
        </w:tc>
        <w:tc>
          <w:tcPr>
            <w:tcW w:type="dxa" w:w="935"/>
            <w:vMerge/>
            <w:tcBorders/>
          </w:tcPr>
          <w:p/>
        </w:tc>
        <w:tc>
          <w:tcPr>
            <w:tcW w:type="dxa" w:w="160"/>
            <w:tcBorders>
              <w:top w:sz="1.9199999570846558" w:val="single" w:color="#000000"/>
            </w:tcBorders>
            <w:tcMar>
              <w:start w:w="0" w:type="dxa"/>
              <w:end w:w="0" w:type="dxa"/>
            </w:tcMar>
          </w:tcPr>
          <w:p/>
        </w:tc>
        <w:tc>
          <w:tcPr>
            <w:tcW w:type="dxa" w:w="240"/>
            <w:tcBorders>
              <w:top w:sz="1.9199999570846558" w:val="single" w:color="#000000"/>
            </w:tcBorders>
            <w:tcMar>
              <w:start w:w="0" w:type="dxa"/>
              <w:end w:w="0" w:type="dxa"/>
            </w:tcMar>
          </w:tcPr>
          <w:p/>
        </w:tc>
        <w:tc>
          <w:tcPr>
            <w:tcW w:type="dxa" w:w="100"/>
            <w:tcBorders>
              <w:top w:sz="1.9199999570846558" w:val="single" w:color="#000000"/>
            </w:tcBorders>
            <w:tcMar>
              <w:start w:w="0" w:type="dxa"/>
              <w:end w:w="0" w:type="dxa"/>
            </w:tcMar>
          </w:tcPr>
          <w:p/>
        </w:tc>
        <w:tc>
          <w:tcPr>
            <w:tcW w:type="dxa" w:w="140"/>
            <w:tcBorders>
              <w:top w:sz="1.9199999570846558" w:val="single" w:color="#000000"/>
            </w:tcBorders>
            <w:tcMar>
              <w:start w:w="0" w:type="dxa"/>
              <w:end w:w="0" w:type="dxa"/>
            </w:tcMar>
          </w:tcPr>
          <w:p/>
        </w:tc>
        <w:tc>
          <w:tcPr>
            <w:tcW w:type="dxa" w:w="80"/>
            <w:tcBorders/>
            <w:tcMar>
              <w:start w:w="0" w:type="dxa"/>
              <w:end w:w="0" w:type="dxa"/>
            </w:tcMar>
          </w:tcPr>
          <w:p/>
        </w:tc>
        <w:tc>
          <w:tcPr>
            <w:tcW w:type="dxa" w:w="420"/>
            <w:tcBorders>
              <w:top w:sz="1.9199999570846558" w:val="single" w:color="#000000"/>
            </w:tcBorders>
            <w:tcMar>
              <w:start w:w="0" w:type="dxa"/>
              <w:end w:w="0" w:type="dxa"/>
            </w:tcMar>
          </w:tcPr>
          <w:p/>
        </w:tc>
        <w:tc>
          <w:tcPr>
            <w:tcW w:type="dxa" w:w="2860"/>
            <w:tcBorders>
              <w:top w:sz="1.9199999570846558" w:val="single" w:color="#000000"/>
            </w:tcBorders>
            <w:tcMar>
              <w:start w:w="0" w:type="dxa"/>
              <w:end w:w="0" w:type="dxa"/>
            </w:tcMar>
          </w:tcPr>
          <w:p>
            <w:pPr>
              <w:autoSpaceDN w:val="0"/>
              <w:autoSpaceDE w:val="0"/>
              <w:widowControl/>
              <w:spacing w:line="152" w:lineRule="exact" w:before="0" w:after="0"/>
              <w:ind w:left="24" w:right="0" w:firstLine="0"/>
              <w:jc w:val="left"/>
            </w:pPr>
            <w:r>
              <w:rPr>
                <w:rFonts w:ascii="FZShuSong" w:hAnsi="FZShuSong" w:eastAsia="FZShuSong"/>
                <w:b w:val="0"/>
                <w:i w:val="0"/>
                <w:color w:val="000000"/>
                <w:sz w:val="15"/>
              </w:rPr>
              <w:t xml:space="preserve">，焊缝符合强度要求。 </w:t>
            </w:r>
          </w:p>
        </w:tc>
        <w:tc>
          <w:tcPr>
            <w:tcW w:type="dxa" w:w="5560"/>
            <w:tcBorders>
              <w:top w:sz="1.9199999570846558" w:val="single" w:color="#000000"/>
            </w:tcBorders>
            <w:tcMar>
              <w:start w:w="0" w:type="dxa"/>
              <w:end w:w="0" w:type="dxa"/>
            </w:tcMar>
          </w:tcPr>
          <w:p>
            <w:pPr>
              <w:autoSpaceDN w:val="0"/>
              <w:autoSpaceDE w:val="0"/>
              <w:widowControl/>
              <w:spacing w:line="150" w:lineRule="exact" w:before="20" w:after="0"/>
              <w:ind w:left="824" w:right="0" w:firstLine="0"/>
              <w:jc w:val="left"/>
            </w:pPr>
            <w:r>
              <w:rPr>
                <w:rFonts w:ascii="FZShuSong" w:hAnsi="FZShuSong" w:eastAsia="FZShuSong"/>
                <w:b w:val="0"/>
                <w:i w:val="0"/>
                <w:color w:val="000000"/>
                <w:sz w:val="15"/>
              </w:rPr>
              <w:t>通过以上措施，该工程顺利渡过了盾构钢套筒接收的各种风险。轴线偏差</w:t>
            </w:r>
          </w:p>
        </w:tc>
      </w:tr>
    </w:tbl>
    <w:p>
      <w:pPr>
        <w:autoSpaceDN w:val="0"/>
        <w:autoSpaceDE w:val="0"/>
        <w:widowControl/>
        <w:spacing w:line="14" w:lineRule="exact" w:before="0" w:after="98"/>
        <w:ind w:left="0" w:right="0"/>
      </w:pPr>
    </w:p>
    <w:p>
      <w:pPr>
        <w:sectPr>
          <w:type w:val="continuous"/>
          <w:pgSz w:w="11906" w:h="16160"/>
          <w:pgMar w:top="212" w:right="688" w:bottom="170" w:left="0" w:header="720" w:footer="720" w:gutter="0"/>
          <w:cols/>
          <w:docGrid w:linePitch="360"/>
        </w:sectPr>
      </w:pPr>
    </w:p>
    <w:p>
      <w:pPr>
        <w:autoSpaceDN w:val="0"/>
        <w:tabs>
          <w:tab w:pos="1100" w:val="left"/>
        </w:tabs>
        <w:autoSpaceDE w:val="0"/>
        <w:widowControl/>
        <w:spacing w:line="266" w:lineRule="exact" w:before="0" w:after="0"/>
        <w:ind w:left="800" w:right="144" w:firstLine="0"/>
        <w:jc w:val="left"/>
      </w:pPr>
      <w:r>
        <w:rPr>
          <w:rFonts w:ascii="FZShuSong" w:hAnsi="FZShuSong" w:eastAsia="FZShuSong"/>
          <w:b w:val="0"/>
          <w:i w:val="0"/>
          <w:color w:val="000000"/>
          <w:sz w:val="15"/>
        </w:rPr>
        <w:t>2.4</w:t>
      </w:r>
      <w:r>
        <w:rPr>
          <w:rFonts w:ascii="SimHei" w:hAnsi="SimHei" w:eastAsia="SimHei"/>
          <w:b w:val="0"/>
          <w:i w:val="0"/>
          <w:color w:val="000000"/>
          <w:sz w:val="15"/>
        </w:rPr>
        <w:t xml:space="preserve"> 钢套筒漏水保证措施</w:t>
      </w:r>
      <w:r>
        <w:br/>
      </w:r>
      <w:r>
        <w:tab/>
      </w:r>
      <w:r>
        <w:rPr>
          <w:rFonts w:ascii="FZShuSong" w:hAnsi="FZShuSong" w:eastAsia="FZShuSong"/>
          <w:b w:val="0"/>
          <w:i w:val="0"/>
          <w:color w:val="000000"/>
          <w:sz w:val="15"/>
        </w:rPr>
        <w:t>为防止在盾构机掘进过程中发生钢套筒漏水，从而引发大面及的洞门涌</w:t>
      </w:r>
      <w:r>
        <w:rPr>
          <w:rFonts w:ascii="FZShuSong" w:hAnsi="FZShuSong" w:eastAsia="FZShuSong"/>
          <w:b w:val="0"/>
          <w:i w:val="0"/>
          <w:color w:val="000000"/>
          <w:sz w:val="15"/>
        </w:rPr>
        <w:t>水风险，需对钢套筒进行密闭性实验。实验采用密闭水压实验法。钢套筒组</w:t>
      </w:r>
      <w:r>
        <w:rPr>
          <w:rFonts w:ascii="FZShuSong" w:hAnsi="FZShuSong" w:eastAsia="FZShuSong"/>
          <w:b w:val="0"/>
          <w:i w:val="0"/>
          <w:color w:val="000000"/>
          <w:sz w:val="15"/>
        </w:rPr>
        <w:t>装完成后，在筒体内加水检查其密封性，筒体中心位置水压为0.3Mpa，若在</w:t>
      </w:r>
      <w:r>
        <w:rPr>
          <w:rFonts w:ascii="FZShuSong" w:hAnsi="FZShuSong" w:eastAsia="FZShuSong"/>
          <w:b w:val="0"/>
          <w:i w:val="0"/>
          <w:color w:val="000000"/>
          <w:sz w:val="15"/>
        </w:rPr>
        <w:t>12 小时内，压力保持在0.28Mpa 上，则可满足钢套筒接收要求，如果小于</w:t>
      </w:r>
      <w:r>
        <w:rPr>
          <w:rFonts w:ascii="FZShuSong" w:hAnsi="FZShuSong" w:eastAsia="FZShuSong"/>
          <w:b w:val="0"/>
          <w:i w:val="0"/>
          <w:color w:val="000000"/>
          <w:sz w:val="15"/>
        </w:rPr>
        <w:t>0.28Mpa，找出泄露部分，检查并修复其密封质量，然后再次进行试压，直至</w:t>
      </w:r>
    </w:p>
    <w:p>
      <w:pPr>
        <w:sectPr>
          <w:type w:val="continuous"/>
          <w:pgSz w:w="11906" w:h="16160"/>
          <w:pgMar w:top="212" w:right="688" w:bottom="170" w:left="0" w:header="720" w:footer="720" w:gutter="0"/>
          <w:cols w:num="2" w:equalWidth="0">
            <w:col w:w="5962" w:space="0"/>
            <w:col w:w="5255" w:space="0"/>
          </w:cols>
          <w:docGrid w:linePitch="360"/>
        </w:sectPr>
      </w:pPr>
    </w:p>
    <w:p>
      <w:pPr>
        <w:autoSpaceDN w:val="0"/>
        <w:autoSpaceDE w:val="0"/>
        <w:widowControl/>
        <w:spacing w:line="264" w:lineRule="exact" w:before="0" w:after="112"/>
        <w:ind w:left="210" w:right="0" w:firstLine="0"/>
        <w:jc w:val="left"/>
      </w:pPr>
      <w:r>
        <w:rPr>
          <w:rFonts w:ascii="FZShuSong" w:hAnsi="FZShuSong" w:eastAsia="FZShuSong"/>
          <w:b w:val="0"/>
          <w:i w:val="0"/>
          <w:color w:val="000000"/>
          <w:sz w:val="15"/>
        </w:rPr>
        <w:t>满足规范要求，未出现钢套筒位移、脱落、洞门涌水涌砂等险情。接收端地表</w:t>
      </w:r>
      <w:r>
        <w:rPr>
          <w:rFonts w:ascii="FZShuSong" w:hAnsi="FZShuSong" w:eastAsia="FZShuSong"/>
          <w:b w:val="0"/>
          <w:i w:val="0"/>
          <w:color w:val="000000"/>
          <w:sz w:val="15"/>
        </w:rPr>
        <w:t>下沉量最大为12mm，整体接收效果显著。现今，城市地铁建设规模逐年增加，</w:t>
      </w:r>
      <w:r>
        <w:rPr>
          <w:rFonts w:ascii="FZShuSong" w:hAnsi="FZShuSong" w:eastAsia="FZShuSong"/>
          <w:b w:val="0"/>
          <w:i w:val="0"/>
          <w:color w:val="000000"/>
          <w:sz w:val="15"/>
        </w:rPr>
        <w:t>地铁线路逾加密集，施工环境越来越复杂，为保护周边建筑、管线，降低施工</w:t>
      </w:r>
      <w:r>
        <w:rPr>
          <w:rFonts w:ascii="FZShuSong" w:hAnsi="FZShuSong" w:eastAsia="FZShuSong"/>
          <w:b w:val="0"/>
          <w:i w:val="0"/>
          <w:color w:val="000000"/>
          <w:sz w:val="15"/>
        </w:rPr>
        <w:t>风险，在不断探索新工艺、新技术的前提下，应严格遵守相关的规范及规程要</w:t>
      </w:r>
      <w:r>
        <w:rPr>
          <w:rFonts w:ascii="FZShuSong" w:hAnsi="FZShuSong" w:eastAsia="FZShuSong"/>
          <w:b w:val="0"/>
          <w:i w:val="0"/>
          <w:color w:val="000000"/>
          <w:sz w:val="15"/>
        </w:rPr>
        <w:t>求，严格落实主体责任，加强过程监控，实现既定目标。通过该工程，总结盾</w:t>
      </w:r>
      <w:r>
        <w:rPr>
          <w:rFonts w:ascii="FZShuSong" w:hAnsi="FZShuSong" w:eastAsia="FZShuSong"/>
          <w:b w:val="0"/>
          <w:i w:val="0"/>
          <w:color w:val="000000"/>
          <w:sz w:val="15"/>
        </w:rPr>
        <w:t xml:space="preserve">构钢套筒接收风险防控的各项措施及经验，为以后类似工程提供参考。 </w:t>
      </w:r>
    </w:p>
    <w:p>
      <w:pPr>
        <w:sectPr>
          <w:type w:val="nextColumn"/>
          <w:pgSz w:w="11906" w:h="16160"/>
          <w:pgMar w:top="212" w:right="688" w:bottom="170" w:left="0" w:header="720" w:footer="720" w:gutter="0"/>
          <w:cols w:num="2" w:equalWidth="0">
            <w:col w:w="5962" w:space="0"/>
            <w:col w:w="5255" w:space="0"/>
          </w:cols>
          <w:docGrid w:linePitch="360"/>
        </w:sectPr>
      </w:pPr>
    </w:p>
    <w:p>
      <w:pPr>
        <w:autoSpaceDN w:val="0"/>
        <w:tabs>
          <w:tab w:pos="8344" w:val="left"/>
        </w:tabs>
        <w:autoSpaceDE w:val="0"/>
        <w:widowControl/>
        <w:spacing w:line="150" w:lineRule="exact" w:before="0" w:after="0"/>
        <w:ind w:left="800" w:right="0" w:firstLine="0"/>
        <w:jc w:val="left"/>
      </w:pPr>
      <w:r>
        <w:rPr>
          <w:rFonts w:ascii="FZShuSong" w:hAnsi="FZShuSong" w:eastAsia="FZShuSong"/>
          <w:b w:val="0"/>
          <w:i w:val="0"/>
          <w:color w:val="000000"/>
          <w:sz w:val="15"/>
        </w:rPr>
        <w:t xml:space="preserve">满足试压要求。 </w:t>
      </w:r>
      <w:r>
        <w:tab/>
      </w:r>
      <w:r>
        <w:rPr>
          <w:rFonts w:ascii="SimHei" w:hAnsi="SimHei" w:eastAsia="SimHei"/>
          <w:b w:val="0"/>
          <w:i w:val="0"/>
          <w:color w:val="000000"/>
          <w:sz w:val="15"/>
        </w:rPr>
        <w:t>参考文献</w:t>
      </w:r>
    </w:p>
    <w:p>
      <w:pPr>
        <w:autoSpaceDN w:val="0"/>
        <w:tabs>
          <w:tab w:pos="6454" w:val="left"/>
        </w:tabs>
        <w:autoSpaceDE w:val="0"/>
        <w:widowControl/>
        <w:spacing w:line="178" w:lineRule="exact" w:before="84" w:after="0"/>
        <w:ind w:left="800" w:right="0" w:firstLine="0"/>
        <w:jc w:val="left"/>
      </w:pPr>
      <w:r>
        <w:rPr>
          <w:rFonts w:ascii="FZShuSong" w:hAnsi="FZShuSong" w:eastAsia="FZShuSong"/>
          <w:b w:val="0"/>
          <w:i w:val="0"/>
          <w:color w:val="000000"/>
          <w:sz w:val="15"/>
        </w:rPr>
        <w:t>2.5</w:t>
      </w:r>
      <w:r>
        <w:rPr>
          <w:rFonts w:ascii="SimHei" w:hAnsi="SimHei" w:eastAsia="SimHei"/>
          <w:b w:val="0"/>
          <w:i w:val="0"/>
          <w:color w:val="000000"/>
          <w:sz w:val="15"/>
        </w:rPr>
        <w:t xml:space="preserve"> 盾构机接收掘进控制措施</w:t>
      </w:r>
      <w:r>
        <w:tab/>
      </w:r>
      <w:r>
        <w:rPr>
          <w:rFonts w:ascii="FZShuSong" w:hAnsi="FZShuSong" w:eastAsia="FZShuSong"/>
          <w:b w:val="0"/>
          <w:i w:val="0"/>
          <w:color w:val="000000"/>
          <w:sz w:val="15"/>
        </w:rPr>
        <w:t>[1]</w:t>
      </w:r>
      <w:r>
        <w:rPr>
          <w:rFonts w:ascii="FZKai" w:hAnsi="FZKai" w:eastAsia="FZKai"/>
          <w:b w:val="0"/>
          <w:i w:val="0"/>
          <w:color w:val="000000"/>
          <w:sz w:val="15"/>
        </w:rPr>
        <w:t>邓林涛</w:t>
      </w:r>
      <w:r>
        <w:rPr>
          <w:rFonts w:ascii="FZShuSong" w:hAnsi="FZShuSong" w:eastAsia="FZShuSong"/>
          <w:b w:val="0"/>
          <w:i w:val="0"/>
          <w:color w:val="000000"/>
          <w:sz w:val="15"/>
        </w:rPr>
        <w:t>.</w:t>
      </w:r>
      <w:r>
        <w:rPr>
          <w:rFonts w:ascii="FZKai" w:hAnsi="FZKai" w:eastAsia="FZKai"/>
          <w:b w:val="0"/>
          <w:i w:val="0"/>
          <w:color w:val="000000"/>
          <w:sz w:val="15"/>
        </w:rPr>
        <w:t>地铁盾构钢套筒接收的施工技术</w:t>
      </w:r>
      <w:r>
        <w:rPr>
          <w:rFonts w:ascii="FZShuSong" w:hAnsi="FZShuSong" w:eastAsia="FZShuSong"/>
          <w:b w:val="0"/>
          <w:i w:val="0"/>
          <w:color w:val="000000"/>
          <w:sz w:val="15"/>
        </w:rPr>
        <w:t>[J].</w:t>
      </w:r>
      <w:r>
        <w:rPr>
          <w:rFonts w:ascii="FZKai" w:hAnsi="FZKai" w:eastAsia="FZKai"/>
          <w:b w:val="0"/>
          <w:i w:val="0"/>
          <w:color w:val="000000"/>
          <w:sz w:val="15"/>
        </w:rPr>
        <w:t>建筑安全</w:t>
      </w:r>
      <w:r>
        <w:rPr>
          <w:rFonts w:ascii="FZShuSong" w:hAnsi="FZShuSong" w:eastAsia="FZShuSong"/>
          <w:b w:val="0"/>
          <w:i w:val="0"/>
          <w:color w:val="000000"/>
          <w:sz w:val="15"/>
        </w:rPr>
        <w:t xml:space="preserve">,2019,34(02):75-77. </w:t>
      </w:r>
    </w:p>
    <w:p>
      <w:pPr>
        <w:autoSpaceDN w:val="0"/>
        <w:tabs>
          <w:tab w:pos="6472" w:val="left"/>
        </w:tabs>
        <w:autoSpaceDE w:val="0"/>
        <w:widowControl/>
        <w:spacing w:line="176" w:lineRule="exact" w:before="86" w:after="112"/>
        <w:ind w:left="1100" w:right="0" w:firstLine="0"/>
        <w:jc w:val="left"/>
      </w:pPr>
      <w:r>
        <w:rPr>
          <w:rFonts w:ascii="FZShuSong" w:hAnsi="FZShuSong" w:eastAsia="FZShuSong"/>
          <w:b w:val="0"/>
          <w:i w:val="0"/>
          <w:color w:val="000000"/>
          <w:sz w:val="15"/>
        </w:rPr>
        <w:t xml:space="preserve">（1）精准测量 </w:t>
      </w:r>
      <w:r>
        <w:tab/>
      </w:r>
      <w:r>
        <w:rPr>
          <w:rFonts w:ascii="FZShuSong" w:hAnsi="FZShuSong" w:eastAsia="FZShuSong"/>
          <w:b w:val="0"/>
          <w:i w:val="0"/>
          <w:color w:val="000000"/>
          <w:sz w:val="15"/>
        </w:rPr>
        <w:t>[2]</w:t>
      </w:r>
      <w:r>
        <w:rPr>
          <w:rFonts w:ascii="FZKai" w:hAnsi="FZKai" w:eastAsia="FZKai"/>
          <w:b w:val="0"/>
          <w:i w:val="0"/>
          <w:color w:val="000000"/>
          <w:sz w:val="15"/>
        </w:rPr>
        <w:t>赵伟</w:t>
      </w:r>
      <w:r>
        <w:rPr>
          <w:rFonts w:ascii="FZShuSong" w:hAnsi="FZShuSong" w:eastAsia="FZShuSong"/>
          <w:b w:val="0"/>
          <w:i w:val="0"/>
          <w:color w:val="000000"/>
          <w:sz w:val="15"/>
        </w:rPr>
        <w:t>.</w:t>
      </w:r>
      <w:r>
        <w:rPr>
          <w:rFonts w:ascii="FZKai" w:hAnsi="FZKai" w:eastAsia="FZKai"/>
          <w:b w:val="0"/>
          <w:i w:val="0"/>
          <w:color w:val="000000"/>
          <w:sz w:val="15"/>
        </w:rPr>
        <w:t>地铁盾构钢套筒接收与旋喷桩端头加固对比分析</w:t>
      </w:r>
      <w:r>
        <w:rPr>
          <w:rFonts w:ascii="FZShuSong" w:hAnsi="FZShuSong" w:eastAsia="FZShuSong"/>
          <w:b w:val="0"/>
          <w:i w:val="0"/>
          <w:color w:val="000000"/>
          <w:sz w:val="15"/>
        </w:rPr>
        <w:t>[J].</w:t>
      </w:r>
      <w:r>
        <w:rPr>
          <w:rFonts w:ascii="FZKai" w:hAnsi="FZKai" w:eastAsia="FZKai"/>
          <w:b w:val="0"/>
          <w:i w:val="0"/>
          <w:color w:val="000000"/>
          <w:sz w:val="15"/>
        </w:rPr>
        <w:t>江苏建筑职</w:t>
      </w:r>
    </w:p>
    <w:p>
      <w:pPr>
        <w:sectPr>
          <w:type w:val="continuous"/>
          <w:pgSz w:w="11906" w:h="16160"/>
          <w:pgMar w:top="212" w:right="688" w:bottom="170" w:left="0" w:header="720" w:footer="720" w:gutter="0"/>
          <w:cols/>
          <w:docGrid w:linePitch="360"/>
        </w:sectPr>
      </w:pPr>
    </w:p>
    <w:p>
      <w:pPr>
        <w:autoSpaceDN w:val="0"/>
        <w:autoSpaceDE w:val="0"/>
        <w:widowControl/>
        <w:spacing w:line="218" w:lineRule="exact" w:before="0" w:after="0"/>
        <w:ind w:left="800" w:right="144" w:firstLine="300"/>
        <w:jc w:val="left"/>
      </w:pPr>
      <w:r>
        <w:rPr>
          <w:rFonts w:ascii="FZShuSong" w:hAnsi="FZShuSong" w:eastAsia="FZShuSong"/>
          <w:b w:val="0"/>
          <w:i w:val="0"/>
          <w:color w:val="000000"/>
          <w:sz w:val="15"/>
        </w:rPr>
        <w:t>盾构机进洞前对洞门中线进行反复测量复核，根据结果，调整自动测量</w:t>
      </w:r>
      <w:r>
        <w:rPr>
          <w:rFonts w:ascii="FZShuSong" w:hAnsi="FZShuSong" w:eastAsia="FZShuSong"/>
          <w:b w:val="0"/>
          <w:i w:val="0"/>
          <w:color w:val="000000"/>
          <w:sz w:val="15"/>
        </w:rPr>
        <w:t>系统，有目的地进行纠偏工作，按照少量多次纠偏原则，使盾构机姿态控制</w:t>
      </w:r>
    </w:p>
    <w:p>
      <w:pPr>
        <w:sectPr>
          <w:type w:val="continuous"/>
          <w:pgSz w:w="11906" w:h="16160"/>
          <w:pgMar w:top="212" w:right="688" w:bottom="170" w:left="0" w:header="720" w:footer="720" w:gutter="0"/>
          <w:cols w:num="2" w:equalWidth="0">
            <w:col w:w="5962" w:space="0"/>
            <w:col w:w="5255" w:space="0"/>
          </w:cols>
          <w:docGrid w:linePitch="360"/>
        </w:sectPr>
      </w:pPr>
    </w:p>
    <w:p>
      <w:pPr>
        <w:autoSpaceDN w:val="0"/>
        <w:autoSpaceDE w:val="0"/>
        <w:widowControl/>
        <w:spacing w:line="150" w:lineRule="exact" w:before="0" w:after="0"/>
        <w:ind w:left="210" w:right="0" w:firstLine="0"/>
        <w:jc w:val="left"/>
      </w:pPr>
      <w:r>
        <w:rPr>
          <w:rFonts w:ascii="FZKai" w:hAnsi="FZKai" w:eastAsia="FZKai"/>
          <w:b w:val="0"/>
          <w:i w:val="0"/>
          <w:color w:val="000000"/>
          <w:sz w:val="15"/>
        </w:rPr>
        <w:t>业技术学院学报</w:t>
      </w:r>
      <w:r>
        <w:rPr>
          <w:rFonts w:ascii="FZShuSong" w:hAnsi="FZShuSong" w:eastAsia="FZShuSong"/>
          <w:b w:val="0"/>
          <w:i w:val="0"/>
          <w:color w:val="000000"/>
          <w:sz w:val="15"/>
        </w:rPr>
        <w:t xml:space="preserve">,2018,18(03):32-35. </w:t>
      </w:r>
    </w:p>
    <w:p>
      <w:pPr>
        <w:autoSpaceDN w:val="0"/>
        <w:autoSpaceDE w:val="0"/>
        <w:widowControl/>
        <w:spacing w:line="150" w:lineRule="exact" w:before="138" w:after="112"/>
        <w:ind w:left="510" w:right="0" w:firstLine="0"/>
        <w:jc w:val="left"/>
      </w:pPr>
      <w:r>
        <w:rPr>
          <w:rFonts w:ascii="FZShuSong" w:hAnsi="FZShuSong" w:eastAsia="FZShuSong"/>
          <w:b w:val="0"/>
          <w:i w:val="0"/>
          <w:color w:val="000000"/>
          <w:sz w:val="15"/>
        </w:rPr>
        <w:t>[3]</w:t>
      </w:r>
      <w:r>
        <w:rPr>
          <w:rFonts w:ascii="FZKai" w:hAnsi="FZKai" w:eastAsia="FZKai"/>
          <w:b w:val="0"/>
          <w:i w:val="0"/>
          <w:color w:val="000000"/>
          <w:sz w:val="15"/>
        </w:rPr>
        <w:t xml:space="preserve"> 于海涛</w:t>
      </w:r>
      <w:r>
        <w:rPr>
          <w:rFonts w:ascii="FZShuSong" w:hAnsi="FZShuSong" w:eastAsia="FZShuSong"/>
          <w:b w:val="0"/>
          <w:i w:val="0"/>
          <w:color w:val="000000"/>
          <w:sz w:val="15"/>
        </w:rPr>
        <w:t>.</w:t>
      </w:r>
      <w:r>
        <w:rPr>
          <w:rFonts w:ascii="FZKai" w:hAnsi="FZKai" w:eastAsia="FZKai"/>
          <w:b w:val="0"/>
          <w:i w:val="0"/>
          <w:color w:val="000000"/>
          <w:sz w:val="15"/>
        </w:rPr>
        <w:t xml:space="preserve"> 地铁盾构钢套筒接收施工技术的解析</w:t>
      </w:r>
      <w:r>
        <w:rPr>
          <w:rFonts w:ascii="FZShuSong" w:hAnsi="FZShuSong" w:eastAsia="FZShuSong"/>
          <w:b w:val="0"/>
          <w:i w:val="0"/>
          <w:color w:val="000000"/>
          <w:sz w:val="15"/>
        </w:rPr>
        <w:t>[J].</w:t>
      </w:r>
      <w:r>
        <w:rPr>
          <w:rFonts w:ascii="FZKai" w:hAnsi="FZKai" w:eastAsia="FZKai"/>
          <w:b w:val="0"/>
          <w:i w:val="0"/>
          <w:color w:val="000000"/>
          <w:sz w:val="15"/>
        </w:rPr>
        <w:t xml:space="preserve"> 交通世</w:t>
      </w:r>
    </w:p>
    <w:p>
      <w:pPr>
        <w:sectPr>
          <w:type w:val="nextColumn"/>
          <w:pgSz w:w="11906" w:h="16160"/>
          <w:pgMar w:top="212" w:right="688" w:bottom="170" w:left="0" w:header="720" w:footer="720" w:gutter="0"/>
          <w:cols w:num="2" w:equalWidth="0">
            <w:col w:w="5962" w:space="0"/>
            <w:col w:w="5255" w:space="0"/>
          </w:cols>
          <w:docGrid w:linePitch="360"/>
        </w:sectPr>
      </w:pPr>
    </w:p>
    <w:p>
      <w:pPr>
        <w:autoSpaceDN w:val="0"/>
        <w:tabs>
          <w:tab w:pos="6172" w:val="left"/>
        </w:tabs>
        <w:autoSpaceDE w:val="0"/>
        <w:widowControl/>
        <w:spacing w:line="150" w:lineRule="exact" w:before="0" w:after="0"/>
        <w:ind w:left="800" w:right="0" w:firstLine="0"/>
        <w:jc w:val="left"/>
      </w:pPr>
      <w:r>
        <w:rPr>
          <w:rFonts w:ascii="FZShuSong" w:hAnsi="FZShuSong" w:eastAsia="FZShuSong"/>
          <w:b w:val="0"/>
          <w:i w:val="0"/>
          <w:color w:val="000000"/>
          <w:sz w:val="15"/>
        </w:rPr>
        <w:t>在水平±15mm 以内，垂直方向在+20～+30mm。通过及时压注盾尾油脂，防</w:t>
      </w:r>
      <w:r>
        <w:tab/>
      </w:r>
      <w:r>
        <w:rPr>
          <w:rFonts w:ascii="FZKai" w:hAnsi="FZKai" w:eastAsia="FZKai"/>
          <w:b w:val="0"/>
          <w:i w:val="0"/>
          <w:color w:val="000000"/>
          <w:sz w:val="15"/>
        </w:rPr>
        <w:t>界</w:t>
      </w:r>
      <w:r>
        <w:rPr>
          <w:rFonts w:ascii="FZShuSong" w:hAnsi="FZShuSong" w:eastAsia="FZShuSong"/>
          <w:b w:val="0"/>
          <w:i w:val="0"/>
          <w:color w:val="000000"/>
          <w:sz w:val="15"/>
        </w:rPr>
        <w:t xml:space="preserve">,2018(Z2):144-145. </w:t>
      </w:r>
    </w:p>
    <w:p>
      <w:pPr>
        <w:autoSpaceDN w:val="0"/>
        <w:tabs>
          <w:tab w:pos="1660" w:val="left"/>
        </w:tabs>
        <w:autoSpaceDE w:val="0"/>
        <w:widowControl/>
        <w:spacing w:line="240" w:lineRule="auto" w:before="494" w:after="0"/>
        <w:ind w:left="420" w:right="0" w:firstLine="0"/>
        <w:jc w:val="left"/>
      </w:pPr>
      <w:r>
        <w:drawing>
          <wp:inline xmlns:a="http://schemas.openxmlformats.org/drawingml/2006/main" xmlns:pic="http://schemas.openxmlformats.org/drawingml/2006/picture">
            <wp:extent cx="584200" cy="165100"/>
            <wp:docPr id="45" name="Picture 4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6" name="Picture 4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371600" cy="152400"/>
                    </a:xfrm>
                    <a:prstGeom prst="rect"/>
                  </pic:spPr>
                </pic:pic>
              </a:graphicData>
            </a:graphic>
          </wp:inline>
        </w:drawing>
      </w:r>
    </w:p>
    <w:sectPr w:rsidR="00FC693F" w:rsidRPr="0006063C" w:rsidSect="00034616">
      <w:type w:val="continuous"/>
      <w:pgSz w:w="11906" w:h="16160"/>
      <w:pgMar w:top="212" w:right="688" w:bottom="17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