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66"/>
        <w:ind w:left="0" w:right="0"/>
      </w:pPr>
    </w:p>
    <w:p>
      <w:pPr>
        <w:autoSpaceDN w:val="0"/>
        <w:autoSpaceDE w:val="0"/>
        <w:widowControl/>
        <w:spacing w:line="190" w:lineRule="auto" w:before="0" w:after="0"/>
        <w:ind w:left="508" w:right="0" w:firstLine="0"/>
        <w:jc w:val="left"/>
      </w:pPr>
      <w:r>
        <w:rPr>
          <w:rFonts w:ascii="HYb9gj" w:hAnsi="HYb9gj" w:eastAsia="HYb9gj"/>
          <w:b w:val="0"/>
          <w:i w:val="0"/>
          <w:color w:val="6C6E70"/>
          <w:sz w:val="28"/>
        </w:rPr>
        <w:t>Shield Equipment &amp; Project</w:t>
      </w:r>
      <w:r>
        <w:rPr>
          <w:rFonts w:ascii="STXihei" w:hAnsi="STXihei" w:eastAsia="STXihei"/>
          <w:b w:val="0"/>
          <w:i w:val="0"/>
          <w:color w:val="626366"/>
          <w:sz w:val="22"/>
        </w:rPr>
        <w:t>盾构工程</w:t>
      </w:r>
    </w:p>
    <w:p>
      <w:pPr>
        <w:autoSpaceDN w:val="0"/>
        <w:autoSpaceDE w:val="0"/>
        <w:widowControl/>
        <w:spacing w:line="185" w:lineRule="auto" w:before="900" w:after="0"/>
        <w:ind w:left="2060" w:right="0" w:firstLine="0"/>
        <w:jc w:val="left"/>
      </w:pPr>
      <w:r>
        <w:rPr>
          <w:rFonts w:ascii="HYa4gj" w:hAnsi="HYa4gj" w:eastAsia="HYa4gj"/>
          <w:b w:val="0"/>
          <w:i w:val="0"/>
          <w:color w:val="221F1F"/>
          <w:sz w:val="52"/>
        </w:rPr>
        <w:t>大直径盾构隧道轨下预制箱涵</w:t>
      </w:r>
    </w:p>
    <w:p>
      <w:pPr>
        <w:autoSpaceDN w:val="0"/>
        <w:autoSpaceDE w:val="0"/>
        <w:widowControl/>
        <w:spacing w:line="185" w:lineRule="auto" w:before="104" w:after="0"/>
        <w:ind w:left="0" w:right="3066" w:firstLine="0"/>
        <w:jc w:val="right"/>
      </w:pPr>
      <w:r>
        <w:rPr>
          <w:rFonts w:ascii="HYa4gj" w:hAnsi="HYa4gj" w:eastAsia="HYa4gj"/>
          <w:b w:val="0"/>
          <w:i w:val="0"/>
          <w:color w:val="221F1F"/>
          <w:sz w:val="52"/>
        </w:rPr>
        <w:t>拼装工序研究</w:t>
      </w:r>
    </w:p>
    <w:p>
      <w:pPr>
        <w:autoSpaceDN w:val="0"/>
        <w:autoSpaceDE w:val="0"/>
        <w:widowControl/>
        <w:spacing w:line="288" w:lineRule="exact" w:before="90" w:after="0"/>
        <w:ind w:left="1030" w:right="0" w:firstLine="0"/>
        <w:jc w:val="left"/>
      </w:pPr>
      <w:r>
        <w:rPr>
          <w:rFonts w:ascii="Times" w:hAnsi="Times" w:eastAsia="Times"/>
          <w:b/>
          <w:i w:val="0"/>
          <w:color w:val="6C6E70"/>
          <w:sz w:val="26"/>
        </w:rPr>
        <w:t xml:space="preserve">Study on Assembling Process of Prefabricated Box Culvert Under Rail of Large </w:t>
      </w:r>
    </w:p>
    <w:p>
      <w:pPr>
        <w:autoSpaceDN w:val="0"/>
        <w:autoSpaceDE w:val="0"/>
        <w:widowControl/>
        <w:spacing w:line="288" w:lineRule="exact" w:before="24" w:after="0"/>
        <w:ind w:left="0" w:right="3314" w:firstLine="0"/>
        <w:jc w:val="right"/>
      </w:pPr>
      <w:r>
        <w:rPr>
          <w:rFonts w:ascii="Times" w:hAnsi="Times" w:eastAsia="Times"/>
          <w:b/>
          <w:i w:val="0"/>
          <w:color w:val="6C6E70"/>
          <w:sz w:val="26"/>
        </w:rPr>
        <w:t>Diameter Shield Tunnel</w:t>
      </w:r>
    </w:p>
    <w:p>
      <w:pPr>
        <w:autoSpaceDN w:val="0"/>
        <w:autoSpaceDE w:val="0"/>
        <w:widowControl/>
        <w:spacing w:line="185" w:lineRule="auto" w:before="438" w:after="0"/>
        <w:ind w:left="0" w:right="3306" w:firstLine="0"/>
        <w:jc w:val="right"/>
      </w:pPr>
      <w:r>
        <w:rPr>
          <w:rFonts w:ascii="HYc1gj" w:hAnsi="HYc1gj" w:eastAsia="HYc1gj"/>
          <w:b w:val="0"/>
          <w:i w:val="0"/>
          <w:color w:val="221F1F"/>
          <w:sz w:val="24"/>
        </w:rPr>
        <w:t>冯志鹏，庞培彦，任丽娜</w:t>
      </w:r>
    </w:p>
    <w:p>
      <w:pPr>
        <w:autoSpaceDN w:val="0"/>
        <w:autoSpaceDE w:val="0"/>
        <w:widowControl/>
        <w:spacing w:line="233" w:lineRule="auto" w:before="68" w:after="0"/>
        <w:ind w:left="0" w:right="2972" w:firstLine="0"/>
        <w:jc w:val="right"/>
      </w:pPr>
      <w:r>
        <w:rPr>
          <w:rFonts w:ascii="TimesNewRomanPSMT" w:hAnsi="TimesNewRomanPSMT" w:eastAsia="TimesNewRomanPSMT"/>
          <w:b w:val="0"/>
          <w:i w:val="0"/>
          <w:color w:val="221F1F"/>
          <w:sz w:val="18"/>
        </w:rPr>
        <w:t>FENG Zhi-peng,  PANG Pei-yan,  REN Li-na</w:t>
      </w:r>
    </w:p>
    <w:p>
      <w:pPr>
        <w:autoSpaceDN w:val="0"/>
        <w:autoSpaceDE w:val="0"/>
        <w:widowControl/>
        <w:spacing w:line="185" w:lineRule="auto" w:before="102" w:after="402"/>
        <w:ind w:left="0" w:right="2556" w:firstLine="0"/>
        <w:jc w:val="right"/>
      </w:pPr>
      <w:r>
        <w:rPr>
          <w:rFonts w:ascii="HYa6gj" w:hAnsi="HYa6gj" w:eastAsia="HYa6gj"/>
          <w:b w:val="0"/>
          <w:i w:val="0"/>
          <w:color w:val="221F1F"/>
          <w:sz w:val="18"/>
        </w:rPr>
        <w:t>（</w:t>
      </w:r>
      <w:r>
        <w:rPr>
          <w:rFonts w:ascii="HYd1gj" w:hAnsi="HYd1gj" w:eastAsia="HYd1gj"/>
          <w:b w:val="0"/>
          <w:i w:val="0"/>
          <w:color w:val="221F1F"/>
          <w:sz w:val="18"/>
        </w:rPr>
        <w:t>中铁工程装备集团有限公司</w:t>
      </w:r>
      <w:r>
        <w:rPr>
          <w:rFonts w:ascii="HYa6gj" w:hAnsi="HYa6gj" w:eastAsia="HYa6gj"/>
          <w:b w:val="0"/>
          <w:i w:val="0"/>
          <w:color w:val="221F1F"/>
          <w:sz w:val="18"/>
        </w:rPr>
        <w:t>，</w:t>
      </w:r>
      <w:r>
        <w:rPr>
          <w:rFonts w:ascii="HYd1gj" w:hAnsi="HYd1gj" w:eastAsia="HYd1gj"/>
          <w:b w:val="0"/>
          <w:i w:val="0"/>
          <w:color w:val="221F1F"/>
          <w:sz w:val="18"/>
        </w:rPr>
        <w:t xml:space="preserve">河南 郑州 </w:t>
      </w:r>
      <w:r>
        <w:rPr>
          <w:rFonts w:ascii="HYa6gj" w:hAnsi="HYa6gj" w:eastAsia="HYa6gj"/>
          <w:b w:val="0"/>
          <w:i w:val="0"/>
          <w:color w:val="221F1F"/>
          <w:sz w:val="18"/>
        </w:rPr>
        <w:t>450016）</w:t>
      </w:r>
    </w:p>
    <w:tbl>
      <w:tblPr>
        <w:tblW w:type="auto" w:w="0"/>
        <w:tblLayout w:type="fixed"/>
        <w:tblLook w:firstColumn="1" w:firstRow="1" w:lastColumn="0" w:lastRow="0" w:noHBand="0" w:noVBand="1" w:val="04A0"/>
        <w:tblInd w:w="842.0" w:type="dxa"/>
      </w:tblPr>
      <w:tblGrid>
        <w:gridCol w:w="5033"/>
        <w:gridCol w:w="5033"/>
      </w:tblGrid>
      <w:tr>
        <w:trPr>
          <w:trHeight w:hRule="exact" w:val="288"/>
        </w:trPr>
        <w:tc>
          <w:tcPr>
            <w:tcW w:type="dxa" w:w="1098"/>
            <w:tcBorders>
              <w:top w:sz="3.4000000953674316" w:val="single" w:color="#221F1F"/>
            </w:tcBorders>
            <w:shd w:fill="e6e7e8"/>
            <w:tcMar>
              <w:start w:w="0" w:type="dxa"/>
              <w:end w:w="0" w:type="dxa"/>
            </w:tcMar>
          </w:tcPr>
          <w:p>
            <w:pPr>
              <w:autoSpaceDN w:val="0"/>
              <w:autoSpaceDE w:val="0"/>
              <w:widowControl/>
              <w:spacing w:line="185" w:lineRule="auto" w:before="52" w:after="0"/>
              <w:ind w:left="0" w:right="26" w:firstLine="0"/>
              <w:jc w:val="right"/>
            </w:pPr>
            <w:r>
              <w:rPr>
                <w:rFonts w:ascii="HYb1gj" w:hAnsi="HYb1gj" w:eastAsia="HYb1gj"/>
                <w:b w:val="0"/>
                <w:i w:val="0"/>
                <w:color w:val="221F1F"/>
                <w:sz w:val="18"/>
              </w:rPr>
              <w:t>[ 摘 要]</w:t>
            </w:r>
          </w:p>
        </w:tc>
        <w:tc>
          <w:tcPr>
            <w:tcW w:type="dxa" w:w="8096"/>
            <w:tcBorders>
              <w:top w:sz="3.4000000953674316" w:val="single" w:color="#221F1F"/>
            </w:tcBorders>
            <w:shd w:fill="e6e7e8"/>
            <w:tcMar>
              <w:start w:w="0" w:type="dxa"/>
              <w:end w:w="0" w:type="dxa"/>
            </w:tcMar>
          </w:tcPr>
          <w:p>
            <w:pPr>
              <w:autoSpaceDN w:val="0"/>
              <w:autoSpaceDE w:val="0"/>
              <w:widowControl/>
              <w:spacing w:line="185" w:lineRule="auto" w:before="54" w:after="0"/>
              <w:ind w:left="42" w:right="0" w:firstLine="0"/>
              <w:jc w:val="left"/>
            </w:pPr>
            <w:r>
              <w:rPr>
                <w:rFonts w:ascii="HYa6gj" w:hAnsi="HYa6gj" w:eastAsia="HYa6gj"/>
                <w:b w:val="0"/>
                <w:i w:val="0"/>
                <w:color w:val="221F1F"/>
                <w:sz w:val="18"/>
              </w:rPr>
              <w:t>分别介绍了国内常采用的预制箱涵同步拼装工序与国外已广泛采用的独立拼装工序，以某大直径</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80.0" w:type="dxa"/>
      </w:tblPr>
      <w:tblGrid>
        <w:gridCol w:w="10066"/>
      </w:tblGrid>
      <w:tr>
        <w:trPr>
          <w:trHeight w:hRule="exact" w:val="280"/>
        </w:trPr>
        <w:tc>
          <w:tcPr>
            <w:tcW w:type="dxa" w:w="8860"/>
            <w:tcBorders/>
            <w:shd w:fill="e6e7e8"/>
            <w:tcMar>
              <w:start w:w="0" w:type="dxa"/>
              <w:end w:w="0" w:type="dxa"/>
            </w:tcMar>
          </w:tcPr>
          <w:p>
            <w:pPr>
              <w:autoSpaceDN w:val="0"/>
              <w:autoSpaceDE w:val="0"/>
              <w:widowControl/>
              <w:spacing w:line="185" w:lineRule="auto" w:before="50" w:after="0"/>
              <w:ind w:left="1002" w:right="0" w:firstLine="0"/>
              <w:jc w:val="left"/>
            </w:pPr>
            <w:r>
              <w:rPr>
                <w:rFonts w:ascii="HYa6gj" w:hAnsi="HYa6gj" w:eastAsia="HYa6gj"/>
                <w:b w:val="0"/>
                <w:i w:val="0"/>
                <w:color w:val="221F1F"/>
                <w:sz w:val="18"/>
              </w:rPr>
              <w:t>土压项目为例，对两个工序进行对比分析，得到两种不同工序各自的优缺点，可为后续大直径盾</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842.0" w:type="dxa"/>
      </w:tblPr>
      <w:tblGrid>
        <w:gridCol w:w="5033"/>
        <w:gridCol w:w="5033"/>
      </w:tblGrid>
      <w:tr>
        <w:trPr>
          <w:trHeight w:hRule="exact" w:val="564"/>
        </w:trPr>
        <w:tc>
          <w:tcPr>
            <w:tcW w:type="dxa" w:w="1098"/>
            <w:tcBorders>
              <w:bottom w:sz="3.4000000953674316" w:val="single" w:color="#221F1F"/>
            </w:tcBorders>
            <w:shd w:fill="e6e7e8"/>
            <w:tcMar>
              <w:start w:w="0" w:type="dxa"/>
              <w:end w:w="0" w:type="dxa"/>
            </w:tcMar>
          </w:tcPr>
          <w:p>
            <w:pPr>
              <w:autoSpaceDN w:val="0"/>
              <w:autoSpaceDE w:val="0"/>
              <w:widowControl/>
              <w:spacing w:line="185" w:lineRule="auto" w:before="328" w:after="0"/>
              <w:ind w:left="0" w:right="26" w:firstLine="0"/>
              <w:jc w:val="right"/>
            </w:pPr>
            <w:r>
              <w:rPr>
                <w:rFonts w:ascii="HYb1gj" w:hAnsi="HYb1gj" w:eastAsia="HYb1gj"/>
                <w:b w:val="0"/>
                <w:i w:val="0"/>
                <w:color w:val="221F1F"/>
                <w:sz w:val="18"/>
              </w:rPr>
              <w:t>[ 关键词]</w:t>
            </w:r>
          </w:p>
        </w:tc>
        <w:tc>
          <w:tcPr>
            <w:tcW w:type="dxa" w:w="8096"/>
            <w:tcBorders>
              <w:bottom w:sz="3.4000000953674316" w:val="single" w:color="#221F1F"/>
            </w:tcBorders>
            <w:shd w:fill="e6e7e8"/>
            <w:tcMar>
              <w:start w:w="0" w:type="dxa"/>
              <w:end w:w="0" w:type="dxa"/>
            </w:tcMar>
          </w:tcPr>
          <w:p>
            <w:pPr>
              <w:autoSpaceDN w:val="0"/>
              <w:autoSpaceDE w:val="0"/>
              <w:widowControl/>
              <w:spacing w:line="185" w:lineRule="auto" w:before="50" w:after="0"/>
              <w:ind w:left="42" w:right="0" w:firstLine="0"/>
              <w:jc w:val="left"/>
            </w:pPr>
            <w:r>
              <w:rPr>
                <w:rFonts w:ascii="HYa6gj" w:hAnsi="HYa6gj" w:eastAsia="HYa6gj"/>
                <w:b w:val="0"/>
                <w:i w:val="0"/>
                <w:color w:val="221F1F"/>
                <w:sz w:val="18"/>
              </w:rPr>
              <w:t>构隧道预制箱涵拼装工序的选择提供理论指导。</w:t>
            </w:r>
          </w:p>
          <w:p>
            <w:pPr>
              <w:autoSpaceDN w:val="0"/>
              <w:autoSpaceDE w:val="0"/>
              <w:widowControl/>
              <w:spacing w:line="185" w:lineRule="auto" w:before="100" w:after="0"/>
              <w:ind w:left="42" w:right="0" w:firstLine="0"/>
              <w:jc w:val="left"/>
            </w:pPr>
            <w:r>
              <w:rPr>
                <w:rFonts w:ascii="HYa6gj" w:hAnsi="HYa6gj" w:eastAsia="HYa6gj"/>
                <w:b w:val="0"/>
                <w:i w:val="0"/>
                <w:color w:val="221F1F"/>
                <w:sz w:val="18"/>
              </w:rPr>
              <w:t>大直径盾构隧道；预制箱涵；同步拼装；独立拼装；施工风险；吊运效率成本</w:t>
            </w:r>
          </w:p>
        </w:tc>
      </w:tr>
    </w:tbl>
    <w:p>
      <w:pPr>
        <w:autoSpaceDN w:val="0"/>
        <w:autoSpaceDE w:val="0"/>
        <w:widowControl/>
        <w:spacing w:line="240" w:lineRule="exact" w:before="52" w:after="258"/>
        <w:ind w:left="1126" w:right="0" w:firstLine="0"/>
        <w:jc w:val="left"/>
      </w:pPr>
      <w:r>
        <w:rPr>
          <w:rFonts w:ascii="Times" w:hAnsi="Times" w:eastAsia="Times"/>
          <w:b w:val="0"/>
          <w:i w:val="0"/>
          <w:color w:val="000000"/>
          <w:sz w:val="18"/>
        </w:rPr>
        <w:t>DOI:10.13311/j.cnki.conmec.2021.09.004</w:t>
      </w:r>
    </w:p>
    <w:p>
      <w:pPr>
        <w:sectPr>
          <w:pgSz w:w="11906" w:h="16157"/>
          <w:pgMar w:top="384" w:right="1440" w:bottom="168" w:left="400" w:header="720" w:footer="720" w:gutter="0"/>
          <w:cols/>
          <w:docGrid w:linePitch="360"/>
        </w:sectPr>
      </w:pPr>
    </w:p>
    <w:p>
      <w:pPr>
        <w:autoSpaceDN w:val="0"/>
        <w:autoSpaceDE w:val="0"/>
        <w:widowControl/>
        <w:spacing w:line="262" w:lineRule="auto" w:before="0" w:after="0"/>
        <w:ind w:left="848" w:right="226" w:firstLine="408"/>
        <w:jc w:val="both"/>
      </w:pPr>
      <w:r>
        <w:rPr>
          <w:w w:val="101.00000381469727"/>
          <w:rFonts w:ascii="HYa6gj" w:hAnsi="HYa6gj" w:eastAsia="HYa6gj"/>
          <w:b w:val="0"/>
          <w:i w:val="0"/>
          <w:color w:val="221F1F"/>
          <w:sz w:val="20"/>
        </w:rPr>
        <w:t>随着国内大城市化、特大城市化的快速发展</w:t>
      </w:r>
      <w:r>
        <w:rPr>
          <w:w w:val="101.00000381469727"/>
          <w:rFonts w:ascii="HYa6gj" w:hAnsi="HYa6gj" w:eastAsia="HYa6gj"/>
          <w:b w:val="0"/>
          <w:i w:val="0"/>
          <w:color w:val="221F1F"/>
          <w:sz w:val="20"/>
        </w:rPr>
        <w:t>以及盾构法的日趋成熟，为减少施工次数，减少</w:t>
      </w:r>
      <w:r>
        <w:rPr>
          <w:w w:val="101.00000381469727"/>
          <w:rFonts w:ascii="HYa6gj" w:hAnsi="HYa6gj" w:eastAsia="HYa6gj"/>
          <w:b w:val="0"/>
          <w:i w:val="0"/>
          <w:color w:val="221F1F"/>
          <w:sz w:val="20"/>
        </w:rPr>
        <w:t>因始发、下穿等给城市带来的影响，盾构隧道逐</w:t>
      </w:r>
    </w:p>
    <w:p>
      <w:pPr>
        <w:sectPr>
          <w:type w:val="continuous"/>
          <w:pgSz w:w="11906" w:h="16157"/>
          <w:pgMar w:top="384" w:right="1440" w:bottom="168" w:left="400" w:header="720" w:footer="720" w:gutter="0"/>
          <w:cols w:num="2" w:equalWidth="0">
            <w:col w:w="5440" w:space="0"/>
            <w:col w:w="4625" w:space="0"/>
          </w:cols>
          <w:docGrid w:linePitch="360"/>
        </w:sectPr>
      </w:pPr>
    </w:p>
    <w:p>
      <w:pPr>
        <w:autoSpaceDN w:val="0"/>
        <w:autoSpaceDE w:val="0"/>
        <w:widowControl/>
        <w:spacing w:line="370" w:lineRule="exact" w:before="0" w:after="224"/>
        <w:ind w:left="226" w:right="0" w:firstLine="0"/>
        <w:jc w:val="left"/>
      </w:pPr>
      <w:r>
        <w:rPr>
          <w:w w:val="101.00000381469727"/>
          <w:rFonts w:ascii="HYa6gj" w:hAnsi="HYa6gj" w:eastAsia="HYa6gj"/>
          <w:b w:val="0"/>
          <w:i w:val="0"/>
          <w:color w:val="221F1F"/>
          <w:sz w:val="20"/>
        </w:rPr>
        <w:t>盾构隧道预制箱涵拼装工序的选择提供理论指导。</w:t>
      </w:r>
      <w:r>
        <w:rPr>
          <w:rFonts w:ascii="Times" w:hAnsi="Times" w:eastAsia="Times"/>
          <w:b/>
          <w:i w:val="0"/>
          <w:color w:val="221F1F"/>
          <w:sz w:val="24"/>
        </w:rPr>
        <w:t>1</w:t>
      </w:r>
      <w:r>
        <w:rPr>
          <w:rFonts w:ascii="HYb1gj" w:hAnsi="HYb1gj" w:eastAsia="HYb1gj"/>
          <w:b w:val="0"/>
          <w:i w:val="0"/>
          <w:color w:val="221F1F"/>
          <w:sz w:val="24"/>
        </w:rPr>
        <w:t xml:space="preserve"> 预制箱涵拼装工序介绍</w:t>
      </w:r>
    </w:p>
    <w:p>
      <w:pPr>
        <w:sectPr>
          <w:type w:val="nextColumn"/>
          <w:pgSz w:w="11906" w:h="16157"/>
          <w:pgMar w:top="384" w:right="1440" w:bottom="168" w:left="400" w:header="720" w:footer="720" w:gutter="0"/>
          <w:cols w:num="2" w:equalWidth="0">
            <w:col w:w="5440" w:space="0"/>
            <w:col w:w="4625" w:space="0"/>
          </w:cols>
          <w:docGrid w:linePitch="360"/>
        </w:sectPr>
      </w:pPr>
    </w:p>
    <w:p>
      <w:pPr>
        <w:autoSpaceDN w:val="0"/>
        <w:tabs>
          <w:tab w:pos="5666" w:val="left"/>
        </w:tabs>
        <w:autoSpaceDE w:val="0"/>
        <w:widowControl/>
        <w:spacing w:line="202" w:lineRule="exact" w:before="0" w:after="124"/>
        <w:ind w:left="848" w:right="0" w:firstLine="0"/>
        <w:jc w:val="left"/>
      </w:pPr>
      <w:r>
        <w:rPr>
          <w:w w:val="101.00000381469727"/>
          <w:rFonts w:ascii="HYa6gj" w:hAnsi="HYa6gj" w:eastAsia="HYa6gj"/>
          <w:b w:val="0"/>
          <w:i w:val="0"/>
          <w:color w:val="221F1F"/>
          <w:sz w:val="20"/>
        </w:rPr>
        <w:t>渐向单洞多车道的大直径、超大直径隧道发展，</w:t>
      </w:r>
      <w:r>
        <w:tab/>
      </w:r>
      <w:r>
        <w:rPr>
          <w:w w:val="101.00000381469727"/>
          <w:rFonts w:ascii="Times" w:hAnsi="Times" w:eastAsia="Times"/>
          <w:b/>
          <w:i w:val="0"/>
          <w:color w:val="221F1F"/>
          <w:sz w:val="20"/>
        </w:rPr>
        <w:t>1</w:t>
      </w:r>
      <w:r>
        <w:rPr>
          <w:w w:val="101.00000381469727"/>
          <w:rFonts w:ascii="TimesNewRomanPSMT" w:hAnsi="TimesNewRomanPSMT" w:eastAsia="TimesNewRomanPSMT"/>
          <w:b w:val="0"/>
          <w:i w:val="0"/>
          <w:color w:val="221F1F"/>
          <w:sz w:val="20"/>
        </w:rPr>
        <w:t>.</w:t>
      </w:r>
      <w:r>
        <w:rPr>
          <w:w w:val="101.00000381469727"/>
          <w:rFonts w:ascii="Times" w:hAnsi="Times" w:eastAsia="Times"/>
          <w:b/>
          <w:i w:val="0"/>
          <w:color w:val="221F1F"/>
          <w:sz w:val="20"/>
        </w:rPr>
        <w:t>1</w:t>
      </w:r>
      <w:r>
        <w:rPr>
          <w:w w:val="101.00000381469727"/>
          <w:rFonts w:ascii="HYb1gj" w:hAnsi="HYb1gj" w:eastAsia="HYb1gj"/>
          <w:b w:val="0"/>
          <w:i w:val="0"/>
          <w:color w:val="221F1F"/>
          <w:sz w:val="20"/>
        </w:rPr>
        <w:t xml:space="preserve"> 同步拼装</w:t>
      </w:r>
    </w:p>
    <w:p>
      <w:pPr>
        <w:sectPr>
          <w:type w:val="continuous"/>
          <w:pgSz w:w="11906" w:h="16157"/>
          <w:pgMar w:top="384" w:right="1440" w:bottom="168" w:left="400" w:header="720" w:footer="720" w:gutter="0"/>
          <w:cols/>
          <w:docGrid w:linePitch="360"/>
        </w:sectPr>
      </w:pPr>
    </w:p>
    <w:p>
      <w:pPr>
        <w:autoSpaceDN w:val="0"/>
        <w:autoSpaceDE w:val="0"/>
        <w:widowControl/>
        <w:spacing w:line="245" w:lineRule="auto" w:before="0" w:after="0"/>
        <w:ind w:left="848" w:right="144" w:firstLine="0"/>
        <w:jc w:val="left"/>
      </w:pPr>
      <w:r>
        <w:rPr>
          <w:w w:val="101.00000381469727"/>
          <w:rFonts w:ascii="HYa6gj" w:hAnsi="HYa6gj" w:eastAsia="HYa6gj"/>
          <w:b w:val="0"/>
          <w:i w:val="0"/>
          <w:color w:val="221F1F"/>
          <w:sz w:val="20"/>
        </w:rPr>
        <w:t>以便一次开挖成型多条车道。大直径隧道建成后，</w:t>
      </w:r>
      <w:r>
        <w:rPr>
          <w:w w:val="101.00000381469727"/>
          <w:rFonts w:ascii="HYa6gj" w:hAnsi="HYa6gj" w:eastAsia="HYa6gj"/>
          <w:b w:val="0"/>
          <w:i w:val="0"/>
          <w:color w:val="221F1F"/>
          <w:sz w:val="20"/>
        </w:rPr>
        <w:t>其轨下结构担负污水排放、隧道通风及存放电缆</w:t>
      </w:r>
    </w:p>
    <w:p>
      <w:pPr>
        <w:sectPr>
          <w:type w:val="continuous"/>
          <w:pgSz w:w="11906" w:h="16157"/>
          <w:pgMar w:top="384" w:right="1440" w:bottom="168" w:left="400" w:header="720" w:footer="720" w:gutter="0"/>
          <w:cols w:num="2" w:equalWidth="0">
            <w:col w:w="5440" w:space="0"/>
            <w:col w:w="4625" w:space="0"/>
          </w:cols>
          <w:docGrid w:linePitch="360"/>
        </w:sectPr>
      </w:pPr>
    </w:p>
    <w:p>
      <w:pPr>
        <w:autoSpaceDN w:val="0"/>
        <w:autoSpaceDE w:val="0"/>
        <w:widowControl/>
        <w:spacing w:line="245" w:lineRule="auto" w:before="0" w:after="124"/>
        <w:ind w:left="226" w:right="0" w:firstLine="408"/>
        <w:jc w:val="left"/>
      </w:pPr>
      <w:r>
        <w:rPr>
          <w:w w:val="101.00000381469727"/>
          <w:rFonts w:ascii="HYa6gj" w:hAnsi="HYa6gj" w:eastAsia="HYa6gj"/>
          <w:b w:val="0"/>
          <w:i w:val="0"/>
          <w:color w:val="221F1F"/>
          <w:sz w:val="20"/>
        </w:rPr>
        <w:t>预制箱涵随同盾构同步拼装工序：预制箱涵</w:t>
      </w:r>
      <w:r>
        <w:rPr>
          <w:w w:val="101.00000381469727"/>
          <w:rFonts w:ascii="HYa6gj" w:hAnsi="HYa6gj" w:eastAsia="HYa6gj"/>
          <w:b w:val="0"/>
          <w:i w:val="0"/>
          <w:color w:val="221F1F"/>
          <w:sz w:val="20"/>
        </w:rPr>
        <w:t>拼装位于盾构后配套前部连接桥区域；盾构后配</w:t>
      </w:r>
    </w:p>
    <w:p>
      <w:pPr>
        <w:sectPr>
          <w:type w:val="nextColumn"/>
          <w:pgSz w:w="11906" w:h="16157"/>
          <w:pgMar w:top="384" w:right="1440" w:bottom="168" w:left="400" w:header="720" w:footer="720" w:gutter="0"/>
          <w:cols w:num="2" w:equalWidth="0">
            <w:col w:w="5440" w:space="0"/>
            <w:col w:w="4625" w:space="0"/>
          </w:cols>
          <w:docGrid w:linePitch="360"/>
        </w:sectPr>
      </w:pPr>
    </w:p>
    <w:p>
      <w:pPr>
        <w:autoSpaceDN w:val="0"/>
        <w:tabs>
          <w:tab w:pos="5666" w:val="left"/>
        </w:tabs>
        <w:autoSpaceDE w:val="0"/>
        <w:widowControl/>
        <w:spacing w:line="187" w:lineRule="auto" w:before="0" w:after="124"/>
        <w:ind w:left="848" w:right="0" w:firstLine="0"/>
        <w:jc w:val="left"/>
      </w:pPr>
      <w:r>
        <w:rPr>
          <w:w w:val="101.00000381469727"/>
          <w:rFonts w:ascii="HYa6gj" w:hAnsi="HYa6gj" w:eastAsia="HYa6gj"/>
          <w:b w:val="0"/>
          <w:i w:val="0"/>
          <w:color w:val="221F1F"/>
          <w:sz w:val="20"/>
        </w:rPr>
        <w:t>等功能</w:t>
      </w:r>
      <w:r>
        <w:rPr>
          <w:w w:val="98.13833236694336"/>
          <w:rFonts w:ascii="HYa6gj" w:hAnsi="HYa6gj" w:eastAsia="HYa6gj"/>
          <w:b w:val="0"/>
          <w:i w:val="0"/>
          <w:color w:val="221F1F"/>
          <w:sz w:val="12"/>
        </w:rPr>
        <w:t>[1～2]</w:t>
      </w:r>
      <w:r>
        <w:rPr>
          <w:w w:val="101.00000381469727"/>
          <w:rFonts w:ascii="HYa6gj" w:hAnsi="HYa6gj" w:eastAsia="HYa6gj"/>
          <w:b w:val="0"/>
          <w:i w:val="0"/>
          <w:color w:val="221F1F"/>
          <w:sz w:val="20"/>
        </w:rPr>
        <w:t>。</w:t>
      </w:r>
      <w:r>
        <w:tab/>
      </w:r>
      <w:r>
        <w:rPr>
          <w:w w:val="101.00000381469727"/>
          <w:rFonts w:ascii="HYa6gj" w:hAnsi="HYa6gj" w:eastAsia="HYa6gj"/>
          <w:b w:val="0"/>
          <w:i w:val="0"/>
          <w:color w:val="221F1F"/>
          <w:sz w:val="20"/>
        </w:rPr>
        <w:t>套除配置有管片吊机外，还配置有箱涵吊机，预</w:t>
      </w:r>
    </w:p>
    <w:p>
      <w:pPr>
        <w:sectPr>
          <w:type w:val="continuous"/>
          <w:pgSz w:w="11906" w:h="16157"/>
          <w:pgMar w:top="384" w:right="1440" w:bottom="168" w:left="400" w:header="720" w:footer="720" w:gutter="0"/>
          <w:cols/>
          <w:docGrid w:linePitch="360"/>
        </w:sectPr>
      </w:pPr>
    </w:p>
    <w:p>
      <w:pPr>
        <w:autoSpaceDN w:val="0"/>
        <w:autoSpaceDE w:val="0"/>
        <w:widowControl/>
        <w:spacing w:line="276" w:lineRule="auto" w:before="0" w:after="0"/>
        <w:ind w:left="848" w:right="224" w:firstLine="408"/>
        <w:jc w:val="both"/>
      </w:pPr>
      <w:r>
        <w:rPr>
          <w:w w:val="101.00000381469727"/>
          <w:rFonts w:ascii="HYa6gj" w:hAnsi="HYa6gj" w:eastAsia="HYa6gj"/>
          <w:b w:val="0"/>
          <w:i w:val="0"/>
          <w:color w:val="221F1F"/>
          <w:sz w:val="20"/>
        </w:rPr>
        <w:t>目前轨下结构大多采用台车现浇方案或预制</w:t>
      </w:r>
      <w:r>
        <w:rPr>
          <w:w w:val="101.00000381469727"/>
          <w:rFonts w:ascii="HYa6gj" w:hAnsi="HYa6gj" w:eastAsia="HYa6gj"/>
          <w:b w:val="0"/>
          <w:i w:val="0"/>
          <w:color w:val="221F1F"/>
          <w:sz w:val="20"/>
        </w:rPr>
        <w:t>箱涵拼装方案</w:t>
      </w:r>
      <w:r>
        <w:rPr>
          <w:w w:val="98.13833236694336"/>
          <w:rFonts w:ascii="HYa6gj" w:hAnsi="HYa6gj" w:eastAsia="HYa6gj"/>
          <w:b w:val="0"/>
          <w:i w:val="0"/>
          <w:color w:val="221F1F"/>
          <w:sz w:val="12"/>
        </w:rPr>
        <w:t>[3]</w:t>
      </w:r>
      <w:r>
        <w:rPr>
          <w:w w:val="101.00000381469727"/>
          <w:rFonts w:ascii="HYa6gj" w:hAnsi="HYa6gj" w:eastAsia="HYa6gj"/>
          <w:b w:val="0"/>
          <w:i w:val="0"/>
          <w:color w:val="221F1F"/>
          <w:sz w:val="20"/>
        </w:rPr>
        <w:t>。经过对比，预制箱涵拼装方案</w:t>
      </w:r>
      <w:r>
        <w:rPr>
          <w:w w:val="101.00000381469727"/>
          <w:rFonts w:ascii="HYa6gj" w:hAnsi="HYa6gj" w:eastAsia="HYa6gj"/>
          <w:b w:val="0"/>
          <w:i w:val="0"/>
          <w:color w:val="221F1F"/>
          <w:sz w:val="20"/>
        </w:rPr>
        <w:t>在施工工效、质量、环境等方面具有明显优势。</w:t>
      </w:r>
      <w:r>
        <w:rPr>
          <w:w w:val="101.00000381469727"/>
          <w:rFonts w:ascii="HYa6gj" w:hAnsi="HYa6gj" w:eastAsia="HYa6gj"/>
          <w:b w:val="0"/>
          <w:i w:val="0"/>
          <w:color w:val="221F1F"/>
          <w:sz w:val="20"/>
        </w:rPr>
        <w:t>因此，大直径隧道建设中，采用预制箱涵拼装方</w:t>
      </w:r>
      <w:r>
        <w:rPr>
          <w:w w:val="101.00000381469727"/>
          <w:rFonts w:ascii="HYa6gj" w:hAnsi="HYa6gj" w:eastAsia="HYa6gj"/>
          <w:b w:val="0"/>
          <w:i w:val="0"/>
          <w:color w:val="221F1F"/>
          <w:sz w:val="20"/>
        </w:rPr>
        <w:t>案成为当下趋势。</w:t>
      </w:r>
    </w:p>
    <w:p>
      <w:pPr>
        <w:autoSpaceDN w:val="0"/>
        <w:autoSpaceDE w:val="0"/>
        <w:widowControl/>
        <w:spacing w:line="290" w:lineRule="auto" w:before="126" w:after="0"/>
        <w:ind w:left="848" w:right="224" w:firstLine="408"/>
        <w:jc w:val="both"/>
      </w:pPr>
      <w:r>
        <w:rPr>
          <w:w w:val="101.00000381469727"/>
          <w:rFonts w:ascii="HYa6gj" w:hAnsi="HYa6gj" w:eastAsia="HYa6gj"/>
          <w:b w:val="0"/>
          <w:i w:val="0"/>
          <w:color w:val="221F1F"/>
          <w:sz w:val="20"/>
        </w:rPr>
        <w:t>预制箱涵拼装位置可根据项目本身具体情况</w:t>
      </w:r>
      <w:r>
        <w:rPr>
          <w:w w:val="101.00000381469727"/>
          <w:rFonts w:ascii="HYa6gj" w:hAnsi="HYa6gj" w:eastAsia="HYa6gj"/>
          <w:b w:val="0"/>
          <w:i w:val="0"/>
          <w:color w:val="221F1F"/>
          <w:sz w:val="20"/>
        </w:rPr>
        <w:t>进行选择。目前，国内预制箱涵拼装位置大多在</w:t>
      </w:r>
      <w:r>
        <w:rPr>
          <w:w w:val="101.00000381469727"/>
          <w:rFonts w:ascii="HYa6gj" w:hAnsi="HYa6gj" w:eastAsia="HYa6gj"/>
          <w:b w:val="0"/>
          <w:i w:val="0"/>
          <w:color w:val="221F1F"/>
          <w:sz w:val="20"/>
        </w:rPr>
        <w:t>盾构后配套区域前部，即预制箱涵跟随盾构同步</w:t>
      </w:r>
      <w:r>
        <w:rPr>
          <w:w w:val="101.00000381469727"/>
          <w:rFonts w:ascii="HYa6gj" w:hAnsi="HYa6gj" w:eastAsia="HYa6gj"/>
          <w:b w:val="0"/>
          <w:i w:val="0"/>
          <w:color w:val="221F1F"/>
          <w:sz w:val="20"/>
        </w:rPr>
        <w:t>拼装。然而，在国外，部分项目已经开始采用预</w:t>
      </w:r>
      <w:r>
        <w:rPr>
          <w:w w:val="101.00000381469727"/>
          <w:rFonts w:ascii="HYa6gj" w:hAnsi="HYa6gj" w:eastAsia="HYa6gj"/>
          <w:b w:val="0"/>
          <w:i w:val="0"/>
          <w:color w:val="221F1F"/>
          <w:sz w:val="20"/>
        </w:rPr>
        <w:t>制箱涵拼装与盾构施工位置分离的方法，即预制</w:t>
      </w:r>
      <w:r>
        <w:rPr>
          <w:w w:val="101.00000381469727"/>
          <w:rFonts w:ascii="HYa6gj" w:hAnsi="HYa6gj" w:eastAsia="HYa6gj"/>
          <w:b w:val="0"/>
          <w:i w:val="0"/>
          <w:color w:val="221F1F"/>
          <w:sz w:val="20"/>
        </w:rPr>
        <w:t>箱涵位于盾构后部区域并进行独立拼装。因此，</w:t>
      </w:r>
      <w:r>
        <w:rPr>
          <w:w w:val="101.00000381469727"/>
          <w:rFonts w:ascii="HYa6gj" w:hAnsi="HYa6gj" w:eastAsia="HYa6gj"/>
          <w:b w:val="0"/>
          <w:i w:val="0"/>
          <w:color w:val="221F1F"/>
          <w:sz w:val="20"/>
        </w:rPr>
        <w:t>针对预制箱涵拼装的工序研究，即隧道中预制箱</w:t>
      </w:r>
      <w:r>
        <w:rPr>
          <w:w w:val="101.00000381469727"/>
          <w:rFonts w:ascii="HYa6gj" w:hAnsi="HYa6gj" w:eastAsia="HYa6gj"/>
          <w:b w:val="0"/>
          <w:i w:val="0"/>
          <w:color w:val="221F1F"/>
          <w:sz w:val="20"/>
        </w:rPr>
        <w:t>涵的拼装工序是选择同步拼装还是独立拼装，是</w:t>
      </w:r>
      <w:r>
        <w:rPr>
          <w:w w:val="101.00000381469727"/>
          <w:rFonts w:ascii="HYa6gj" w:hAnsi="HYa6gj" w:eastAsia="HYa6gj"/>
          <w:b w:val="0"/>
          <w:i w:val="0"/>
          <w:color w:val="221F1F"/>
          <w:sz w:val="20"/>
        </w:rPr>
        <w:t>一个全新的课题。本文首先对上述两个预制箱涵</w:t>
      </w:r>
      <w:r>
        <w:rPr>
          <w:w w:val="101.00000381469727"/>
          <w:rFonts w:ascii="HYa6gj" w:hAnsi="HYa6gj" w:eastAsia="HYa6gj"/>
          <w:b w:val="0"/>
          <w:i w:val="0"/>
          <w:color w:val="221F1F"/>
          <w:sz w:val="20"/>
        </w:rPr>
        <w:t>施工工序进行结构描述，并通过某大直径土压项</w:t>
      </w:r>
      <w:r>
        <w:rPr>
          <w:w w:val="101.00000381469727"/>
          <w:rFonts w:ascii="HYa6gj" w:hAnsi="HYa6gj" w:eastAsia="HYa6gj"/>
          <w:b w:val="0"/>
          <w:i w:val="0"/>
          <w:color w:val="221F1F"/>
          <w:sz w:val="20"/>
        </w:rPr>
        <w:t>目，进行两种预制箱涵施工工序方案的对比分</w:t>
      </w:r>
      <w:r>
        <w:rPr>
          <w:w w:val="101.00000381469727"/>
          <w:rFonts w:ascii="HYa6gj" w:hAnsi="HYa6gj" w:eastAsia="HYa6gj"/>
          <w:b w:val="0"/>
          <w:i w:val="0"/>
          <w:color w:val="221F1F"/>
          <w:sz w:val="20"/>
        </w:rPr>
        <w:t>析，得到不同工序的优缺点，从而对后续大直径</w:t>
      </w:r>
    </w:p>
    <w:p>
      <w:pPr>
        <w:sectPr>
          <w:type w:val="continuous"/>
          <w:pgSz w:w="11906" w:h="16157"/>
          <w:pgMar w:top="384" w:right="1440" w:bottom="168" w:left="400" w:header="720" w:footer="720" w:gutter="0"/>
          <w:cols w:num="2" w:equalWidth="0">
            <w:col w:w="5438" w:space="0"/>
            <w:col w:w="4628" w:space="0"/>
          </w:cols>
          <w:docGrid w:linePitch="360"/>
        </w:sectPr>
      </w:pPr>
    </w:p>
    <w:p>
      <w:pPr>
        <w:autoSpaceDN w:val="0"/>
        <w:autoSpaceDE w:val="0"/>
        <w:widowControl/>
        <w:spacing w:line="276" w:lineRule="auto" w:before="0" w:after="0"/>
        <w:ind w:left="228" w:right="34" w:firstLine="0"/>
        <w:jc w:val="both"/>
      </w:pPr>
      <w:r>
        <w:rPr>
          <w:w w:val="101.00000381469727"/>
          <w:rFonts w:ascii="HYa6gj" w:hAnsi="HYa6gj" w:eastAsia="HYa6gj"/>
          <w:b w:val="0"/>
          <w:i w:val="0"/>
          <w:color w:val="221F1F"/>
          <w:sz w:val="20"/>
        </w:rPr>
        <w:t>制箱涵通过管片运输车辆运输至盾构既定区域，</w:t>
      </w:r>
      <w:r>
        <w:rPr>
          <w:w w:val="101.00000381469727"/>
          <w:rFonts w:ascii="HYa6gj" w:hAnsi="HYa6gj" w:eastAsia="HYa6gj"/>
          <w:b w:val="0"/>
          <w:i w:val="0"/>
          <w:color w:val="221F1F"/>
          <w:sz w:val="20"/>
        </w:rPr>
        <w:t>通过箱涵吊机完成在连接桥下部的拼装，如图1</w:t>
      </w:r>
      <w:r>
        <w:rPr>
          <w:w w:val="101.00000381469727"/>
          <w:rFonts w:ascii="HYa6gj" w:hAnsi="HYa6gj" w:eastAsia="HYa6gj"/>
          <w:b w:val="0"/>
          <w:i w:val="0"/>
          <w:color w:val="221F1F"/>
          <w:sz w:val="20"/>
        </w:rPr>
        <w:t>所示。该预制箱涵拼装工序为目前国内隧道绝大</w:t>
      </w:r>
      <w:r>
        <w:rPr>
          <w:w w:val="101.00000381469727"/>
          <w:rFonts w:ascii="HYa6gj" w:hAnsi="HYa6gj" w:eastAsia="HYa6gj"/>
          <w:b w:val="0"/>
          <w:i w:val="0"/>
          <w:color w:val="221F1F"/>
          <w:sz w:val="20"/>
        </w:rPr>
        <w:t>部分采用的拼装工序，例如：京张高铁清华园隧</w:t>
      </w:r>
      <w:r>
        <w:rPr>
          <w:w w:val="101.00000381469727"/>
          <w:rFonts w:ascii="HYa6gj" w:hAnsi="HYa6gj" w:eastAsia="HYa6gj"/>
          <w:b w:val="0"/>
          <w:i w:val="0"/>
          <w:color w:val="221F1F"/>
          <w:sz w:val="20"/>
        </w:rPr>
        <w:t>道、大连地铁5 号线、汕头苏埃通道、深圳春风</w:t>
      </w:r>
    </w:p>
    <w:p>
      <w:pPr>
        <w:autoSpaceDN w:val="0"/>
        <w:tabs>
          <w:tab w:pos="1474" w:val="left"/>
          <w:tab w:pos="2084" w:val="left"/>
          <w:tab w:pos="3178" w:val="left"/>
        </w:tabs>
        <w:autoSpaceDE w:val="0"/>
        <w:widowControl/>
        <w:spacing w:line="148" w:lineRule="exact" w:before="188" w:after="0"/>
        <w:ind w:left="740" w:right="0" w:firstLine="0"/>
        <w:jc w:val="left"/>
      </w:pPr>
      <w:r>
        <w:rPr>
          <w:w w:val="98.75846275916467"/>
          <w:rFonts w:ascii="AdobeSongStd" w:hAnsi="AdobeSongStd" w:eastAsia="AdobeSongStd"/>
          <w:b w:val="0"/>
          <w:i w:val="0"/>
          <w:color w:val="221F1F"/>
          <w:sz w:val="13"/>
        </w:rPr>
        <w:t>管片吊机</w:t>
      </w:r>
      <w:r>
        <w:tab/>
      </w:r>
      <w:r>
        <w:rPr>
          <w:w w:val="98.75846275916467"/>
          <w:rFonts w:ascii="AdobeSongStd" w:hAnsi="AdobeSongStd" w:eastAsia="AdobeSongStd"/>
          <w:b w:val="0"/>
          <w:i w:val="0"/>
          <w:color w:val="221F1F"/>
          <w:sz w:val="13"/>
        </w:rPr>
        <w:t>连接桥</w:t>
      </w:r>
      <w:r>
        <w:tab/>
      </w:r>
      <w:r>
        <w:rPr>
          <w:w w:val="98.75846275916467"/>
          <w:rFonts w:ascii="AdobeSongStd" w:hAnsi="AdobeSongStd" w:eastAsia="AdobeSongStd"/>
          <w:b w:val="0"/>
          <w:i w:val="0"/>
          <w:color w:val="221F1F"/>
          <w:sz w:val="13"/>
        </w:rPr>
        <w:t>箱涵吊机</w:t>
      </w:r>
      <w:r>
        <w:tab/>
      </w:r>
      <w:r>
        <w:rPr>
          <w:w w:val="98.75846275916467"/>
          <w:rFonts w:ascii="AdobeSongStd" w:hAnsi="AdobeSongStd" w:eastAsia="AdobeSongStd"/>
          <w:b w:val="0"/>
          <w:i w:val="0"/>
          <w:color w:val="221F1F"/>
          <w:sz w:val="13"/>
        </w:rPr>
        <w:t>台车1</w:t>
      </w:r>
    </w:p>
    <w:p>
      <w:pPr>
        <w:autoSpaceDN w:val="0"/>
        <w:autoSpaceDE w:val="0"/>
        <w:widowControl/>
        <w:spacing w:line="240" w:lineRule="auto" w:before="0" w:after="0"/>
        <w:ind w:left="222" w:right="0" w:firstLine="0"/>
        <w:jc w:val="left"/>
      </w:pPr>
      <w:r>
        <w:drawing>
          <wp:inline xmlns:a="http://schemas.openxmlformats.org/drawingml/2006/main" xmlns:pic="http://schemas.openxmlformats.org/drawingml/2006/picture">
            <wp:extent cx="2781300" cy="7493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81300" cy="749300"/>
                    </a:xfrm>
                    <a:prstGeom prst="rect"/>
                  </pic:spPr>
                </pic:pic>
              </a:graphicData>
            </a:graphic>
          </wp:inline>
        </w:drawing>
      </w:r>
    </w:p>
    <w:p>
      <w:pPr>
        <w:autoSpaceDN w:val="0"/>
        <w:autoSpaceDE w:val="0"/>
        <w:widowControl/>
        <w:spacing w:line="148" w:lineRule="exact" w:before="4" w:after="0"/>
        <w:ind w:left="0" w:right="2036" w:firstLine="0"/>
        <w:jc w:val="right"/>
      </w:pPr>
      <w:r>
        <w:rPr>
          <w:w w:val="98.75846275916467"/>
          <w:rFonts w:ascii="AdobeSongStd" w:hAnsi="AdobeSongStd" w:eastAsia="AdobeSongStd"/>
          <w:b w:val="0"/>
          <w:i w:val="0"/>
          <w:color w:val="221F1F"/>
          <w:sz w:val="13"/>
        </w:rPr>
        <w:t>预制箱涵拼装区域</w:t>
      </w:r>
    </w:p>
    <w:p>
      <w:pPr>
        <w:autoSpaceDN w:val="0"/>
        <w:autoSpaceDE w:val="0"/>
        <w:widowControl/>
        <w:spacing w:line="240" w:lineRule="auto" w:before="182" w:after="0"/>
        <w:ind w:left="0" w:right="1004" w:firstLine="0"/>
        <w:jc w:val="right"/>
      </w:pPr>
      <w:r>
        <w:drawing>
          <wp:inline xmlns:a="http://schemas.openxmlformats.org/drawingml/2006/main" xmlns:pic="http://schemas.openxmlformats.org/drawingml/2006/picture">
            <wp:extent cx="1395730" cy="115188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95730" cy="1151889"/>
                    </a:xfrm>
                    <a:prstGeom prst="rect"/>
                  </pic:spPr>
                </pic:pic>
              </a:graphicData>
            </a:graphic>
          </wp:inline>
        </w:drawing>
      </w:r>
    </w:p>
    <w:p>
      <w:pPr>
        <w:autoSpaceDN w:val="0"/>
        <w:autoSpaceDE w:val="0"/>
        <w:widowControl/>
        <w:spacing w:line="200" w:lineRule="exact" w:before="96" w:after="452"/>
        <w:ind w:left="0" w:right="1092" w:firstLine="0"/>
        <w:jc w:val="right"/>
      </w:pPr>
      <w:r>
        <w:rPr>
          <w:rFonts w:ascii="HYb1gj" w:hAnsi="HYb1gj" w:eastAsia="HYb1gj"/>
          <w:b w:val="0"/>
          <w:i w:val="0"/>
          <w:color w:val="221F1F"/>
          <w:sz w:val="18"/>
        </w:rPr>
        <w:t>图</w:t>
      </w:r>
      <w:r>
        <w:rPr>
          <w:rFonts w:ascii="Times" w:hAnsi="Times" w:eastAsia="Times"/>
          <w:b/>
          <w:i w:val="0"/>
          <w:color w:val="221F1F"/>
          <w:sz w:val="18"/>
        </w:rPr>
        <w:t>1</w:t>
      </w:r>
      <w:r>
        <w:rPr>
          <w:rFonts w:ascii="HYb1gj" w:hAnsi="HYb1gj" w:eastAsia="HYb1gj"/>
          <w:b w:val="0"/>
          <w:i w:val="0"/>
          <w:color w:val="221F1F"/>
          <w:sz w:val="18"/>
        </w:rPr>
        <w:t xml:space="preserve"> 预制箱涵同步拼装工序</w:t>
      </w:r>
    </w:p>
    <w:p>
      <w:pPr>
        <w:sectPr>
          <w:type w:val="nextColumn"/>
          <w:pgSz w:w="11906" w:h="16157"/>
          <w:pgMar w:top="384" w:right="1440" w:bottom="168" w:left="400" w:header="720" w:footer="720" w:gutter="0"/>
          <w:cols w:num="2" w:equalWidth="0">
            <w:col w:w="5438" w:space="0"/>
            <w:col w:w="4628" w:space="0"/>
          </w:cols>
          <w:docGrid w:linePitch="360"/>
        </w:sectPr>
      </w:pPr>
    </w:p>
    <w:p>
      <w:pPr>
        <w:autoSpaceDN w:val="0"/>
        <w:autoSpaceDE w:val="0"/>
        <w:widowControl/>
        <w:spacing w:line="185" w:lineRule="auto" w:before="0" w:after="0"/>
        <w:ind w:left="848" w:right="0" w:firstLine="0"/>
        <w:jc w:val="left"/>
      </w:pPr>
      <w:r>
        <w:rPr>
          <w:rFonts w:ascii="HYb1gj" w:hAnsi="HYb1gj" w:eastAsia="HYb1gj"/>
          <w:b w:val="0"/>
          <w:i w:val="0"/>
          <w:color w:val="6C6E70"/>
          <w:sz w:val="32"/>
        </w:rPr>
        <w:t>18</w:t>
      </w:r>
      <w:r>
        <w:rPr>
          <w:rFonts w:ascii="HYb1gj" w:hAnsi="HYb1gj" w:eastAsia="HYb1gj"/>
          <w:b w:val="0"/>
          <w:i w:val="0"/>
          <w:color w:val="221F1F"/>
          <w:sz w:val="15"/>
        </w:rPr>
        <w:t xml:space="preserve"> 2021(09) </w:t>
      </w:r>
      <w:r>
        <w:rPr>
          <w:rFonts w:ascii="HYb1gj" w:hAnsi="HYb1gj" w:eastAsia="HYb1gj"/>
          <w:b w:val="0"/>
          <w:i w:val="0"/>
          <w:color w:val="221F1F"/>
          <w:sz w:val="14"/>
        </w:rPr>
        <w:t xml:space="preserve">CONSTRUCTION MECHANIZATION </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6" w:h="16157"/>
          <w:pgMar w:top="384" w:right="1440" w:bottom="168" w:left="400" w:header="720" w:footer="720" w:gutter="0"/>
          <w:cols/>
          <w:docGrid w:linePitch="360"/>
        </w:sectPr>
      </w:pPr>
    </w:p>
    <w:p>
      <w:pPr>
        <w:autoSpaceDN w:val="0"/>
        <w:autoSpaceDE w:val="0"/>
        <w:widowControl/>
        <w:spacing w:line="220" w:lineRule="exact" w:before="0" w:after="1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935990</wp:posOffset>
            </wp:positionH>
            <wp:positionV relativeFrom="page">
              <wp:posOffset>4665980</wp:posOffset>
            </wp:positionV>
            <wp:extent cx="2721610" cy="1530312"/>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721610" cy="153031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4457700</wp:posOffset>
            </wp:positionV>
            <wp:extent cx="2730500" cy="4699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30500" cy="469900"/>
                    </a:xfrm>
                    <a:prstGeom prst="rect"/>
                  </pic:spPr>
                </pic:pic>
              </a:graphicData>
            </a:graphic>
          </wp:anchor>
        </w:drawing>
      </w:r>
    </w:p>
    <w:p>
      <w:pPr>
        <w:autoSpaceDN w:val="0"/>
        <w:autoSpaceDE w:val="0"/>
        <w:widowControl/>
        <w:spacing w:line="190" w:lineRule="auto" w:before="0" w:after="730"/>
        <w:ind w:left="0" w:right="20" w:firstLine="0"/>
        <w:jc w:val="right"/>
      </w:pPr>
      <w:r>
        <w:rPr>
          <w:rFonts w:ascii="STXihei" w:hAnsi="STXihei" w:eastAsia="STXihei"/>
          <w:b w:val="0"/>
          <w:i w:val="0"/>
          <w:color w:val="626366"/>
          <w:sz w:val="22"/>
        </w:rPr>
        <w:t>盾构工程</w:t>
      </w:r>
      <w:r>
        <w:rPr>
          <w:rFonts w:ascii="HYb9gj" w:hAnsi="HYb9gj" w:eastAsia="HYb9gj"/>
          <w:b w:val="0"/>
          <w:i w:val="0"/>
          <w:color w:val="6C6E70"/>
          <w:sz w:val="28"/>
        </w:rPr>
        <w:t>Shield Equipment &amp; Project</w:t>
      </w:r>
    </w:p>
    <w:tbl>
      <w:tblPr>
        <w:tblW w:type="auto" w:w="0"/>
        <w:tblLayout w:type="fixed"/>
        <w:tblLook w:firstColumn="1" w:firstRow="1" w:lastColumn="0" w:lastRow="0" w:noHBand="0" w:noVBand="1" w:val="04A0"/>
        <w:tblInd w:w="520.0" w:type="dxa"/>
      </w:tblPr>
      <w:tblGrid>
        <w:gridCol w:w="5309"/>
        <w:gridCol w:w="5309"/>
      </w:tblGrid>
      <w:tr>
        <w:trPr>
          <w:trHeight w:hRule="exact" w:val="572"/>
        </w:trPr>
        <w:tc>
          <w:tcPr>
            <w:tcW w:type="dxa" w:w="3580"/>
            <w:tcBorders/>
            <w:tcMar>
              <w:start w:w="0" w:type="dxa"/>
              <w:end w:w="0" w:type="dxa"/>
            </w:tcMar>
          </w:tcPr>
          <w:p>
            <w:pPr>
              <w:autoSpaceDN w:val="0"/>
              <w:autoSpaceDE w:val="0"/>
              <w:widowControl/>
              <w:spacing w:line="185" w:lineRule="auto" w:before="60" w:after="0"/>
              <w:ind w:left="554" w:right="0" w:firstLine="0"/>
              <w:jc w:val="left"/>
            </w:pPr>
            <w:r>
              <w:rPr>
                <w:w w:val="101.00000381469727"/>
                <w:rFonts w:ascii="HYa6gj" w:hAnsi="HYa6gj" w:eastAsia="HYa6gj"/>
                <w:b w:val="0"/>
                <w:i w:val="0"/>
                <w:color w:val="221F1F"/>
                <w:sz w:val="20"/>
              </w:rPr>
              <w:t>隧道</w:t>
            </w:r>
            <w:r>
              <w:rPr>
                <w:w w:val="98.13833236694336"/>
                <w:rFonts w:ascii="HYa6gj" w:hAnsi="HYa6gj" w:eastAsia="HYa6gj"/>
                <w:b w:val="0"/>
                <w:i w:val="0"/>
                <w:color w:val="221F1F"/>
                <w:sz w:val="12"/>
              </w:rPr>
              <w:t>[4]</w:t>
            </w:r>
            <w:r>
              <w:rPr>
                <w:w w:val="101.00000381469727"/>
                <w:rFonts w:ascii="HYa6gj" w:hAnsi="HYa6gj" w:eastAsia="HYa6gj"/>
                <w:b w:val="0"/>
                <w:i w:val="0"/>
                <w:color w:val="221F1F"/>
                <w:sz w:val="20"/>
              </w:rPr>
              <w:t>等。</w:t>
            </w:r>
          </w:p>
          <w:p>
            <w:pPr>
              <w:autoSpaceDN w:val="0"/>
              <w:autoSpaceDE w:val="0"/>
              <w:widowControl/>
              <w:spacing w:line="224" w:lineRule="exact" w:before="106" w:after="0"/>
              <w:ind w:left="554" w:right="0" w:firstLine="0"/>
              <w:jc w:val="left"/>
            </w:pPr>
            <w:r>
              <w:rPr>
                <w:w w:val="101.00000381469727"/>
                <w:rFonts w:ascii="Times" w:hAnsi="Times" w:eastAsia="Times"/>
                <w:b/>
                <w:i w:val="0"/>
                <w:color w:val="221F1F"/>
                <w:sz w:val="20"/>
              </w:rPr>
              <w:t>1</w:t>
            </w:r>
            <w:r>
              <w:rPr>
                <w:w w:val="101.00000381469727"/>
                <w:rFonts w:ascii="TimesNewRomanPSMT" w:hAnsi="TimesNewRomanPSMT" w:eastAsia="TimesNewRomanPSMT"/>
                <w:b w:val="0"/>
                <w:i w:val="0"/>
                <w:color w:val="221F1F"/>
                <w:sz w:val="20"/>
              </w:rPr>
              <w:t>.</w:t>
            </w:r>
            <w:r>
              <w:rPr>
                <w:w w:val="101.00000381469727"/>
                <w:rFonts w:ascii="Times" w:hAnsi="Times" w:eastAsia="Times"/>
                <w:b/>
                <w:i w:val="0"/>
                <w:color w:val="221F1F"/>
                <w:sz w:val="20"/>
              </w:rPr>
              <w:t>2</w:t>
            </w:r>
            <w:r>
              <w:rPr>
                <w:w w:val="101.00000381469727"/>
                <w:rFonts w:ascii="HYb1gj" w:hAnsi="HYb1gj" w:eastAsia="HYb1gj"/>
                <w:b w:val="0"/>
                <w:i w:val="0"/>
                <w:color w:val="221F1F"/>
                <w:sz w:val="20"/>
              </w:rPr>
              <w:t xml:space="preserve"> 独立拼装</w:t>
            </w:r>
          </w:p>
        </w:tc>
        <w:tc>
          <w:tcPr>
            <w:tcW w:type="dxa" w:w="5880"/>
            <w:tcBorders/>
            <w:tcMar>
              <w:start w:w="0" w:type="dxa"/>
              <w:end w:w="0" w:type="dxa"/>
            </w:tcMar>
          </w:tcPr>
          <w:p>
            <w:pPr>
              <w:autoSpaceDN w:val="0"/>
              <w:autoSpaceDE w:val="0"/>
              <w:widowControl/>
              <w:spacing w:line="266" w:lineRule="exact" w:before="212" w:after="0"/>
              <w:ind w:left="0" w:right="608" w:firstLine="0"/>
              <w:jc w:val="right"/>
            </w:pPr>
            <w:r>
              <w:rPr>
                <w:rFonts w:ascii="Times" w:hAnsi="Times" w:eastAsia="Times"/>
                <w:b/>
                <w:i w:val="0"/>
                <w:color w:val="221F1F"/>
                <w:sz w:val="24"/>
              </w:rPr>
              <w:t>2</w:t>
            </w:r>
            <w:r>
              <w:rPr>
                <w:rFonts w:ascii="HYb1gj" w:hAnsi="HYb1gj" w:eastAsia="HYb1gj"/>
                <w:b w:val="0"/>
                <w:i w:val="0"/>
                <w:color w:val="221F1F"/>
                <w:sz w:val="24"/>
              </w:rPr>
              <w:t xml:space="preserve"> 预制箱涵拼装工序对比与分析</w:t>
            </w:r>
          </w:p>
        </w:tc>
      </w:tr>
    </w:tbl>
    <w:p>
      <w:pPr>
        <w:autoSpaceDN w:val="0"/>
        <w:autoSpaceDE w:val="0"/>
        <w:widowControl/>
        <w:spacing w:line="14" w:lineRule="exact" w:before="0" w:after="124"/>
        <w:ind w:left="0" w:right="0"/>
      </w:pPr>
    </w:p>
    <w:p>
      <w:pPr>
        <w:sectPr>
          <w:pgSz w:w="11906" w:h="16157"/>
          <w:pgMar w:top="384" w:right="888" w:bottom="168" w:left="400" w:header="720" w:footer="720" w:gutter="0"/>
          <w:cols/>
          <w:docGrid w:linePitch="360"/>
        </w:sectPr>
      </w:pPr>
    </w:p>
    <w:p>
      <w:pPr>
        <w:autoSpaceDN w:val="0"/>
        <w:autoSpaceDE w:val="0"/>
        <w:widowControl/>
        <w:spacing w:line="283" w:lineRule="auto" w:before="0" w:after="0"/>
        <w:ind w:left="1074" w:right="226" w:firstLine="408"/>
        <w:jc w:val="both"/>
      </w:pPr>
      <w:r>
        <w:rPr>
          <w:w w:val="101.00000381469727"/>
          <w:rFonts w:ascii="HYa6gj" w:hAnsi="HYa6gj" w:eastAsia="HYa6gj"/>
          <w:b w:val="0"/>
          <w:i w:val="0"/>
          <w:color w:val="221F1F"/>
          <w:sz w:val="20"/>
        </w:rPr>
        <w:t>预制箱涵盾构后部独立拼装工序：盾构在</w:t>
      </w:r>
      <w:r>
        <w:rPr>
          <w:w w:val="101.00000381469727"/>
          <w:rFonts w:ascii="HYa6gj" w:hAnsi="HYa6gj" w:eastAsia="HYa6gj"/>
          <w:b w:val="0"/>
          <w:i w:val="0"/>
          <w:color w:val="221F1F"/>
          <w:sz w:val="20"/>
        </w:rPr>
        <w:t>前正常掘进，完成管片衬砌；隧道内设有独立的</w:t>
      </w:r>
      <w:r>
        <w:rPr>
          <w:w w:val="101.00000381469727"/>
          <w:rFonts w:ascii="HYa6gj" w:hAnsi="HYa6gj" w:eastAsia="HYa6gj"/>
          <w:b w:val="0"/>
          <w:i w:val="0"/>
          <w:color w:val="221F1F"/>
          <w:sz w:val="20"/>
        </w:rPr>
        <w:t>预制箱涵拼装台车，其上设有箱涵吊机、自驱轮</w:t>
      </w:r>
      <w:r>
        <w:rPr>
          <w:w w:val="101.00000381469727"/>
          <w:rFonts w:ascii="HYa6gj" w:hAnsi="HYa6gj" w:eastAsia="HYa6gj"/>
          <w:b w:val="0"/>
          <w:i w:val="0"/>
          <w:color w:val="221F1F"/>
          <w:sz w:val="20"/>
        </w:rPr>
        <w:t>对、斜坡段、水平段、伸缩平台；自驱轮对满足台</w:t>
      </w:r>
      <w:r>
        <w:rPr>
          <w:w w:val="101.00000381469727"/>
          <w:rFonts w:ascii="HYa6gj" w:hAnsi="HYa6gj" w:eastAsia="HYa6gj"/>
          <w:b w:val="0"/>
          <w:i w:val="0"/>
          <w:color w:val="221F1F"/>
          <w:sz w:val="20"/>
        </w:rPr>
        <w:t>车自驱行走，如图2 所示。该工序可分为管片运输</w:t>
      </w:r>
      <w:r>
        <w:rPr>
          <w:w w:val="101.00000381469727"/>
          <w:rFonts w:ascii="HYa6gj" w:hAnsi="HYa6gj" w:eastAsia="HYa6gj"/>
          <w:b w:val="0"/>
          <w:i w:val="0"/>
          <w:color w:val="221F1F"/>
          <w:sz w:val="20"/>
        </w:rPr>
        <w:t>模式和预制箱涵拼装模式：当需要进行管片运输</w:t>
      </w:r>
      <w:r>
        <w:rPr>
          <w:w w:val="101.00000381469727"/>
          <w:rFonts w:ascii="HYa6gj" w:hAnsi="HYa6gj" w:eastAsia="HYa6gj"/>
          <w:b w:val="0"/>
          <w:i w:val="0"/>
          <w:color w:val="221F1F"/>
          <w:sz w:val="20"/>
        </w:rPr>
        <w:t>时，伸缩平台向后伸出并搭接在已拼装的预制箱涵</w:t>
      </w:r>
    </w:p>
    <w:p>
      <w:pPr>
        <w:sectPr>
          <w:type w:val="continuous"/>
          <w:pgSz w:w="11906" w:h="16157"/>
          <w:pgMar w:top="384" w:right="888" w:bottom="168" w:left="400" w:header="720" w:footer="720" w:gutter="0"/>
          <w:cols w:num="2" w:equalWidth="0">
            <w:col w:w="5666" w:space="0"/>
            <w:col w:w="4951" w:space="0"/>
          </w:cols>
          <w:docGrid w:linePitch="360"/>
        </w:sectPr>
      </w:pPr>
    </w:p>
    <w:p>
      <w:pPr>
        <w:autoSpaceDN w:val="0"/>
        <w:autoSpaceDE w:val="0"/>
        <w:widowControl/>
        <w:spacing w:line="283" w:lineRule="auto" w:before="0" w:after="120"/>
        <w:ind w:left="226" w:right="358" w:firstLine="410"/>
        <w:jc w:val="both"/>
      </w:pPr>
      <w:r>
        <w:rPr>
          <w:w w:val="101.00000381469727"/>
          <w:rFonts w:ascii="HYa6gj" w:hAnsi="HYa6gj" w:eastAsia="HYa6gj"/>
          <w:b w:val="0"/>
          <w:i w:val="0"/>
          <w:color w:val="221F1F"/>
          <w:sz w:val="20"/>
        </w:rPr>
        <w:t>在进行隧道施工前期，需要对预制箱涵拼装</w:t>
      </w:r>
      <w:r>
        <w:rPr>
          <w:w w:val="101.00000381469727"/>
          <w:rFonts w:ascii="HYa6gj" w:hAnsi="HYa6gj" w:eastAsia="HYa6gj"/>
          <w:b w:val="0"/>
          <w:i w:val="0"/>
          <w:color w:val="221F1F"/>
          <w:sz w:val="20"/>
        </w:rPr>
        <w:t>工序进行适应性研究，来选择最契合该隧道施工</w:t>
      </w:r>
      <w:r>
        <w:rPr>
          <w:w w:val="101.00000381469727"/>
          <w:rFonts w:ascii="HYa6gj" w:hAnsi="HYa6gj" w:eastAsia="HYa6gj"/>
          <w:b w:val="0"/>
          <w:i w:val="0"/>
          <w:color w:val="221F1F"/>
          <w:sz w:val="20"/>
        </w:rPr>
        <w:t>要求的拼装工序。本节基于某大直径土压项目（表</w:t>
      </w:r>
      <w:r>
        <w:rPr>
          <w:w w:val="101.00000381469727"/>
          <w:rFonts w:ascii="HYa6gj" w:hAnsi="HYa6gj" w:eastAsia="HYa6gj"/>
          <w:b w:val="0"/>
          <w:i w:val="0"/>
          <w:color w:val="221F1F"/>
          <w:sz w:val="20"/>
        </w:rPr>
        <w:t>1），分别从施工风险管控方面、设备始发方面、</w:t>
      </w:r>
      <w:r>
        <w:rPr>
          <w:w w:val="101.00000381469727"/>
          <w:rFonts w:ascii="HYa6gj" w:hAnsi="HYa6gj" w:eastAsia="HYa6gj"/>
          <w:b w:val="0"/>
          <w:i w:val="0"/>
          <w:color w:val="221F1F"/>
          <w:sz w:val="20"/>
        </w:rPr>
        <w:t>管片吊运效率以及经济性方面对两种预制箱涵拼</w:t>
      </w:r>
      <w:r>
        <w:rPr>
          <w:w w:val="101.00000381469727"/>
          <w:rFonts w:ascii="HYa6gj" w:hAnsi="HYa6gj" w:eastAsia="HYa6gj"/>
          <w:b w:val="0"/>
          <w:i w:val="0"/>
          <w:color w:val="221F1F"/>
          <w:sz w:val="20"/>
        </w:rPr>
        <w:t>装工序进行分析比较，得到各自工序的优劣势，</w:t>
      </w:r>
      <w:r>
        <w:rPr>
          <w:w w:val="101.00000381469727"/>
          <w:rFonts w:ascii="HYa6gj" w:hAnsi="HYa6gj" w:eastAsia="HYa6gj"/>
          <w:b w:val="0"/>
          <w:i w:val="0"/>
          <w:color w:val="221F1F"/>
          <w:sz w:val="20"/>
        </w:rPr>
        <w:t>从而为后续隧道预制箱涵拼装工序适应性选择提</w:t>
      </w:r>
    </w:p>
    <w:p>
      <w:pPr>
        <w:sectPr>
          <w:type w:val="nextColumn"/>
          <w:pgSz w:w="11906" w:h="16157"/>
          <w:pgMar w:top="384" w:right="888" w:bottom="168" w:left="400" w:header="720" w:footer="720" w:gutter="0"/>
          <w:cols w:num="2" w:equalWidth="0">
            <w:col w:w="5666" w:space="0"/>
            <w:col w:w="4951" w:space="0"/>
          </w:cols>
          <w:docGrid w:linePitch="360"/>
        </w:sectPr>
      </w:pPr>
    </w:p>
    <w:p>
      <w:pPr>
        <w:autoSpaceDN w:val="0"/>
        <w:tabs>
          <w:tab w:pos="5892" w:val="left"/>
        </w:tabs>
        <w:autoSpaceDE w:val="0"/>
        <w:widowControl/>
        <w:spacing w:line="190" w:lineRule="auto" w:before="0" w:after="0"/>
        <w:ind w:left="1074" w:right="0" w:firstLine="0"/>
        <w:jc w:val="left"/>
      </w:pPr>
      <w:r>
        <w:rPr>
          <w:w w:val="101.00000381469727"/>
          <w:rFonts w:ascii="HYa6gj" w:hAnsi="HYa6gj" w:eastAsia="HYa6gj"/>
          <w:b w:val="0"/>
          <w:i w:val="0"/>
          <w:color w:val="221F1F"/>
          <w:sz w:val="20"/>
        </w:rPr>
        <w:t>上，保证管片运输机车或管片运输MSV 正常通行；</w:t>
      </w:r>
      <w:r>
        <w:tab/>
      </w:r>
      <w:r>
        <w:rPr>
          <w:w w:val="101.00000381469727"/>
          <w:rFonts w:ascii="HYa6gj" w:hAnsi="HYa6gj" w:eastAsia="HYa6gj"/>
          <w:b w:val="0"/>
          <w:i w:val="0"/>
          <w:color w:val="221F1F"/>
          <w:sz w:val="20"/>
        </w:rPr>
        <w:t>供理论指导意义。</w:t>
      </w:r>
    </w:p>
    <w:p>
      <w:pPr>
        <w:autoSpaceDN w:val="0"/>
        <w:tabs>
          <w:tab w:pos="7490" w:val="left"/>
        </w:tabs>
        <w:autoSpaceDE w:val="0"/>
        <w:widowControl/>
        <w:spacing w:line="214" w:lineRule="exact" w:before="96" w:after="126"/>
        <w:ind w:left="1074" w:right="0" w:firstLine="0"/>
        <w:jc w:val="left"/>
      </w:pPr>
      <w:r>
        <w:rPr>
          <w:w w:val="101.00000381469727"/>
          <w:rFonts w:ascii="HYa6gj" w:hAnsi="HYa6gj" w:eastAsia="HYa6gj"/>
          <w:b w:val="0"/>
          <w:i w:val="0"/>
          <w:color w:val="221F1F"/>
          <w:sz w:val="20"/>
        </w:rPr>
        <w:t>当需要进行预制箱涵拼装时，伸缩平台缩回，满足</w:t>
      </w:r>
      <w:r>
        <w:tab/>
      </w:r>
      <w:r>
        <w:rPr>
          <w:rFonts w:ascii="HYb1gj" w:hAnsi="HYb1gj" w:eastAsia="HYb1gj"/>
          <w:b w:val="0"/>
          <w:i w:val="0"/>
          <w:color w:val="221F1F"/>
          <w:sz w:val="18"/>
        </w:rPr>
        <w:t>表</w:t>
      </w:r>
      <w:r>
        <w:rPr>
          <w:rFonts w:ascii="Times" w:hAnsi="Times" w:eastAsia="Times"/>
          <w:b/>
          <w:i w:val="0"/>
          <w:color w:val="221F1F"/>
          <w:sz w:val="18"/>
        </w:rPr>
        <w:t>1</w:t>
      </w:r>
      <w:r>
        <w:rPr>
          <w:rFonts w:ascii="HYb1gj" w:hAnsi="HYb1gj" w:eastAsia="HYb1gj"/>
          <w:b w:val="0"/>
          <w:i w:val="0"/>
          <w:color w:val="221F1F"/>
          <w:sz w:val="18"/>
        </w:rPr>
        <w:t>项目信息</w:t>
      </w:r>
    </w:p>
    <w:p>
      <w:pPr>
        <w:sectPr>
          <w:type w:val="continuous"/>
          <w:pgSz w:w="11906" w:h="16157"/>
          <w:pgMar w:top="384" w:right="888" w:bottom="168" w:left="400" w:header="720" w:footer="720" w:gutter="0"/>
          <w:cols/>
          <w:docGrid w:linePitch="360"/>
        </w:sectPr>
      </w:pPr>
    </w:p>
    <w:p>
      <w:pPr>
        <w:autoSpaceDN w:val="0"/>
        <w:autoSpaceDE w:val="0"/>
        <w:widowControl/>
        <w:spacing w:line="271" w:lineRule="auto" w:before="0" w:after="0"/>
        <w:ind w:left="1074" w:right="144" w:firstLine="0"/>
        <w:jc w:val="left"/>
      </w:pPr>
      <w:r>
        <w:rPr>
          <w:w w:val="101.00000381469727"/>
          <w:rFonts w:ascii="HYa6gj" w:hAnsi="HYa6gj" w:eastAsia="HYa6gj"/>
          <w:b w:val="0"/>
          <w:i w:val="0"/>
          <w:color w:val="221F1F"/>
          <w:sz w:val="20"/>
        </w:rPr>
        <w:t>箱涵吊机在此区域完成预制箱涵拼装的功能。该</w:t>
      </w:r>
      <w:r>
        <w:rPr>
          <w:w w:val="101.00000381469727"/>
          <w:rFonts w:ascii="HYa6gj" w:hAnsi="HYa6gj" w:eastAsia="HYa6gj"/>
          <w:b w:val="0"/>
          <w:i w:val="0"/>
          <w:color w:val="221F1F"/>
          <w:sz w:val="20"/>
        </w:rPr>
        <w:t>预制箱涵拼装工序已经在国外得到广泛应用，例</w:t>
      </w:r>
      <w:r>
        <w:rPr>
          <w:w w:val="101.00000381469727"/>
          <w:rFonts w:ascii="HYa6gj" w:hAnsi="HYa6gj" w:eastAsia="HYa6gj"/>
          <w:b w:val="0"/>
          <w:i w:val="0"/>
          <w:color w:val="221F1F"/>
          <w:sz w:val="20"/>
        </w:rPr>
        <w:t xml:space="preserve">如：新西兰Water view 公路隧道、埃及Cairo </w:t>
      </w:r>
      <w:r>
        <w:rPr>
          <w:w w:val="101.00000381469727"/>
          <w:rFonts w:ascii="HYa6gj" w:hAnsi="HYa6gj" w:eastAsia="HYa6gj"/>
          <w:b w:val="0"/>
          <w:i w:val="0"/>
          <w:color w:val="221F1F"/>
          <w:sz w:val="20"/>
        </w:rPr>
        <w:t>Suez Crossing Tunnel、澳大利亚东北线等。</w:t>
      </w:r>
    </w:p>
    <w:p>
      <w:pPr>
        <w:autoSpaceDN w:val="0"/>
        <w:autoSpaceDE w:val="0"/>
        <w:widowControl/>
        <w:spacing w:line="198" w:lineRule="exact" w:before="3072" w:after="0"/>
        <w:ind w:left="0" w:right="1330" w:firstLine="0"/>
        <w:jc w:val="right"/>
      </w:pPr>
      <w:r>
        <w:rPr>
          <w:rFonts w:ascii="HYb1gj" w:hAnsi="HYb1gj" w:eastAsia="HYb1gj"/>
          <w:b w:val="0"/>
          <w:i w:val="0"/>
          <w:color w:val="221F1F"/>
          <w:sz w:val="18"/>
        </w:rPr>
        <w:t>图</w:t>
      </w:r>
      <w:r>
        <w:rPr>
          <w:rFonts w:ascii="Times" w:hAnsi="Times" w:eastAsia="Times"/>
          <w:b/>
          <w:i w:val="0"/>
          <w:color w:val="221F1F"/>
          <w:sz w:val="18"/>
        </w:rPr>
        <w:t>2</w:t>
      </w:r>
      <w:r>
        <w:rPr>
          <w:rFonts w:ascii="HYb1gj" w:hAnsi="HYb1gj" w:eastAsia="HYb1gj"/>
          <w:b w:val="0"/>
          <w:i w:val="0"/>
          <w:color w:val="221F1F"/>
          <w:sz w:val="18"/>
        </w:rPr>
        <w:t>预制箱涵独立拼装工序</w:t>
      </w:r>
    </w:p>
    <w:p>
      <w:pPr>
        <w:sectPr>
          <w:type w:val="continuous"/>
          <w:pgSz w:w="11906" w:h="16157"/>
          <w:pgMar w:top="384" w:right="888" w:bottom="168" w:left="400" w:header="720" w:footer="720" w:gutter="0"/>
          <w:cols w:num="2" w:equalWidth="0">
            <w:col w:w="5712" w:space="0"/>
            <w:col w:w="4905" w:space="0"/>
          </w:cols>
          <w:docGrid w:linePitch="360"/>
        </w:sectPr>
      </w:pPr>
    </w:p>
    <w:tbl>
      <w:tblPr>
        <w:tblW w:type="auto" w:w="0"/>
        <w:tblLayout w:type="fixed"/>
        <w:tblLook w:firstColumn="1" w:firstRow="1" w:lastColumn="0" w:lastRow="0" w:noHBand="0" w:noVBand="1" w:val="04A0"/>
        <w:tblInd w:w="173.99999999999977" w:type="dxa"/>
      </w:tblPr>
      <w:tblGrid>
        <w:gridCol w:w="1770"/>
        <w:gridCol w:w="1770"/>
        <w:gridCol w:w="1770"/>
        <w:gridCol w:w="1770"/>
        <w:gridCol w:w="1770"/>
        <w:gridCol w:w="1770"/>
      </w:tblGrid>
      <w:tr>
        <w:trPr>
          <w:trHeight w:hRule="exact" w:val="622"/>
        </w:trPr>
        <w:tc>
          <w:tcPr>
            <w:tcW w:type="dxa" w:w="462"/>
            <w:tcBorders>
              <w:top w:sz="5.671999931335449" w:val="single" w:color="#221F1F"/>
              <w:end w:sz="2.2639999389648438" w:val="single" w:color="#221F1F"/>
              <w:bottom w:sz="2.2639999389648438" w:val="single" w:color="#221F1F"/>
            </w:tcBorders>
            <w:tcMar>
              <w:start w:w="0" w:type="dxa"/>
              <w:end w:w="0" w:type="dxa"/>
            </w:tcMar>
          </w:tcPr>
          <w:p>
            <w:pPr>
              <w:autoSpaceDN w:val="0"/>
              <w:autoSpaceDE w:val="0"/>
              <w:widowControl/>
              <w:spacing w:line="254" w:lineRule="auto" w:before="86" w:after="0"/>
              <w:ind w:left="0" w:right="0" w:firstLine="0"/>
              <w:jc w:val="center"/>
            </w:pPr>
            <w:r>
              <w:rPr>
                <w:rFonts w:ascii="HYa6gj" w:hAnsi="HYa6gj" w:eastAsia="HYa6gj"/>
                <w:b w:val="0"/>
                <w:i w:val="0"/>
                <w:color w:val="221F1F"/>
                <w:sz w:val="16"/>
              </w:rPr>
              <w:t>设备</w:t>
            </w:r>
            <w:r>
              <w:rPr>
                <w:rFonts w:ascii="HYa6gj" w:hAnsi="HYa6gj" w:eastAsia="HYa6gj"/>
                <w:b w:val="0"/>
                <w:i w:val="0"/>
                <w:color w:val="221F1F"/>
                <w:sz w:val="16"/>
              </w:rPr>
              <w:t>类型</w:t>
            </w:r>
          </w:p>
        </w:tc>
        <w:tc>
          <w:tcPr>
            <w:tcW w:type="dxa" w:w="622"/>
            <w:tcBorders>
              <w:start w:sz="2.2639999389648438" w:val="single" w:color="#221F1F"/>
              <w:top w:sz="5.671999931335449" w:val="single" w:color="#221F1F"/>
              <w:end w:sz="2.2639999389648438" w:val="single" w:color="#221F1F"/>
              <w:bottom w:sz="2.2639999389648438" w:val="single" w:color="#221F1F"/>
            </w:tcBorders>
            <w:tcMar>
              <w:start w:w="0" w:type="dxa"/>
              <w:end w:w="0" w:type="dxa"/>
            </w:tcMar>
          </w:tcPr>
          <w:p>
            <w:pPr>
              <w:autoSpaceDN w:val="0"/>
              <w:autoSpaceDE w:val="0"/>
              <w:widowControl/>
              <w:spacing w:line="254" w:lineRule="auto" w:before="84" w:after="0"/>
              <w:ind w:left="0" w:right="0" w:firstLine="0"/>
              <w:jc w:val="center"/>
            </w:pPr>
            <w:r>
              <w:rPr>
                <w:rFonts w:ascii="HYa6gj" w:hAnsi="HYa6gj" w:eastAsia="HYa6gj"/>
                <w:b w:val="0"/>
                <w:i w:val="0"/>
                <w:color w:val="221F1F"/>
                <w:sz w:val="16"/>
              </w:rPr>
              <w:t>开挖</w:t>
            </w:r>
            <w:r>
              <w:br/>
            </w:r>
            <w:r>
              <w:rPr>
                <w:rFonts w:ascii="HYa6gj" w:hAnsi="HYa6gj" w:eastAsia="HYa6gj"/>
                <w:b w:val="0"/>
                <w:i w:val="0"/>
                <w:color w:val="221F1F"/>
                <w:sz w:val="16"/>
              </w:rPr>
              <w:t>直径(m)</w:t>
            </w:r>
          </w:p>
        </w:tc>
        <w:tc>
          <w:tcPr>
            <w:tcW w:type="dxa" w:w="728"/>
            <w:tcBorders>
              <w:start w:sz="2.2639999389648438" w:val="single" w:color="#221F1F"/>
              <w:top w:sz="5.671999931335449" w:val="single" w:color="#221F1F"/>
              <w:end w:sz="2.2639999389648438" w:val="single" w:color="#221F1F"/>
              <w:bottom w:sz="2.2639999389648438" w:val="single" w:color="#221F1F"/>
            </w:tcBorders>
            <w:tcMar>
              <w:start w:w="0" w:type="dxa"/>
              <w:end w:w="0" w:type="dxa"/>
            </w:tcMar>
          </w:tcPr>
          <w:p>
            <w:pPr>
              <w:autoSpaceDN w:val="0"/>
              <w:autoSpaceDE w:val="0"/>
              <w:widowControl/>
              <w:spacing w:line="254" w:lineRule="auto" w:before="84" w:after="0"/>
              <w:ind w:left="0" w:right="0" w:firstLine="0"/>
              <w:jc w:val="center"/>
            </w:pPr>
            <w:r>
              <w:rPr>
                <w:rFonts w:ascii="HYa6gj" w:hAnsi="HYa6gj" w:eastAsia="HYa6gj"/>
                <w:b w:val="0"/>
                <w:i w:val="0"/>
                <w:color w:val="221F1F"/>
                <w:sz w:val="16"/>
              </w:rPr>
              <w:t>管片块数</w:t>
            </w:r>
            <w:r>
              <w:rPr>
                <w:rFonts w:ascii="HYa6gj" w:hAnsi="HYa6gj" w:eastAsia="HYa6gj"/>
                <w:b w:val="0"/>
                <w:i w:val="0"/>
                <w:color w:val="221F1F"/>
                <w:sz w:val="16"/>
              </w:rPr>
              <w:t>（环）</w:t>
            </w:r>
          </w:p>
        </w:tc>
        <w:tc>
          <w:tcPr>
            <w:tcW w:type="dxa" w:w="1230"/>
            <w:tcBorders>
              <w:start w:sz="2.2639999389648438" w:val="single" w:color="#221F1F"/>
              <w:top w:sz="5.671999931335449" w:val="single" w:color="#221F1F"/>
              <w:end w:sz="2.2639999389648438" w:val="single" w:color="#221F1F"/>
              <w:bottom w:sz="2.2639999389648438" w:val="single" w:color="#221F1F"/>
            </w:tcBorders>
            <w:tcMar>
              <w:start w:w="0" w:type="dxa"/>
              <w:end w:w="0" w:type="dxa"/>
            </w:tcMar>
          </w:tcPr>
          <w:p>
            <w:pPr>
              <w:autoSpaceDN w:val="0"/>
              <w:autoSpaceDE w:val="0"/>
              <w:widowControl/>
              <w:spacing w:line="254" w:lineRule="auto" w:before="84" w:after="0"/>
              <w:ind w:left="288" w:right="288" w:firstLine="0"/>
              <w:jc w:val="center"/>
            </w:pPr>
            <w:r>
              <w:rPr>
                <w:rFonts w:ascii="HYa6gj" w:hAnsi="HYa6gj" w:eastAsia="HYa6gj"/>
                <w:b w:val="0"/>
                <w:i w:val="0"/>
                <w:color w:val="221F1F"/>
                <w:sz w:val="16"/>
              </w:rPr>
              <w:t>箱涵尺寸</w:t>
            </w:r>
            <w:r>
              <w:rPr>
                <w:rFonts w:ascii="HYa6gj" w:hAnsi="HYa6gj" w:eastAsia="HYa6gj"/>
                <w:b w:val="0"/>
                <w:i w:val="0"/>
                <w:color w:val="221F1F"/>
                <w:sz w:val="16"/>
              </w:rPr>
              <w:t>（mm）</w:t>
            </w:r>
          </w:p>
        </w:tc>
        <w:tc>
          <w:tcPr>
            <w:tcW w:type="dxa" w:w="710"/>
            <w:tcBorders>
              <w:start w:sz="2.2639999389648438" w:val="single" w:color="#221F1F"/>
              <w:top w:sz="5.671999931335449" w:val="single" w:color="#221F1F"/>
              <w:end w:sz="2.2639999389648438" w:val="single" w:color="#221F1F"/>
              <w:bottom w:sz="2.2639999389648438" w:val="single" w:color="#221F1F"/>
            </w:tcBorders>
            <w:tcMar>
              <w:start w:w="0" w:type="dxa"/>
              <w:end w:w="0" w:type="dxa"/>
            </w:tcMar>
          </w:tcPr>
          <w:p>
            <w:pPr>
              <w:autoSpaceDN w:val="0"/>
              <w:autoSpaceDE w:val="0"/>
              <w:widowControl/>
              <w:spacing w:line="254" w:lineRule="auto" w:before="84" w:after="0"/>
              <w:ind w:left="0" w:right="0" w:firstLine="0"/>
              <w:jc w:val="center"/>
            </w:pPr>
            <w:r>
              <w:rPr>
                <w:rFonts w:ascii="HYa6gj" w:hAnsi="HYa6gj" w:eastAsia="HYa6gj"/>
                <w:b w:val="0"/>
                <w:i w:val="0"/>
                <w:color w:val="221F1F"/>
                <w:sz w:val="16"/>
              </w:rPr>
              <w:t>隧道距离</w:t>
            </w:r>
            <w:r>
              <w:rPr>
                <w:rFonts w:ascii="HYa6gj" w:hAnsi="HYa6gj" w:eastAsia="HYa6gj"/>
                <w:b w:val="0"/>
                <w:i w:val="0"/>
                <w:color w:val="221F1F"/>
                <w:sz w:val="16"/>
              </w:rPr>
              <w:t>（km）</w:t>
            </w:r>
          </w:p>
        </w:tc>
        <w:tc>
          <w:tcPr>
            <w:tcW w:type="dxa" w:w="628"/>
            <w:tcBorders>
              <w:start w:sz="2.2639999389648438" w:val="single" w:color="#221F1F"/>
              <w:top w:sz="5.671999931335449" w:val="single" w:color="#221F1F"/>
              <w:bottom w:sz="2.2639999389648438" w:val="single" w:color="#221F1F"/>
            </w:tcBorders>
            <w:tcMar>
              <w:start w:w="0" w:type="dxa"/>
              <w:end w:w="0" w:type="dxa"/>
            </w:tcMar>
          </w:tcPr>
          <w:p>
            <w:pPr>
              <w:autoSpaceDN w:val="0"/>
              <w:autoSpaceDE w:val="0"/>
              <w:widowControl/>
              <w:spacing w:line="185" w:lineRule="auto" w:before="226" w:after="0"/>
              <w:ind w:left="0" w:right="0" w:firstLine="0"/>
              <w:jc w:val="center"/>
            </w:pPr>
            <w:r>
              <w:rPr>
                <w:rFonts w:ascii="HYa6gj" w:hAnsi="HYa6gj" w:eastAsia="HYa6gj"/>
                <w:b w:val="0"/>
                <w:i w:val="0"/>
                <w:color w:val="221F1F"/>
                <w:sz w:val="16"/>
              </w:rPr>
              <w:t>地质</w:t>
            </w:r>
          </w:p>
        </w:tc>
      </w:tr>
      <w:tr>
        <w:trPr>
          <w:trHeight w:hRule="exact" w:val="624"/>
        </w:trPr>
        <w:tc>
          <w:tcPr>
            <w:tcW w:type="dxa" w:w="462"/>
            <w:tcBorders>
              <w:top w:sz="2.2639999389648438" w:val="single" w:color="#221F1F"/>
              <w:end w:sz="2.2639999389648438" w:val="single" w:color="#221F1F"/>
              <w:bottom w:sz="5.671999931335449" w:val="single" w:color="#221F1F"/>
            </w:tcBorders>
            <w:tcMar>
              <w:start w:w="0" w:type="dxa"/>
              <w:end w:w="0" w:type="dxa"/>
            </w:tcMar>
          </w:tcPr>
          <w:p>
            <w:pPr>
              <w:autoSpaceDN w:val="0"/>
              <w:autoSpaceDE w:val="0"/>
              <w:widowControl/>
              <w:spacing w:line="254" w:lineRule="auto" w:before="90" w:after="0"/>
              <w:ind w:left="0" w:right="0" w:firstLine="0"/>
              <w:jc w:val="center"/>
            </w:pPr>
            <w:r>
              <w:rPr>
                <w:rFonts w:ascii="HYa6gj" w:hAnsi="HYa6gj" w:eastAsia="HYa6gj"/>
                <w:b w:val="0"/>
                <w:i w:val="0"/>
                <w:color w:val="221F1F"/>
                <w:sz w:val="16"/>
              </w:rPr>
              <w:t>土压</w:t>
            </w:r>
            <w:r>
              <w:rPr>
                <w:rFonts w:ascii="HYa6gj" w:hAnsi="HYa6gj" w:eastAsia="HYa6gj"/>
                <w:b w:val="0"/>
                <w:i w:val="0"/>
                <w:color w:val="221F1F"/>
                <w:sz w:val="16"/>
              </w:rPr>
              <w:t>项目</w:t>
            </w:r>
          </w:p>
        </w:tc>
        <w:tc>
          <w:tcPr>
            <w:tcW w:type="dxa" w:w="622"/>
            <w:tcBorders>
              <w:start w:sz="2.2639999389648438" w:val="single" w:color="#221F1F"/>
              <w:top w:sz="2.2639999389648438" w:val="single" w:color="#221F1F"/>
              <w:end w:sz="2.2639999389648438" w:val="single" w:color="#221F1F"/>
              <w:bottom w:sz="5.671999931335449" w:val="single" w:color="#221F1F"/>
            </w:tcBorders>
            <w:tcMar>
              <w:start w:w="0" w:type="dxa"/>
              <w:end w:w="0" w:type="dxa"/>
            </w:tcMar>
          </w:tcPr>
          <w:p>
            <w:pPr>
              <w:autoSpaceDN w:val="0"/>
              <w:autoSpaceDE w:val="0"/>
              <w:widowControl/>
              <w:spacing w:line="185" w:lineRule="auto" w:before="232" w:after="0"/>
              <w:ind w:left="0" w:right="0" w:firstLine="0"/>
              <w:jc w:val="center"/>
            </w:pPr>
            <w:r>
              <w:rPr>
                <w:rFonts w:ascii="HYa6gj" w:hAnsi="HYa6gj" w:eastAsia="HYa6gj"/>
                <w:b w:val="0"/>
                <w:i w:val="0"/>
                <w:color w:val="221F1F"/>
                <w:sz w:val="16"/>
              </w:rPr>
              <w:t>12.6</w:t>
            </w:r>
          </w:p>
        </w:tc>
        <w:tc>
          <w:tcPr>
            <w:tcW w:type="dxa" w:w="728"/>
            <w:tcBorders>
              <w:start w:sz="2.2639999389648438" w:val="single" w:color="#221F1F"/>
              <w:top w:sz="2.2639999389648438" w:val="single" w:color="#221F1F"/>
              <w:end w:sz="2.2639999389648438" w:val="single" w:color="#221F1F"/>
              <w:bottom w:sz="5.671999931335449" w:val="single" w:color="#221F1F"/>
            </w:tcBorders>
            <w:tcMar>
              <w:start w:w="0" w:type="dxa"/>
              <w:end w:w="0" w:type="dxa"/>
            </w:tcMar>
          </w:tcPr>
          <w:p>
            <w:pPr>
              <w:autoSpaceDN w:val="0"/>
              <w:autoSpaceDE w:val="0"/>
              <w:widowControl/>
              <w:spacing w:line="254" w:lineRule="auto" w:before="92" w:after="0"/>
              <w:ind w:left="0" w:right="0" w:firstLine="0"/>
              <w:jc w:val="center"/>
            </w:pPr>
            <w:r>
              <w:rPr>
                <w:rFonts w:ascii="HYa6gj" w:hAnsi="HYa6gj" w:eastAsia="HYa6gj"/>
                <w:b w:val="0"/>
                <w:i w:val="0"/>
                <w:color w:val="221F1F"/>
                <w:sz w:val="16"/>
              </w:rPr>
              <w:t xml:space="preserve">9+1 </w:t>
            </w:r>
            <w:r>
              <w:br/>
            </w:r>
            <w:r>
              <w:rPr>
                <w:rFonts w:ascii="HYa6gj" w:hAnsi="HYa6gj" w:eastAsia="HYa6gj"/>
                <w:b w:val="0"/>
                <w:i w:val="0"/>
                <w:color w:val="221F1F"/>
                <w:sz w:val="16"/>
              </w:rPr>
              <w:t>(小K 块)</w:t>
            </w:r>
          </w:p>
        </w:tc>
        <w:tc>
          <w:tcPr>
            <w:tcW w:type="dxa" w:w="1230"/>
            <w:tcBorders>
              <w:start w:sz="2.2639999389648438" w:val="single" w:color="#221F1F"/>
              <w:top w:sz="2.2639999389648438" w:val="single" w:color="#221F1F"/>
              <w:end w:sz="2.2639999389648438" w:val="single" w:color="#221F1F"/>
              <w:bottom w:sz="5.671999931335449" w:val="single" w:color="#221F1F"/>
            </w:tcBorders>
            <w:tcMar>
              <w:start w:w="0" w:type="dxa"/>
              <w:end w:w="0" w:type="dxa"/>
            </w:tcMar>
          </w:tcPr>
          <w:p>
            <w:pPr>
              <w:autoSpaceDN w:val="0"/>
              <w:autoSpaceDE w:val="0"/>
              <w:widowControl/>
              <w:spacing w:line="185" w:lineRule="auto" w:before="232" w:after="0"/>
              <w:ind w:left="0" w:right="0" w:firstLine="0"/>
              <w:jc w:val="center"/>
            </w:pPr>
            <w:r>
              <w:rPr>
                <w:rFonts w:ascii="HYa6gj" w:hAnsi="HYa6gj" w:eastAsia="HYa6gj"/>
                <w:b w:val="0"/>
                <w:i w:val="0"/>
                <w:color w:val="221F1F"/>
                <w:sz w:val="16"/>
              </w:rPr>
              <w:t>5500×2380×2000</w:t>
            </w:r>
          </w:p>
        </w:tc>
        <w:tc>
          <w:tcPr>
            <w:tcW w:type="dxa" w:w="710"/>
            <w:tcBorders>
              <w:start w:sz="2.2639999389648438" w:val="single" w:color="#221F1F"/>
              <w:top w:sz="2.2639999389648438" w:val="single" w:color="#221F1F"/>
              <w:end w:sz="2.2639999389648438" w:val="single" w:color="#221F1F"/>
              <w:bottom w:sz="5.671999931335449" w:val="single" w:color="#221F1F"/>
            </w:tcBorders>
            <w:tcMar>
              <w:start w:w="0" w:type="dxa"/>
              <w:end w:w="0" w:type="dxa"/>
            </w:tcMar>
          </w:tcPr>
          <w:p>
            <w:pPr>
              <w:autoSpaceDN w:val="0"/>
              <w:autoSpaceDE w:val="0"/>
              <w:widowControl/>
              <w:spacing w:line="185" w:lineRule="auto" w:before="232" w:after="0"/>
              <w:ind w:left="0" w:right="0" w:firstLine="0"/>
              <w:jc w:val="center"/>
            </w:pPr>
            <w:r>
              <w:rPr>
                <w:rFonts w:ascii="HYa6gj" w:hAnsi="HYa6gj" w:eastAsia="HYa6gj"/>
                <w:b w:val="0"/>
                <w:i w:val="0"/>
                <w:color w:val="221F1F"/>
                <w:sz w:val="16"/>
              </w:rPr>
              <w:t>2.9</w:t>
            </w:r>
          </w:p>
        </w:tc>
        <w:tc>
          <w:tcPr>
            <w:tcW w:type="dxa" w:w="628"/>
            <w:tcBorders>
              <w:start w:sz="2.2639999389648438" w:val="single" w:color="#221F1F"/>
              <w:top w:sz="2.2639999389648438" w:val="single" w:color="#221F1F"/>
              <w:bottom w:sz="5.671999931335449" w:val="single" w:color="#221F1F"/>
            </w:tcBorders>
            <w:tcMar>
              <w:start w:w="0" w:type="dxa"/>
              <w:end w:w="0" w:type="dxa"/>
            </w:tcMar>
          </w:tcPr>
          <w:p>
            <w:pPr>
              <w:autoSpaceDN w:val="0"/>
              <w:autoSpaceDE w:val="0"/>
              <w:widowControl/>
              <w:spacing w:line="281" w:lineRule="auto" w:before="66" w:after="0"/>
              <w:ind w:left="0" w:right="0" w:firstLine="0"/>
              <w:jc w:val="center"/>
            </w:pPr>
            <w:r>
              <w:rPr>
                <w:rFonts w:ascii="HYa6gj" w:hAnsi="HYa6gj" w:eastAsia="HYa6gj"/>
                <w:b w:val="0"/>
                <w:i w:val="0"/>
                <w:color w:val="221F1F"/>
                <w:sz w:val="16"/>
              </w:rPr>
              <w:t>全断面密</w:t>
            </w:r>
            <w:r>
              <w:rPr>
                <w:rFonts w:ascii="HYa6gj" w:hAnsi="HYa6gj" w:eastAsia="HYa6gj"/>
                <w:b w:val="0"/>
                <w:i w:val="0"/>
                <w:color w:val="221F1F"/>
                <w:sz w:val="16"/>
              </w:rPr>
              <w:t>实砂层</w:t>
            </w:r>
          </w:p>
        </w:tc>
      </w:tr>
    </w:tbl>
    <w:p>
      <w:pPr>
        <w:autoSpaceDN w:val="0"/>
        <w:tabs>
          <w:tab w:pos="590" w:val="left"/>
        </w:tabs>
        <w:autoSpaceDE w:val="0"/>
        <w:widowControl/>
        <w:spacing w:line="245" w:lineRule="auto" w:before="114" w:after="0"/>
        <w:ind w:left="180" w:right="288" w:firstLine="0"/>
        <w:jc w:val="left"/>
      </w:pPr>
      <w:r>
        <w:tab/>
      </w:r>
      <w:r>
        <w:rPr>
          <w:w w:val="101.00000381469727"/>
          <w:rFonts w:ascii="HYa6gj" w:hAnsi="HYa6gj" w:eastAsia="HYa6gj"/>
          <w:b w:val="0"/>
          <w:i w:val="0"/>
          <w:color w:val="221F1F"/>
          <w:sz w:val="20"/>
        </w:rPr>
        <w:t>针对该项目，预制箱涵同步拼装与独立拼装</w:t>
      </w:r>
      <w:r>
        <w:rPr>
          <w:w w:val="101.00000381469727"/>
          <w:rFonts w:ascii="HYa6gj" w:hAnsi="HYa6gj" w:eastAsia="HYa6gj"/>
          <w:b w:val="0"/>
          <w:i w:val="0"/>
          <w:color w:val="221F1F"/>
          <w:sz w:val="20"/>
        </w:rPr>
        <w:t>工序方案图分别见图3 与图4。</w:t>
      </w:r>
    </w:p>
    <w:p>
      <w:pPr>
        <w:autoSpaceDN w:val="0"/>
        <w:tabs>
          <w:tab w:pos="590" w:val="left"/>
        </w:tabs>
        <w:autoSpaceDE w:val="0"/>
        <w:widowControl/>
        <w:spacing w:line="328" w:lineRule="exact" w:before="0" w:after="0"/>
        <w:ind w:left="180" w:right="288" w:firstLine="0"/>
        <w:jc w:val="left"/>
      </w:pPr>
      <w:r>
        <w:rPr>
          <w:w w:val="101.00000381469727"/>
          <w:rFonts w:ascii="Times" w:hAnsi="Times" w:eastAsia="Time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 w:hAnsi="Times" w:eastAsia="Times"/>
          <w:b/>
          <w:i w:val="0"/>
          <w:color w:val="221F1F"/>
          <w:sz w:val="20"/>
        </w:rPr>
        <w:t>1</w:t>
      </w:r>
      <w:r>
        <w:rPr>
          <w:w w:val="101.00000381469727"/>
          <w:rFonts w:ascii="HYb1gj" w:hAnsi="HYb1gj" w:eastAsia="HYb1gj"/>
          <w:b w:val="0"/>
          <w:i w:val="0"/>
          <w:color w:val="221F1F"/>
          <w:sz w:val="20"/>
        </w:rPr>
        <w:t xml:space="preserve"> 施工风险管控方面分析</w:t>
      </w:r>
      <w:r>
        <w:br/>
      </w:r>
      <w:r>
        <w:tab/>
      </w:r>
      <w:r>
        <w:rPr>
          <w:w w:val="101.00000381469727"/>
          <w:rFonts w:ascii="HYa6gj" w:hAnsi="HYa6gj" w:eastAsia="HYa6gj"/>
          <w:b w:val="0"/>
          <w:i w:val="0"/>
          <w:color w:val="221F1F"/>
          <w:sz w:val="20"/>
        </w:rPr>
        <w:t>从图3 与图4 施工工序上来看，同步拼装工</w:t>
      </w:r>
      <w:r>
        <w:rPr>
          <w:w w:val="101.00000381469727"/>
          <w:rFonts w:ascii="HYa6gj" w:hAnsi="HYa6gj" w:eastAsia="HYa6gj"/>
          <w:b w:val="0"/>
          <w:i w:val="0"/>
          <w:color w:val="221F1F"/>
          <w:sz w:val="20"/>
        </w:rPr>
        <w:t>序管片吊机和箱涵吊机在同一轨道上行驶，分别</w:t>
      </w:r>
      <w:r>
        <w:rPr>
          <w:w w:val="101.00000381469727"/>
          <w:rFonts w:ascii="HYa6gj" w:hAnsi="HYa6gj" w:eastAsia="HYa6gj"/>
          <w:b w:val="0"/>
          <w:i w:val="0"/>
          <w:color w:val="221F1F"/>
          <w:sz w:val="20"/>
        </w:rPr>
        <w:t>完成管片的吊运和箱涵的拼装。该工序可以在盾</w:t>
      </w:r>
      <w:r>
        <w:rPr>
          <w:w w:val="101.00000381469727"/>
          <w:rFonts w:ascii="HYa6gj" w:hAnsi="HYa6gj" w:eastAsia="HYa6gj"/>
          <w:b w:val="0"/>
          <w:i w:val="0"/>
          <w:color w:val="221F1F"/>
          <w:sz w:val="20"/>
        </w:rPr>
        <w:t>构上同时完成管片吊运和预制箱涵拼装，管片吊</w:t>
      </w:r>
      <w:r>
        <w:rPr>
          <w:w w:val="101.00000381469727"/>
          <w:rFonts w:ascii="HYa6gj" w:hAnsi="HYa6gj" w:eastAsia="HYa6gj"/>
          <w:b w:val="0"/>
          <w:i w:val="0"/>
          <w:color w:val="221F1F"/>
          <w:sz w:val="20"/>
        </w:rPr>
        <w:t>运和预制箱涵拼装有序进行。采用同步拼装工序</w:t>
      </w:r>
      <w:r>
        <w:rPr>
          <w:w w:val="101.00000381469727"/>
          <w:rFonts w:ascii="HYa6gj" w:hAnsi="HYa6gj" w:eastAsia="HYa6gj"/>
          <w:b w:val="0"/>
          <w:i w:val="0"/>
          <w:color w:val="221F1F"/>
          <w:sz w:val="20"/>
        </w:rPr>
        <w:t>优势如下。</w:t>
      </w:r>
    </w:p>
    <w:p>
      <w:pPr>
        <w:autoSpaceDN w:val="0"/>
        <w:autoSpaceDE w:val="0"/>
        <w:widowControl/>
        <w:spacing w:line="185" w:lineRule="auto" w:before="126" w:after="296"/>
        <w:ind w:left="590" w:right="0" w:firstLine="0"/>
        <w:jc w:val="left"/>
      </w:pPr>
      <w:r>
        <w:rPr>
          <w:w w:val="101.00000381469727"/>
          <w:rFonts w:ascii="HYa6gj" w:hAnsi="HYa6gj" w:eastAsia="HYa6gj"/>
          <w:b w:val="0"/>
          <w:i w:val="0"/>
          <w:color w:val="221F1F"/>
          <w:sz w:val="20"/>
        </w:rPr>
        <w:t>1）管片和预制箱涵拼装可同步完成，易于控</w:t>
      </w:r>
    </w:p>
    <w:p>
      <w:pPr>
        <w:sectPr>
          <w:type w:val="nextColumn"/>
          <w:pgSz w:w="11906" w:h="16157"/>
          <w:pgMar w:top="384" w:right="888" w:bottom="168" w:left="400" w:header="720" w:footer="720" w:gutter="0"/>
          <w:cols w:num="2" w:equalWidth="0">
            <w:col w:w="5712" w:space="0"/>
            <w:col w:w="4905" w:space="0"/>
          </w:cols>
          <w:docGrid w:linePitch="360"/>
        </w:sectPr>
      </w:pPr>
    </w:p>
    <w:p>
      <w:pPr>
        <w:autoSpaceDN w:val="0"/>
        <w:autoSpaceDE w:val="0"/>
        <w:widowControl/>
        <w:spacing w:line="240" w:lineRule="auto" w:before="0" w:after="0"/>
        <w:ind w:left="1580" w:right="0" w:firstLine="0"/>
        <w:jc w:val="left"/>
      </w:pPr>
      <w:r>
        <w:drawing>
          <wp:inline xmlns:a="http://schemas.openxmlformats.org/drawingml/2006/main" xmlns:pic="http://schemas.openxmlformats.org/drawingml/2006/picture">
            <wp:extent cx="5257800" cy="609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57800" cy="609600"/>
                    </a:xfrm>
                    <a:prstGeom prst="rect"/>
                  </pic:spPr>
                </pic:pic>
              </a:graphicData>
            </a:graphic>
          </wp:inline>
        </w:drawing>
      </w:r>
    </w:p>
    <w:p>
      <w:pPr>
        <w:autoSpaceDN w:val="0"/>
        <w:autoSpaceDE w:val="0"/>
        <w:widowControl/>
        <w:spacing w:line="200" w:lineRule="exact" w:before="118" w:after="0"/>
        <w:ind w:left="0" w:right="3770" w:firstLine="0"/>
        <w:jc w:val="right"/>
      </w:pPr>
      <w:r>
        <w:rPr>
          <w:rFonts w:ascii="HYb1gj" w:hAnsi="HYb1gj" w:eastAsia="HYb1gj"/>
          <w:b w:val="0"/>
          <w:i w:val="0"/>
          <w:color w:val="221F1F"/>
          <w:sz w:val="18"/>
        </w:rPr>
        <w:t>图</w:t>
      </w:r>
      <w:r>
        <w:rPr>
          <w:rFonts w:ascii="Times" w:hAnsi="Times" w:eastAsia="Times"/>
          <w:b/>
          <w:i w:val="0"/>
          <w:color w:val="221F1F"/>
          <w:sz w:val="18"/>
        </w:rPr>
        <w:t>3</w:t>
      </w:r>
      <w:r>
        <w:rPr>
          <w:rFonts w:ascii="HYb1gj" w:hAnsi="HYb1gj" w:eastAsia="HYb1gj"/>
          <w:b w:val="0"/>
          <w:i w:val="0"/>
          <w:color w:val="221F1F"/>
          <w:sz w:val="18"/>
        </w:rPr>
        <w:t xml:space="preserve"> 预制箱涵同步拼装方案</w:t>
      </w:r>
    </w:p>
    <w:p>
      <w:pPr>
        <w:autoSpaceDN w:val="0"/>
        <w:autoSpaceDE w:val="0"/>
        <w:widowControl/>
        <w:spacing w:line="240" w:lineRule="auto" w:before="162" w:after="0"/>
        <w:ind w:left="1660" w:right="0" w:firstLine="0"/>
        <w:jc w:val="left"/>
      </w:pPr>
      <w:r>
        <w:drawing>
          <wp:inline xmlns:a="http://schemas.openxmlformats.org/drawingml/2006/main" xmlns:pic="http://schemas.openxmlformats.org/drawingml/2006/picture">
            <wp:extent cx="5207000" cy="8509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07000" cy="850900"/>
                    </a:xfrm>
                    <a:prstGeom prst="rect"/>
                  </pic:spPr>
                </pic:pic>
              </a:graphicData>
            </a:graphic>
          </wp:inline>
        </w:drawing>
      </w:r>
    </w:p>
    <w:p>
      <w:pPr>
        <w:autoSpaceDN w:val="0"/>
        <w:autoSpaceDE w:val="0"/>
        <w:widowControl/>
        <w:spacing w:line="240" w:lineRule="auto" w:before="120" w:after="0"/>
        <w:ind w:left="1580" w:right="0" w:firstLine="0"/>
        <w:jc w:val="left"/>
      </w:pPr>
      <w:r>
        <w:drawing>
          <wp:inline xmlns:a="http://schemas.openxmlformats.org/drawingml/2006/main" xmlns:pic="http://schemas.openxmlformats.org/drawingml/2006/picture">
            <wp:extent cx="5257800" cy="508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57800" cy="50800"/>
                    </a:xfrm>
                    <a:prstGeom prst="rect"/>
                  </pic:spPr>
                </pic:pic>
              </a:graphicData>
            </a:graphic>
          </wp:inline>
        </w:drawing>
      </w:r>
    </w:p>
    <w:p>
      <w:pPr>
        <w:autoSpaceDN w:val="0"/>
        <w:autoSpaceDE w:val="0"/>
        <w:widowControl/>
        <w:spacing w:line="240" w:lineRule="auto" w:before="260" w:after="0"/>
        <w:ind w:left="1580" w:right="0" w:firstLine="0"/>
        <w:jc w:val="left"/>
      </w:pPr>
      <w:r>
        <w:drawing>
          <wp:inline xmlns:a="http://schemas.openxmlformats.org/drawingml/2006/main" xmlns:pic="http://schemas.openxmlformats.org/drawingml/2006/picture">
            <wp:extent cx="5257800" cy="5588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57800" cy="558800"/>
                    </a:xfrm>
                    <a:prstGeom prst="rect"/>
                  </pic:spPr>
                </pic:pic>
              </a:graphicData>
            </a:graphic>
          </wp:inline>
        </w:drawing>
      </w:r>
    </w:p>
    <w:p>
      <w:pPr>
        <w:autoSpaceDN w:val="0"/>
        <w:autoSpaceDE w:val="0"/>
        <w:widowControl/>
        <w:spacing w:line="200" w:lineRule="exact" w:before="346" w:after="0"/>
        <w:ind w:left="0" w:right="3770" w:firstLine="0"/>
        <w:jc w:val="right"/>
      </w:pPr>
      <w:r>
        <w:rPr>
          <w:rFonts w:ascii="HYb1gj" w:hAnsi="HYb1gj" w:eastAsia="HYb1gj"/>
          <w:b w:val="0"/>
          <w:i w:val="0"/>
          <w:color w:val="221F1F"/>
          <w:sz w:val="18"/>
        </w:rPr>
        <w:t>图</w:t>
      </w:r>
      <w:r>
        <w:rPr>
          <w:rFonts w:ascii="Times" w:hAnsi="Times" w:eastAsia="Times"/>
          <w:b/>
          <w:i w:val="0"/>
          <w:color w:val="221F1F"/>
          <w:sz w:val="18"/>
        </w:rPr>
        <w:t>4</w:t>
      </w:r>
      <w:r>
        <w:rPr>
          <w:rFonts w:ascii="HYb1gj" w:hAnsi="HYb1gj" w:eastAsia="HYb1gj"/>
          <w:b w:val="0"/>
          <w:i w:val="0"/>
          <w:color w:val="221F1F"/>
          <w:sz w:val="18"/>
        </w:rPr>
        <w:t xml:space="preserve"> 预制箱涵独立拼装方案</w:t>
      </w:r>
    </w:p>
    <w:p>
      <w:pPr>
        <w:autoSpaceDN w:val="0"/>
        <w:autoSpaceDE w:val="0"/>
        <w:widowControl/>
        <w:spacing w:line="185" w:lineRule="auto" w:before="450" w:after="0"/>
        <w:ind w:left="0" w:right="360" w:firstLine="0"/>
        <w:jc w:val="right"/>
      </w:pPr>
      <w:r>
        <w:rPr>
          <w:rFonts w:ascii="HYb1gj" w:hAnsi="HYb1gj" w:eastAsia="HYb1gj"/>
          <w:b w:val="0"/>
          <w:i w:val="0"/>
          <w:color w:val="221F1F"/>
          <w:sz w:val="14"/>
        </w:rPr>
        <w:t xml:space="preserve">建筑机械化 </w:t>
      </w:r>
      <w:r>
        <w:rPr>
          <w:rFonts w:ascii="HYb1gj" w:hAnsi="HYb1gj" w:eastAsia="HYb1gj"/>
          <w:b w:val="0"/>
          <w:i w:val="0"/>
          <w:color w:val="221F1F"/>
          <w:sz w:val="15"/>
        </w:rPr>
        <w:t xml:space="preserve">2021(09) </w:t>
      </w:r>
      <w:r>
        <w:rPr>
          <w:rFonts w:ascii="HYb1gj" w:hAnsi="HYb1gj" w:eastAsia="HYb1gj"/>
          <w:b w:val="0"/>
          <w:i w:val="0"/>
          <w:color w:val="6C6E70"/>
          <w:sz w:val="32"/>
        </w:rPr>
        <w:t>19</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45200" cy="139700"/>
                    </a:xfrm>
                    <a:prstGeom prst="rect"/>
                  </pic:spPr>
                </pic:pic>
              </a:graphicData>
            </a:graphic>
          </wp:inline>
        </w:drawing>
      </w:r>
    </w:p>
    <w:p>
      <w:pPr>
        <w:sectPr>
          <w:type w:val="continuous"/>
          <w:pgSz w:w="11906" w:h="16157"/>
          <w:pgMar w:top="384" w:right="888" w:bottom="168" w:left="400" w:header="720" w:footer="720" w:gutter="0"/>
          <w:cols/>
          <w:docGrid w:linePitch="360"/>
        </w:sectPr>
      </w:pPr>
    </w:p>
    <w:p>
      <w:pPr>
        <w:autoSpaceDN w:val="0"/>
        <w:autoSpaceDE w:val="0"/>
        <w:widowControl/>
        <w:spacing w:line="220" w:lineRule="exact" w:before="0" w:after="716"/>
        <w:ind w:left="0" w:right="0"/>
      </w:pPr>
    </w:p>
    <w:p>
      <w:pPr>
        <w:sectPr>
          <w:pgSz w:w="11906" w:h="16157"/>
          <w:pgMar w:top="936" w:right="1440" w:bottom="168" w:left="400" w:header="720" w:footer="720" w:gutter="0"/>
          <w:cols/>
          <w:docGrid w:linePitch="360"/>
        </w:sectPr>
      </w:pPr>
    </w:p>
    <w:p>
      <w:pPr>
        <w:autoSpaceDN w:val="0"/>
        <w:autoSpaceDE w:val="0"/>
        <w:widowControl/>
        <w:spacing w:line="185" w:lineRule="auto" w:before="0" w:after="0"/>
        <w:ind w:left="848" w:right="0" w:firstLine="0"/>
        <w:jc w:val="left"/>
      </w:pPr>
      <w:r>
        <w:rPr>
          <w:w w:val="101.00000381469727"/>
          <w:rFonts w:ascii="HYa6gj" w:hAnsi="HYa6gj" w:eastAsia="HYa6gj"/>
          <w:b w:val="0"/>
          <w:i w:val="0"/>
          <w:color w:val="221F1F"/>
          <w:sz w:val="20"/>
        </w:rPr>
        <w:t>制和检查预制箱涵拼装精度及质量</w:t>
      </w:r>
      <w:r>
        <w:rPr>
          <w:w w:val="98.13833236694336"/>
          <w:rFonts w:ascii="HYa6gj" w:hAnsi="HYa6gj" w:eastAsia="HYa6gj"/>
          <w:b w:val="0"/>
          <w:i w:val="0"/>
          <w:color w:val="221F1F"/>
          <w:sz w:val="12"/>
        </w:rPr>
        <w:t>[5]</w:t>
      </w:r>
      <w:r>
        <w:rPr>
          <w:w w:val="101.00000381469727"/>
          <w:rFonts w:ascii="HYa6gj" w:hAnsi="HYa6gj" w:eastAsia="HYa6gj"/>
          <w:b w:val="0"/>
          <w:i w:val="0"/>
          <w:color w:val="221F1F"/>
          <w:sz w:val="20"/>
        </w:rPr>
        <w:t>。</w:t>
      </w:r>
    </w:p>
    <w:p>
      <w:pPr>
        <w:autoSpaceDN w:val="0"/>
        <w:tabs>
          <w:tab w:pos="1256" w:val="left"/>
        </w:tabs>
        <w:autoSpaceDE w:val="0"/>
        <w:widowControl/>
        <w:spacing w:line="245" w:lineRule="auto" w:before="126" w:after="0"/>
        <w:ind w:left="848" w:right="144" w:firstLine="0"/>
        <w:jc w:val="left"/>
      </w:pPr>
      <w:r>
        <w:tab/>
      </w:r>
      <w:r>
        <w:rPr>
          <w:w w:val="101.00000381469727"/>
          <w:rFonts w:ascii="HYa6gj" w:hAnsi="HYa6gj" w:eastAsia="HYa6gj"/>
          <w:b w:val="0"/>
          <w:i w:val="0"/>
          <w:color w:val="221F1F"/>
          <w:sz w:val="20"/>
        </w:rPr>
        <w:t>2）管片吊运和预制箱涵拼装在同一区域进</w:t>
      </w:r>
      <w:r>
        <w:rPr>
          <w:w w:val="101.00000381469727"/>
          <w:rFonts w:ascii="HYa6gj" w:hAnsi="HYa6gj" w:eastAsia="HYa6gj"/>
          <w:b w:val="0"/>
          <w:i w:val="0"/>
          <w:color w:val="221F1F"/>
          <w:sz w:val="20"/>
        </w:rPr>
        <w:t>行，易于设备运行状态管理及维保管理</w:t>
      </w:r>
      <w:r>
        <w:rPr>
          <w:w w:val="98.13833236694336"/>
          <w:rFonts w:ascii="HYa6gj" w:hAnsi="HYa6gj" w:eastAsia="HYa6gj"/>
          <w:b w:val="0"/>
          <w:i w:val="0"/>
          <w:color w:val="221F1F"/>
          <w:sz w:val="12"/>
        </w:rPr>
        <w:t>[6]</w:t>
      </w:r>
      <w:r>
        <w:rPr>
          <w:w w:val="101.00000381469727"/>
          <w:rFonts w:ascii="HYa6gj" w:hAnsi="HYa6gj" w:eastAsia="HYa6gj"/>
          <w:b w:val="0"/>
          <w:i w:val="0"/>
          <w:color w:val="221F1F"/>
          <w:sz w:val="20"/>
        </w:rPr>
        <w:t>。</w:t>
      </w:r>
    </w:p>
    <w:p>
      <w:pPr>
        <w:autoSpaceDN w:val="0"/>
        <w:tabs>
          <w:tab w:pos="1256" w:val="left"/>
        </w:tabs>
        <w:autoSpaceDE w:val="0"/>
        <w:widowControl/>
        <w:spacing w:line="245" w:lineRule="auto" w:before="126" w:after="0"/>
        <w:ind w:left="848" w:right="144" w:firstLine="0"/>
        <w:jc w:val="left"/>
      </w:pPr>
      <w:r>
        <w:tab/>
      </w:r>
      <w:r>
        <w:rPr>
          <w:w w:val="101.00000381469727"/>
          <w:rFonts w:ascii="HYa6gj" w:hAnsi="HYa6gj" w:eastAsia="HYa6gj"/>
          <w:b w:val="0"/>
          <w:i w:val="0"/>
          <w:color w:val="221F1F"/>
          <w:sz w:val="20"/>
        </w:rPr>
        <w:t>3）管片吊运和预制箱涵拼装由相同施工人员</w:t>
      </w:r>
      <w:r>
        <w:rPr>
          <w:w w:val="101.00000381469727"/>
          <w:rFonts w:ascii="HYa6gj" w:hAnsi="HYa6gj" w:eastAsia="HYa6gj"/>
          <w:b w:val="0"/>
          <w:i w:val="0"/>
          <w:color w:val="221F1F"/>
          <w:sz w:val="20"/>
        </w:rPr>
        <w:t>完成，易于控制施工人员安全风险</w:t>
      </w:r>
      <w:r>
        <w:rPr>
          <w:w w:val="98.13833236694336"/>
          <w:rFonts w:ascii="HYa6gj" w:hAnsi="HYa6gj" w:eastAsia="HYa6gj"/>
          <w:b w:val="0"/>
          <w:i w:val="0"/>
          <w:color w:val="221F1F"/>
          <w:sz w:val="12"/>
        </w:rPr>
        <w:t>[7]</w:t>
      </w:r>
      <w:r>
        <w:rPr>
          <w:w w:val="101.00000381469727"/>
          <w:rFonts w:ascii="HYa6gj" w:hAnsi="HYa6gj" w:eastAsia="HYa6gj"/>
          <w:b w:val="0"/>
          <w:i w:val="0"/>
          <w:color w:val="221F1F"/>
          <w:sz w:val="20"/>
        </w:rPr>
        <w:t>。</w:t>
      </w:r>
    </w:p>
    <w:p>
      <w:pPr>
        <w:autoSpaceDN w:val="0"/>
        <w:autoSpaceDE w:val="0"/>
        <w:widowControl/>
        <w:spacing w:line="288" w:lineRule="auto" w:before="126" w:after="0"/>
        <w:ind w:left="848" w:right="226" w:firstLine="408"/>
        <w:jc w:val="both"/>
      </w:pPr>
      <w:r>
        <w:rPr>
          <w:w w:val="101.00000381469727"/>
          <w:rFonts w:ascii="HYa6gj" w:hAnsi="HYa6gj" w:eastAsia="HYa6gj"/>
          <w:b w:val="0"/>
          <w:i w:val="0"/>
          <w:color w:val="221F1F"/>
          <w:sz w:val="20"/>
        </w:rPr>
        <w:t>然而在隧道掘进过程中，可能会因为外界因</w:t>
      </w:r>
      <w:r>
        <w:rPr>
          <w:w w:val="101.00000381469727"/>
          <w:rFonts w:ascii="HYa6gj" w:hAnsi="HYa6gj" w:eastAsia="HYa6gj"/>
          <w:b w:val="0"/>
          <w:i w:val="0"/>
          <w:color w:val="221F1F"/>
          <w:sz w:val="20"/>
        </w:rPr>
        <w:t>素的干扰，导致预制箱涵供应不及时。当采用同</w:t>
      </w:r>
      <w:r>
        <w:rPr>
          <w:w w:val="101.00000381469727"/>
          <w:rFonts w:ascii="HYa6gj" w:hAnsi="HYa6gj" w:eastAsia="HYa6gj"/>
          <w:b w:val="0"/>
          <w:i w:val="0"/>
          <w:color w:val="221F1F"/>
          <w:sz w:val="20"/>
        </w:rPr>
        <w:t>步拼装工序时，由于管片运输车辆需要走在已拼</w:t>
      </w:r>
      <w:r>
        <w:rPr>
          <w:w w:val="101.00000381469727"/>
          <w:rFonts w:ascii="HYa6gj" w:hAnsi="HYa6gj" w:eastAsia="HYa6gj"/>
          <w:b w:val="0"/>
          <w:i w:val="0"/>
          <w:color w:val="221F1F"/>
          <w:sz w:val="20"/>
        </w:rPr>
        <w:t>装完成的预制箱涵上，如果出现预制箱涵供应不</w:t>
      </w:r>
      <w:r>
        <w:rPr>
          <w:w w:val="101.00000381469727"/>
          <w:rFonts w:ascii="HYa6gj" w:hAnsi="HYa6gj" w:eastAsia="HYa6gj"/>
          <w:b w:val="0"/>
          <w:i w:val="0"/>
          <w:color w:val="221F1F"/>
          <w:sz w:val="20"/>
        </w:rPr>
        <w:t>及时，导致管片无法正常运送，从而盾构无法继</w:t>
      </w:r>
      <w:r>
        <w:rPr>
          <w:w w:val="101.00000381469727"/>
          <w:rFonts w:ascii="HYa6gj" w:hAnsi="HYa6gj" w:eastAsia="HYa6gj"/>
          <w:b w:val="0"/>
          <w:i w:val="0"/>
          <w:color w:val="221F1F"/>
          <w:sz w:val="20"/>
        </w:rPr>
        <w:t>续掘进，造成异常停机。此外，当隧道拖车采用</w:t>
      </w:r>
      <w:r>
        <w:rPr>
          <w:w w:val="101.00000381469727"/>
          <w:rFonts w:ascii="HYa6gj" w:hAnsi="HYa6gj" w:eastAsia="HYa6gj"/>
          <w:b w:val="0"/>
          <w:i w:val="0"/>
          <w:color w:val="221F1F"/>
          <w:sz w:val="20"/>
        </w:rPr>
        <w:t>斜轮对行驶时，采用同步拼装工序时，由于预制</w:t>
      </w:r>
      <w:r>
        <w:rPr>
          <w:w w:val="101.00000381469727"/>
          <w:rFonts w:ascii="HYa6gj" w:hAnsi="HYa6gj" w:eastAsia="HYa6gj"/>
          <w:b w:val="0"/>
          <w:i w:val="0"/>
          <w:color w:val="221F1F"/>
          <w:sz w:val="20"/>
        </w:rPr>
        <w:t>箱涵的存在，斜轮对位于预制箱涵及管片之间，</w:t>
      </w:r>
      <w:r>
        <w:rPr>
          <w:w w:val="101.00000381469727"/>
          <w:rFonts w:ascii="HYa6gj" w:hAnsi="HYa6gj" w:eastAsia="HYa6gj"/>
          <w:b w:val="0"/>
          <w:i w:val="0"/>
          <w:color w:val="221F1F"/>
          <w:sz w:val="20"/>
        </w:rPr>
        <w:t>检修空间狭小，检修困难。</w:t>
      </w:r>
    </w:p>
    <w:p>
      <w:pPr>
        <w:autoSpaceDN w:val="0"/>
        <w:autoSpaceDE w:val="0"/>
        <w:widowControl/>
        <w:spacing w:line="271" w:lineRule="auto" w:before="126" w:after="0"/>
        <w:ind w:left="848" w:right="228" w:firstLine="408"/>
        <w:jc w:val="both"/>
      </w:pPr>
      <w:r>
        <w:rPr>
          <w:w w:val="101.00000381469727"/>
          <w:rFonts w:ascii="HYa6gj" w:hAnsi="HYa6gj" w:eastAsia="HYa6gj"/>
          <w:b w:val="0"/>
          <w:i w:val="0"/>
          <w:color w:val="221F1F"/>
          <w:sz w:val="20"/>
        </w:rPr>
        <w:t>综上所述，从施工风险管控方面来说，同步</w:t>
      </w:r>
      <w:r>
        <w:rPr>
          <w:w w:val="101.00000381469727"/>
          <w:rFonts w:ascii="HYa6gj" w:hAnsi="HYa6gj" w:eastAsia="HYa6gj"/>
          <w:b w:val="0"/>
          <w:i w:val="0"/>
          <w:color w:val="221F1F"/>
          <w:sz w:val="20"/>
        </w:rPr>
        <w:t>拼装工序在拼装精度、设备管理及人员风险上优</w:t>
      </w:r>
      <w:r>
        <w:rPr>
          <w:w w:val="101.00000381469727"/>
          <w:rFonts w:ascii="HYa6gj" w:hAnsi="HYa6gj" w:eastAsia="HYa6gj"/>
          <w:b w:val="0"/>
          <w:i w:val="0"/>
          <w:color w:val="221F1F"/>
          <w:sz w:val="20"/>
        </w:rPr>
        <w:t>于独立拼装工序，但可能出现斜轮对检修困难以</w:t>
      </w:r>
      <w:r>
        <w:rPr>
          <w:w w:val="101.00000381469727"/>
          <w:rFonts w:ascii="HYa6gj" w:hAnsi="HYa6gj" w:eastAsia="HYa6gj"/>
          <w:b w:val="0"/>
          <w:i w:val="0"/>
          <w:color w:val="221F1F"/>
          <w:sz w:val="20"/>
        </w:rPr>
        <w:t>及异常停机风险。</w:t>
      </w:r>
    </w:p>
    <w:p>
      <w:pPr>
        <w:autoSpaceDN w:val="0"/>
        <w:tabs>
          <w:tab w:pos="1256" w:val="left"/>
        </w:tabs>
        <w:autoSpaceDE w:val="0"/>
        <w:widowControl/>
        <w:spacing w:line="328" w:lineRule="exact" w:before="2" w:after="0"/>
        <w:ind w:left="848" w:right="144" w:firstLine="0"/>
        <w:jc w:val="left"/>
      </w:pPr>
      <w:r>
        <w:rPr>
          <w:w w:val="101.00000381469727"/>
          <w:rFonts w:ascii="Times" w:hAnsi="Times" w:eastAsia="Time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 w:hAnsi="Times" w:eastAsia="Times"/>
          <w:b/>
          <w:i w:val="0"/>
          <w:color w:val="221F1F"/>
          <w:sz w:val="20"/>
        </w:rPr>
        <w:t>2</w:t>
      </w:r>
      <w:r>
        <w:rPr>
          <w:w w:val="101.00000381469727"/>
          <w:rFonts w:ascii="HYb1gj" w:hAnsi="HYb1gj" w:eastAsia="HYb1gj"/>
          <w:b w:val="0"/>
          <w:i w:val="0"/>
          <w:color w:val="221F1F"/>
          <w:sz w:val="20"/>
        </w:rPr>
        <w:t xml:space="preserve"> 设备始发方面分析</w:t>
      </w:r>
      <w:r>
        <w:br/>
      </w:r>
      <w:r>
        <w:tab/>
      </w:r>
      <w:r>
        <w:rPr>
          <w:w w:val="101.00000381469727"/>
          <w:rFonts w:ascii="HYa6gj" w:hAnsi="HYa6gj" w:eastAsia="HYa6gj"/>
          <w:b w:val="0"/>
          <w:i w:val="0"/>
          <w:color w:val="221F1F"/>
          <w:sz w:val="20"/>
        </w:rPr>
        <w:t>从图3 与图4 可以看出，针对同步拼装工序</w:t>
      </w:r>
      <w:r>
        <w:rPr>
          <w:w w:val="101.00000381469727"/>
          <w:rFonts w:ascii="HYa6gj" w:hAnsi="HYa6gj" w:eastAsia="HYa6gj"/>
          <w:b w:val="0"/>
          <w:i w:val="0"/>
          <w:color w:val="221F1F"/>
          <w:sz w:val="20"/>
        </w:rPr>
        <w:t>和独立拼装工序，在满足两者每一个循环可以拼</w:t>
      </w:r>
      <w:r>
        <w:rPr>
          <w:w w:val="101.00000381469727"/>
          <w:rFonts w:ascii="HYa6gj" w:hAnsi="HYa6gj" w:eastAsia="HYa6gj"/>
          <w:b w:val="0"/>
          <w:i w:val="0"/>
          <w:color w:val="221F1F"/>
          <w:sz w:val="20"/>
        </w:rPr>
        <w:t>装相同数量预制箱涵的前提下：同步拼装方案整</w:t>
      </w:r>
      <w:r>
        <w:rPr>
          <w:w w:val="101.00000381469727"/>
          <w:rFonts w:ascii="HYa6gj" w:hAnsi="HYa6gj" w:eastAsia="HYa6gj"/>
          <w:b w:val="0"/>
          <w:i w:val="0"/>
          <w:color w:val="221F1F"/>
          <w:sz w:val="20"/>
        </w:rPr>
        <w:t>机长度为124m；独立拼装盾构长度85m。因此，</w:t>
      </w:r>
      <w:r>
        <w:rPr>
          <w:w w:val="101.00000381469727"/>
          <w:rFonts w:ascii="HYa6gj" w:hAnsi="HYa6gj" w:eastAsia="HYa6gj"/>
          <w:b w:val="0"/>
          <w:i w:val="0"/>
          <w:color w:val="221F1F"/>
          <w:sz w:val="20"/>
        </w:rPr>
        <w:t>采用同步拼装工序时，盾构长度较长，相对独立</w:t>
      </w:r>
      <w:r>
        <w:rPr>
          <w:w w:val="101.00000381469727"/>
          <w:rFonts w:ascii="HYa6gj" w:hAnsi="HYa6gj" w:eastAsia="HYa6gj"/>
          <w:b w:val="0"/>
          <w:i w:val="0"/>
          <w:color w:val="221F1F"/>
          <w:sz w:val="20"/>
        </w:rPr>
        <w:t>拼装工序长约40m。当项目始发井长度有限制时，</w:t>
      </w:r>
      <w:r>
        <w:rPr>
          <w:w w:val="101.00000381469727"/>
          <w:rFonts w:ascii="HYa6gj" w:hAnsi="HYa6gj" w:eastAsia="HYa6gj"/>
          <w:b w:val="0"/>
          <w:i w:val="0"/>
          <w:color w:val="221F1F"/>
          <w:sz w:val="20"/>
        </w:rPr>
        <w:t>采用同步拼装工序的盾构需要分体始发</w:t>
      </w:r>
      <w:r>
        <w:rPr>
          <w:w w:val="98.13833236694336"/>
          <w:rFonts w:ascii="HYa6gj" w:hAnsi="HYa6gj" w:eastAsia="HYa6gj"/>
          <w:b w:val="0"/>
          <w:i w:val="0"/>
          <w:color w:val="221F1F"/>
          <w:sz w:val="12"/>
        </w:rPr>
        <w:t>[8]</w:t>
      </w:r>
      <w:r>
        <w:rPr>
          <w:w w:val="101.00000381469727"/>
          <w:rFonts w:ascii="HYa6gj" w:hAnsi="HYa6gj" w:eastAsia="HYa6gj"/>
          <w:b w:val="0"/>
          <w:i w:val="0"/>
          <w:color w:val="221F1F"/>
          <w:sz w:val="20"/>
        </w:rPr>
        <w:t>，且由</w:t>
      </w:r>
      <w:r>
        <w:rPr>
          <w:w w:val="101.00000381469727"/>
          <w:rFonts w:ascii="HYa6gj" w:hAnsi="HYa6gj" w:eastAsia="HYa6gj"/>
          <w:b w:val="0"/>
          <w:i w:val="0"/>
          <w:color w:val="221F1F"/>
          <w:sz w:val="20"/>
        </w:rPr>
        <w:t>于预制箱涵的存在，在始发井长度极小时，设备</w:t>
      </w:r>
    </w:p>
    <w:p>
      <w:pPr>
        <w:sectPr>
          <w:type w:val="continuous"/>
          <w:pgSz w:w="11906" w:h="16157"/>
          <w:pgMar w:top="936" w:right="1440" w:bottom="168" w:left="400" w:header="720" w:footer="720" w:gutter="0"/>
          <w:cols w:num="2" w:equalWidth="0">
            <w:col w:w="5440" w:space="0"/>
            <w:col w:w="4625" w:space="0"/>
          </w:cols>
          <w:docGrid w:linePitch="360"/>
        </w:sectPr>
      </w:pPr>
    </w:p>
    <w:p>
      <w:pPr>
        <w:autoSpaceDN w:val="0"/>
        <w:autoSpaceDE w:val="0"/>
        <w:widowControl/>
        <w:spacing w:line="276" w:lineRule="auto" w:before="0" w:after="0"/>
        <w:ind w:left="226" w:right="34" w:firstLine="0"/>
        <w:jc w:val="both"/>
      </w:pPr>
      <w:r>
        <w:rPr>
          <w:w w:val="101.00000381469727"/>
          <w:rFonts w:ascii="HYa6gj" w:hAnsi="HYa6gj" w:eastAsia="HYa6gj"/>
          <w:b w:val="0"/>
          <w:i w:val="0"/>
          <w:color w:val="221F1F"/>
          <w:sz w:val="20"/>
        </w:rPr>
        <w:t>管片吊机与箱涵吊机分别位于盾构与独立拼装台</w:t>
      </w:r>
      <w:r>
        <w:rPr>
          <w:w w:val="101.00000381469727"/>
          <w:rFonts w:ascii="HYa6gj" w:hAnsi="HYa6gj" w:eastAsia="HYa6gj"/>
          <w:b w:val="0"/>
          <w:i w:val="0"/>
          <w:color w:val="221F1F"/>
          <w:sz w:val="20"/>
        </w:rPr>
        <w:t>车上，管片吊运和箱涵拼装互不影响，管片吊运区</w:t>
      </w:r>
      <w:r>
        <w:rPr>
          <w:w w:val="101.00000381469727"/>
          <w:rFonts w:ascii="HYa6gj" w:hAnsi="HYa6gj" w:eastAsia="HYa6gj"/>
          <w:b w:val="0"/>
          <w:i w:val="0"/>
          <w:color w:val="221F1F"/>
          <w:sz w:val="20"/>
        </w:rPr>
        <w:t>域可以设置有管片卸载器，如图6 所示。因此，针</w:t>
      </w:r>
      <w:r>
        <w:rPr>
          <w:w w:val="101.00000381469727"/>
          <w:rFonts w:ascii="HYa6gj" w:hAnsi="HYa6gj" w:eastAsia="HYa6gj"/>
          <w:b w:val="0"/>
          <w:i w:val="0"/>
          <w:color w:val="221F1F"/>
          <w:sz w:val="20"/>
        </w:rPr>
        <w:t>对长距离掘进大直径隧道，预制箱涵独立拼装工</w:t>
      </w:r>
      <w:r>
        <w:rPr>
          <w:w w:val="101.00000381469727"/>
          <w:rFonts w:ascii="HYa6gj" w:hAnsi="HYa6gj" w:eastAsia="HYa6gj"/>
          <w:b w:val="0"/>
          <w:i w:val="0"/>
          <w:color w:val="221F1F"/>
          <w:sz w:val="20"/>
        </w:rPr>
        <w:t>序可以采用管片卸载器来提高管片吊运效率。</w:t>
      </w:r>
    </w:p>
    <w:p>
      <w:pPr>
        <w:autoSpaceDN w:val="0"/>
        <w:autoSpaceDE w:val="0"/>
        <w:widowControl/>
        <w:spacing w:line="240" w:lineRule="auto" w:before="114" w:after="0"/>
        <w:ind w:left="780" w:right="0" w:firstLine="0"/>
        <w:jc w:val="left"/>
      </w:pPr>
      <w:r>
        <w:drawing>
          <wp:inline xmlns:a="http://schemas.openxmlformats.org/drawingml/2006/main" xmlns:pic="http://schemas.openxmlformats.org/drawingml/2006/picture">
            <wp:extent cx="2070100" cy="20701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070100" cy="2070100"/>
                    </a:xfrm>
                    <a:prstGeom prst="rect"/>
                  </pic:spPr>
                </pic:pic>
              </a:graphicData>
            </a:graphic>
          </wp:inline>
        </w:drawing>
      </w:r>
    </w:p>
    <w:p>
      <w:pPr>
        <w:autoSpaceDN w:val="0"/>
        <w:autoSpaceDE w:val="0"/>
        <w:widowControl/>
        <w:spacing w:line="198" w:lineRule="exact" w:before="34" w:after="0"/>
        <w:ind w:left="0" w:right="1092" w:firstLine="0"/>
        <w:jc w:val="right"/>
      </w:pPr>
      <w:r>
        <w:rPr>
          <w:rFonts w:ascii="HYb1gj" w:hAnsi="HYb1gj" w:eastAsia="HYb1gj"/>
          <w:b w:val="0"/>
          <w:i w:val="0"/>
          <w:color w:val="221F1F"/>
          <w:sz w:val="18"/>
        </w:rPr>
        <w:t>图</w:t>
      </w:r>
      <w:r>
        <w:rPr>
          <w:rFonts w:ascii="Times" w:hAnsi="Times" w:eastAsia="Times"/>
          <w:b/>
          <w:i w:val="0"/>
          <w:color w:val="221F1F"/>
          <w:sz w:val="18"/>
        </w:rPr>
        <w:t>5</w:t>
      </w:r>
      <w:r>
        <w:rPr>
          <w:rFonts w:ascii="HYb1gj" w:hAnsi="HYb1gj" w:eastAsia="HYb1gj"/>
          <w:b w:val="0"/>
          <w:i w:val="0"/>
          <w:color w:val="221F1F"/>
          <w:sz w:val="18"/>
        </w:rPr>
        <w:t xml:space="preserve"> 预制箱涵同步拼装截面</w:t>
      </w:r>
    </w:p>
    <w:p>
      <w:pPr>
        <w:autoSpaceDN w:val="0"/>
        <w:autoSpaceDE w:val="0"/>
        <w:widowControl/>
        <w:spacing w:line="240" w:lineRule="auto" w:before="108" w:after="0"/>
        <w:ind w:left="780" w:right="0" w:firstLine="0"/>
        <w:jc w:val="left"/>
      </w:pPr>
      <w:r>
        <w:drawing>
          <wp:inline xmlns:a="http://schemas.openxmlformats.org/drawingml/2006/main" xmlns:pic="http://schemas.openxmlformats.org/drawingml/2006/picture">
            <wp:extent cx="2070100" cy="20701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70100" cy="2070100"/>
                    </a:xfrm>
                    <a:prstGeom prst="rect"/>
                  </pic:spPr>
                </pic:pic>
              </a:graphicData>
            </a:graphic>
          </wp:inline>
        </w:drawing>
      </w:r>
    </w:p>
    <w:p>
      <w:pPr>
        <w:autoSpaceDN w:val="0"/>
        <w:autoSpaceDE w:val="0"/>
        <w:widowControl/>
        <w:spacing w:line="198" w:lineRule="exact" w:before="22" w:after="128"/>
        <w:ind w:left="0" w:right="1092" w:firstLine="0"/>
        <w:jc w:val="right"/>
      </w:pPr>
      <w:r>
        <w:rPr>
          <w:rFonts w:ascii="HYb1gj" w:hAnsi="HYb1gj" w:eastAsia="HYb1gj"/>
          <w:b w:val="0"/>
          <w:i w:val="0"/>
          <w:color w:val="221F1F"/>
          <w:sz w:val="18"/>
        </w:rPr>
        <w:t>图</w:t>
      </w:r>
      <w:r>
        <w:rPr>
          <w:rFonts w:ascii="Times" w:hAnsi="Times" w:eastAsia="Times"/>
          <w:b/>
          <w:i w:val="0"/>
          <w:color w:val="221F1F"/>
          <w:sz w:val="18"/>
        </w:rPr>
        <w:t>6</w:t>
      </w:r>
      <w:r>
        <w:rPr>
          <w:rFonts w:ascii="HYb1gj" w:hAnsi="HYb1gj" w:eastAsia="HYb1gj"/>
          <w:b w:val="0"/>
          <w:i w:val="0"/>
          <w:color w:val="221F1F"/>
          <w:sz w:val="18"/>
        </w:rPr>
        <w:t xml:space="preserve"> 预制箱涵独立拼装截面</w:t>
      </w:r>
    </w:p>
    <w:p>
      <w:pPr>
        <w:sectPr>
          <w:type w:val="nextColumn"/>
          <w:pgSz w:w="11906" w:h="16157"/>
          <w:pgMar w:top="936" w:right="1440" w:bottom="168" w:left="400" w:header="720" w:footer="720" w:gutter="0"/>
          <w:cols w:num="2" w:equalWidth="0">
            <w:col w:w="5440" w:space="0"/>
            <w:col w:w="4625" w:space="0"/>
          </w:cols>
          <w:docGrid w:linePitch="360"/>
        </w:sectPr>
      </w:pPr>
    </w:p>
    <w:p>
      <w:pPr>
        <w:autoSpaceDN w:val="0"/>
        <w:tabs>
          <w:tab w:pos="5666" w:val="left"/>
        </w:tabs>
        <w:autoSpaceDE w:val="0"/>
        <w:widowControl/>
        <w:spacing w:line="202" w:lineRule="exact" w:before="0" w:after="124"/>
        <w:ind w:left="848" w:right="0" w:firstLine="0"/>
        <w:jc w:val="left"/>
      </w:pPr>
      <w:r>
        <w:rPr>
          <w:w w:val="101.00000381469727"/>
          <w:rFonts w:ascii="HYa6gj" w:hAnsi="HYa6gj" w:eastAsia="HYa6gj"/>
          <w:b w:val="0"/>
          <w:i w:val="0"/>
          <w:color w:val="221F1F"/>
          <w:sz w:val="20"/>
        </w:rPr>
        <w:t>甚至需要两次分体始发后才能整体掘进。因此，</w:t>
      </w:r>
      <w:r>
        <w:tab/>
      </w:r>
      <w:r>
        <w:rPr>
          <w:w w:val="101.00000381469727"/>
          <w:rFonts w:ascii="Times" w:hAnsi="Times" w:eastAsia="Time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 w:hAnsi="Times" w:eastAsia="Times"/>
          <w:b/>
          <w:i w:val="0"/>
          <w:color w:val="221F1F"/>
          <w:sz w:val="20"/>
        </w:rPr>
        <w:t>4</w:t>
      </w:r>
      <w:r>
        <w:rPr>
          <w:w w:val="101.00000381469727"/>
          <w:rFonts w:ascii="HYb1gj" w:hAnsi="HYb1gj" w:eastAsia="HYb1gj"/>
          <w:b w:val="0"/>
          <w:i w:val="0"/>
          <w:color w:val="221F1F"/>
          <w:sz w:val="20"/>
        </w:rPr>
        <w:t xml:space="preserve"> 经济性分析</w:t>
      </w:r>
    </w:p>
    <w:p>
      <w:pPr>
        <w:sectPr>
          <w:type w:val="continuous"/>
          <w:pgSz w:w="11906" w:h="16157"/>
          <w:pgMar w:top="936" w:right="1440" w:bottom="168" w:left="400" w:header="720" w:footer="720" w:gutter="0"/>
          <w:cols/>
          <w:docGrid w:linePitch="360"/>
        </w:sectPr>
      </w:pPr>
    </w:p>
    <w:p>
      <w:pPr>
        <w:autoSpaceDN w:val="0"/>
        <w:autoSpaceDE w:val="0"/>
        <w:widowControl/>
        <w:spacing w:line="245" w:lineRule="auto" w:before="0" w:after="0"/>
        <w:ind w:left="848" w:right="144" w:firstLine="0"/>
        <w:jc w:val="left"/>
      </w:pPr>
      <w:r>
        <w:rPr>
          <w:w w:val="101.00000381469727"/>
          <w:rFonts w:ascii="HYa6gj" w:hAnsi="HYa6gj" w:eastAsia="HYa6gj"/>
          <w:b w:val="0"/>
          <w:i w:val="0"/>
          <w:color w:val="221F1F"/>
          <w:sz w:val="20"/>
        </w:rPr>
        <w:t>当隧道项目始发场地有尺寸限制时，独立拼装工</w:t>
      </w:r>
      <w:r>
        <w:rPr>
          <w:w w:val="101.00000381469727"/>
          <w:rFonts w:ascii="HYa6gj" w:hAnsi="HYa6gj" w:eastAsia="HYa6gj"/>
          <w:b w:val="0"/>
          <w:i w:val="0"/>
          <w:color w:val="221F1F"/>
          <w:sz w:val="20"/>
        </w:rPr>
        <w:t>序在始发安排上优于同步拼装工序。</w:t>
      </w:r>
    </w:p>
    <w:p>
      <w:pPr>
        <w:autoSpaceDN w:val="0"/>
        <w:tabs>
          <w:tab w:pos="1256" w:val="left"/>
        </w:tabs>
        <w:autoSpaceDE w:val="0"/>
        <w:widowControl/>
        <w:spacing w:line="328" w:lineRule="exact" w:before="2" w:after="0"/>
        <w:ind w:left="848" w:right="144" w:firstLine="0"/>
        <w:jc w:val="left"/>
      </w:pPr>
      <w:r>
        <w:rPr>
          <w:w w:val="101.00000381469727"/>
          <w:rFonts w:ascii="Times" w:hAnsi="Times" w:eastAsia="Times"/>
          <w:b/>
          <w:i w:val="0"/>
          <w:color w:val="221F1F"/>
          <w:sz w:val="20"/>
        </w:rPr>
        <w:t>2</w:t>
      </w:r>
      <w:r>
        <w:rPr>
          <w:w w:val="101.00000381469727"/>
          <w:rFonts w:ascii="TimesNewRomanPSMT" w:hAnsi="TimesNewRomanPSMT" w:eastAsia="TimesNewRomanPSMT"/>
          <w:b w:val="0"/>
          <w:i w:val="0"/>
          <w:color w:val="221F1F"/>
          <w:sz w:val="20"/>
        </w:rPr>
        <w:t>.</w:t>
      </w:r>
      <w:r>
        <w:rPr>
          <w:w w:val="101.00000381469727"/>
          <w:rFonts w:ascii="Times" w:hAnsi="Times" w:eastAsia="Times"/>
          <w:b/>
          <w:i w:val="0"/>
          <w:color w:val="221F1F"/>
          <w:sz w:val="20"/>
        </w:rPr>
        <w:t>3</w:t>
      </w:r>
      <w:r>
        <w:rPr>
          <w:w w:val="101.00000381469727"/>
          <w:rFonts w:ascii="HYb1gj" w:hAnsi="HYb1gj" w:eastAsia="HYb1gj"/>
          <w:b w:val="0"/>
          <w:i w:val="0"/>
          <w:color w:val="221F1F"/>
          <w:sz w:val="20"/>
        </w:rPr>
        <w:t xml:space="preserve"> 管片吊运效率分析</w:t>
      </w:r>
      <w:r>
        <w:br/>
      </w:r>
      <w:r>
        <w:tab/>
      </w:r>
      <w:r>
        <w:rPr>
          <w:w w:val="101.00000381469727"/>
          <w:rFonts w:ascii="HYa6gj" w:hAnsi="HYa6gj" w:eastAsia="HYa6gj"/>
          <w:b w:val="0"/>
          <w:i w:val="0"/>
          <w:color w:val="221F1F"/>
          <w:sz w:val="20"/>
        </w:rPr>
        <w:t>大直径盾构采用管片卸载器可以明显提高大</w:t>
      </w:r>
      <w:r>
        <w:rPr>
          <w:w w:val="101.00000381469727"/>
          <w:rFonts w:ascii="HYa6gj" w:hAnsi="HYa6gj" w:eastAsia="HYa6gj"/>
          <w:b w:val="0"/>
          <w:i w:val="0"/>
          <w:color w:val="221F1F"/>
          <w:sz w:val="20"/>
        </w:rPr>
        <w:t>直径盾构效率</w:t>
      </w:r>
      <w:r>
        <w:rPr>
          <w:w w:val="98.13833236694336"/>
          <w:rFonts w:ascii="HYa6gj" w:hAnsi="HYa6gj" w:eastAsia="HYa6gj"/>
          <w:b w:val="0"/>
          <w:i w:val="0"/>
          <w:color w:val="221F1F"/>
          <w:sz w:val="12"/>
        </w:rPr>
        <w:t>[9]</w:t>
      </w:r>
      <w:r>
        <w:rPr>
          <w:w w:val="101.00000381469727"/>
          <w:rFonts w:ascii="HYa6gj" w:hAnsi="HYa6gj" w:eastAsia="HYa6gj"/>
          <w:b w:val="0"/>
          <w:i w:val="0"/>
          <w:color w:val="221F1F"/>
          <w:sz w:val="20"/>
        </w:rPr>
        <w:t>。因此，部分隧道项目，尤其是</w:t>
      </w:r>
      <w:r>
        <w:rPr>
          <w:w w:val="101.00000381469727"/>
          <w:rFonts w:ascii="HYa6gj" w:hAnsi="HYa6gj" w:eastAsia="HYa6gj"/>
          <w:b w:val="0"/>
          <w:i w:val="0"/>
          <w:color w:val="221F1F"/>
          <w:sz w:val="20"/>
        </w:rPr>
        <w:t>长距离隧道项目均配置管片卸载器来提高管片吊</w:t>
      </w:r>
    </w:p>
    <w:p>
      <w:pPr>
        <w:sectPr>
          <w:type w:val="continuous"/>
          <w:pgSz w:w="11906" w:h="16157"/>
          <w:pgMar w:top="936" w:right="1440" w:bottom="168" w:left="400" w:header="720" w:footer="720" w:gutter="0"/>
          <w:cols w:num="2" w:equalWidth="0">
            <w:col w:w="5440" w:space="0"/>
            <w:col w:w="4625" w:space="0"/>
          </w:cols>
          <w:docGrid w:linePitch="360"/>
        </w:sectPr>
      </w:pPr>
    </w:p>
    <w:p>
      <w:pPr>
        <w:autoSpaceDN w:val="0"/>
        <w:autoSpaceDE w:val="0"/>
        <w:widowControl/>
        <w:spacing w:line="281" w:lineRule="auto" w:before="0" w:after="126"/>
        <w:ind w:left="226" w:right="34" w:firstLine="408"/>
        <w:jc w:val="both"/>
      </w:pPr>
      <w:r>
        <w:rPr>
          <w:w w:val="101.00000381469727"/>
          <w:rFonts w:ascii="HYa6gj" w:hAnsi="HYa6gj" w:eastAsia="HYa6gj"/>
          <w:b w:val="0"/>
          <w:i w:val="0"/>
          <w:color w:val="221F1F"/>
          <w:sz w:val="20"/>
        </w:rPr>
        <w:t>在采用相同系统配置前提下，针对上述土压</w:t>
      </w:r>
      <w:r>
        <w:rPr>
          <w:w w:val="101.00000381469727"/>
          <w:rFonts w:ascii="HYa6gj" w:hAnsi="HYa6gj" w:eastAsia="HYa6gj"/>
          <w:b w:val="0"/>
          <w:i w:val="0"/>
          <w:color w:val="221F1F"/>
          <w:sz w:val="20"/>
        </w:rPr>
        <w:t>项目分别对同步拼装及后部拼装工序进行经济性</w:t>
      </w:r>
      <w:r>
        <w:rPr>
          <w:w w:val="101.00000381469727"/>
          <w:rFonts w:ascii="HYa6gj" w:hAnsi="HYa6gj" w:eastAsia="HYa6gj"/>
          <w:b w:val="0"/>
          <w:i w:val="0"/>
          <w:color w:val="221F1F"/>
          <w:sz w:val="20"/>
        </w:rPr>
        <w:t>对比分析。从图3 及图4 可以看出，同步拼装工</w:t>
      </w:r>
      <w:r>
        <w:rPr>
          <w:w w:val="101.00000381469727"/>
          <w:rFonts w:ascii="HYa6gj" w:hAnsi="HYa6gj" w:eastAsia="HYa6gj"/>
          <w:b w:val="0"/>
          <w:i w:val="0"/>
          <w:color w:val="221F1F"/>
          <w:sz w:val="20"/>
        </w:rPr>
        <w:t>序和独立拼装工序区别主要在于后配套拖车长度</w:t>
      </w:r>
      <w:r>
        <w:rPr>
          <w:w w:val="101.00000381469727"/>
          <w:rFonts w:ascii="HYa6gj" w:hAnsi="HYa6gj" w:eastAsia="HYa6gj"/>
          <w:b w:val="0"/>
          <w:i w:val="0"/>
          <w:color w:val="221F1F"/>
          <w:sz w:val="20"/>
        </w:rPr>
        <w:t>以及独立拼装台车，后配套拖车长度以及独立拼</w:t>
      </w:r>
      <w:r>
        <w:rPr>
          <w:w w:val="101.00000381469727"/>
          <w:rFonts w:ascii="HYa6gj" w:hAnsi="HYa6gj" w:eastAsia="HYa6gj"/>
          <w:b w:val="0"/>
          <w:i w:val="0"/>
          <w:color w:val="221F1F"/>
          <w:sz w:val="20"/>
        </w:rPr>
        <w:t>装台车在设备成本上主要体现在重量上，因此，</w:t>
      </w:r>
    </w:p>
    <w:p>
      <w:pPr>
        <w:sectPr>
          <w:type w:val="nextColumn"/>
          <w:pgSz w:w="11906" w:h="16157"/>
          <w:pgMar w:top="936" w:right="1440" w:bottom="168" w:left="400" w:header="720" w:footer="720" w:gutter="0"/>
          <w:cols w:num="2" w:equalWidth="0">
            <w:col w:w="5440" w:space="0"/>
            <w:col w:w="4625" w:space="0"/>
          </w:cols>
          <w:docGrid w:linePitch="360"/>
        </w:sectPr>
      </w:pPr>
    </w:p>
    <w:p>
      <w:pPr>
        <w:autoSpaceDN w:val="0"/>
        <w:tabs>
          <w:tab w:pos="5666" w:val="left"/>
        </w:tabs>
        <w:autoSpaceDE w:val="0"/>
        <w:widowControl/>
        <w:spacing w:line="185" w:lineRule="auto" w:before="0" w:after="126"/>
        <w:ind w:left="848" w:right="0" w:firstLine="0"/>
        <w:jc w:val="left"/>
      </w:pPr>
      <w:r>
        <w:rPr>
          <w:w w:val="101.00000381469727"/>
          <w:rFonts w:ascii="HYa6gj" w:hAnsi="HYa6gj" w:eastAsia="HYa6gj"/>
          <w:b w:val="0"/>
          <w:i w:val="0"/>
          <w:color w:val="221F1F"/>
          <w:sz w:val="20"/>
        </w:rPr>
        <w:t>运效率。</w:t>
      </w:r>
      <w:r>
        <w:tab/>
      </w:r>
      <w:r>
        <w:rPr>
          <w:w w:val="101.00000381469727"/>
          <w:rFonts w:ascii="HYa6gj" w:hAnsi="HYa6gj" w:eastAsia="HYa6gj"/>
          <w:b w:val="0"/>
          <w:i w:val="0"/>
          <w:color w:val="221F1F"/>
          <w:sz w:val="20"/>
        </w:rPr>
        <w:t>二者的经济性对比分析主要是二者钢结构重量的</w:t>
      </w:r>
    </w:p>
    <w:p>
      <w:pPr>
        <w:sectPr>
          <w:type w:val="continuous"/>
          <w:pgSz w:w="11906" w:h="16157"/>
          <w:pgMar w:top="936" w:right="1440" w:bottom="168" w:left="400" w:header="720" w:footer="720" w:gutter="0"/>
          <w:cols/>
          <w:docGrid w:linePitch="360"/>
        </w:sectPr>
      </w:pPr>
    </w:p>
    <w:p>
      <w:pPr>
        <w:autoSpaceDN w:val="0"/>
        <w:autoSpaceDE w:val="0"/>
        <w:widowControl/>
        <w:spacing w:line="276" w:lineRule="auto" w:before="0" w:after="0"/>
        <w:ind w:left="848" w:right="224" w:firstLine="408"/>
        <w:jc w:val="both"/>
      </w:pPr>
      <w:r>
        <w:rPr>
          <w:w w:val="101.00000381469727"/>
          <w:rFonts w:ascii="HYa6gj" w:hAnsi="HYa6gj" w:eastAsia="HYa6gj"/>
          <w:b w:val="0"/>
          <w:i w:val="0"/>
          <w:color w:val="221F1F"/>
          <w:sz w:val="20"/>
        </w:rPr>
        <w:t>针对该大直径土压项目，由于预制箱涵宽度</w:t>
      </w:r>
      <w:r>
        <w:rPr>
          <w:w w:val="101.00000381469727"/>
          <w:rFonts w:ascii="HYa6gj" w:hAnsi="HYa6gj" w:eastAsia="HYa6gj"/>
          <w:b w:val="0"/>
          <w:i w:val="0"/>
          <w:color w:val="221F1F"/>
          <w:sz w:val="20"/>
        </w:rPr>
        <w:t>尺寸大于管片环向宽度尺寸，管片吊运与箱涵吊</w:t>
      </w:r>
      <w:r>
        <w:rPr>
          <w:w w:val="101.00000381469727"/>
          <w:rFonts w:ascii="HYa6gj" w:hAnsi="HYa6gj" w:eastAsia="HYa6gj"/>
          <w:b w:val="0"/>
          <w:i w:val="0"/>
          <w:color w:val="221F1F"/>
          <w:sz w:val="20"/>
        </w:rPr>
        <w:t>运轨迹有重叠，因此管片吊运中应用到的管片卸</w:t>
      </w:r>
      <w:r>
        <w:rPr>
          <w:w w:val="101.00000381469727"/>
          <w:rFonts w:ascii="HYa6gj" w:hAnsi="HYa6gj" w:eastAsia="HYa6gj"/>
          <w:b w:val="0"/>
          <w:i w:val="0"/>
          <w:color w:val="221F1F"/>
          <w:sz w:val="20"/>
        </w:rPr>
        <w:t>载器在结构上会与预制箱涵干涉，同步拼装工序无</w:t>
      </w:r>
      <w:r>
        <w:rPr>
          <w:w w:val="101.00000381469727"/>
          <w:rFonts w:ascii="HYa6gj" w:hAnsi="HYa6gj" w:eastAsia="HYa6gj"/>
          <w:b w:val="0"/>
          <w:i w:val="0"/>
          <w:color w:val="221F1F"/>
          <w:sz w:val="20"/>
        </w:rPr>
        <w:t>法配置管片卸载器，如图5 所示。而独立拼装工序</w:t>
      </w:r>
    </w:p>
    <w:p>
      <w:pPr>
        <w:sectPr>
          <w:type w:val="continuous"/>
          <w:pgSz w:w="11906" w:h="16157"/>
          <w:pgMar w:top="936" w:right="1440" w:bottom="168" w:left="400" w:header="720" w:footer="720" w:gutter="0"/>
          <w:cols w:num="2" w:equalWidth="0">
            <w:col w:w="5438" w:space="0"/>
            <w:col w:w="4628" w:space="0"/>
          </w:cols>
          <w:docGrid w:linePitch="360"/>
        </w:sectPr>
      </w:pPr>
    </w:p>
    <w:p>
      <w:pPr>
        <w:autoSpaceDN w:val="0"/>
        <w:tabs>
          <w:tab w:pos="1466" w:val="left"/>
        </w:tabs>
        <w:autoSpaceDE w:val="0"/>
        <w:widowControl/>
        <w:spacing w:line="256" w:lineRule="exact" w:before="0" w:after="52"/>
        <w:ind w:left="228" w:right="1152" w:firstLine="0"/>
        <w:jc w:val="left"/>
      </w:pPr>
      <w:r>
        <w:rPr>
          <w:w w:val="101.00000381469727"/>
          <w:rFonts w:ascii="HYa6gj" w:hAnsi="HYa6gj" w:eastAsia="HYa6gj"/>
          <w:b w:val="0"/>
          <w:i w:val="0"/>
          <w:color w:val="221F1F"/>
          <w:sz w:val="20"/>
        </w:rPr>
        <w:t>差别，如表2 所示。</w:t>
      </w:r>
      <w:r>
        <w:br/>
      </w:r>
      <w:r>
        <w:rPr>
          <w:rFonts w:ascii="HYb1gj" w:hAnsi="HYb1gj" w:eastAsia="HYb1gj"/>
          <w:b w:val="0"/>
          <w:i w:val="0"/>
          <w:color w:val="221F1F"/>
          <w:sz w:val="18"/>
        </w:rPr>
        <w:t>表</w:t>
      </w:r>
      <w:r>
        <w:rPr>
          <w:rFonts w:ascii="Times" w:hAnsi="Times" w:eastAsia="Times"/>
          <w:b/>
          <w:i w:val="0"/>
          <w:color w:val="221F1F"/>
          <w:sz w:val="18"/>
        </w:rPr>
        <w:t>2</w:t>
      </w:r>
      <w:r>
        <w:rPr>
          <w:rFonts w:ascii="HYb1gj" w:hAnsi="HYb1gj" w:eastAsia="HYb1gj"/>
          <w:b w:val="0"/>
          <w:i w:val="0"/>
          <w:color w:val="221F1F"/>
          <w:sz w:val="18"/>
        </w:rPr>
        <w:t>设备成本对比分析</w:t>
      </w:r>
    </w:p>
    <w:tbl>
      <w:tblPr>
        <w:tblW w:type="auto" w:w="0"/>
        <w:tblLayout w:type="fixed"/>
        <w:tblLook w:firstColumn="1" w:firstRow="1" w:lastColumn="0" w:lastRow="0" w:noHBand="0" w:noVBand="1" w:val="04A0"/>
        <w:tblInd w:w="222.00000000000045" w:type="dxa"/>
      </w:tblPr>
      <w:tblGrid>
        <w:gridCol w:w="2516"/>
        <w:gridCol w:w="2516"/>
        <w:gridCol w:w="2516"/>
        <w:gridCol w:w="2516"/>
      </w:tblGrid>
      <w:tr>
        <w:trPr>
          <w:trHeight w:hRule="exact" w:val="330"/>
        </w:trPr>
        <w:tc>
          <w:tcPr>
            <w:tcW w:type="dxa" w:w="716"/>
            <w:tcBorders>
              <w:top w:sz="5.671999931335449" w:val="single" w:color="#221F1F"/>
              <w:end w:sz="2.2639999389648438" w:val="single" w:color="#221F1F"/>
              <w:bottom w:sz="2.2639999389648438" w:val="single" w:color="#221F1F"/>
            </w:tcBorders>
            <w:tcMar>
              <w:start w:w="0" w:type="dxa"/>
              <w:end w:w="0" w:type="dxa"/>
            </w:tcMar>
          </w:tcPr>
          <w:p>
            <w:pPr>
              <w:autoSpaceDN w:val="0"/>
              <w:autoSpaceDE w:val="0"/>
              <w:widowControl/>
              <w:spacing w:line="185" w:lineRule="auto" w:before="80" w:after="0"/>
              <w:ind w:left="0" w:right="0" w:firstLine="0"/>
              <w:jc w:val="center"/>
            </w:pPr>
            <w:r>
              <w:rPr>
                <w:rFonts w:ascii="HYa6gj" w:hAnsi="HYa6gj" w:eastAsia="HYa6gj"/>
                <w:b w:val="0"/>
                <w:i w:val="0"/>
                <w:color w:val="221F1F"/>
                <w:sz w:val="16"/>
              </w:rPr>
              <w:t>类别</w:t>
            </w:r>
          </w:p>
        </w:tc>
        <w:tc>
          <w:tcPr>
            <w:tcW w:type="dxa" w:w="1008"/>
            <w:tcBorders>
              <w:start w:sz="2.2639999389648438" w:val="single" w:color="#221F1F"/>
              <w:top w:sz="5.671999931335449" w:val="single" w:color="#221F1F"/>
              <w:end w:sz="2.2639999389648438" w:val="single" w:color="#221F1F"/>
              <w:bottom w:sz="2.2639999389648438" w:val="single" w:color="#221F1F"/>
            </w:tcBorders>
            <w:tcMar>
              <w:start w:w="0" w:type="dxa"/>
              <w:end w:w="0" w:type="dxa"/>
            </w:tcMar>
          </w:tcPr>
          <w:p>
            <w:pPr>
              <w:autoSpaceDN w:val="0"/>
              <w:autoSpaceDE w:val="0"/>
              <w:widowControl/>
              <w:spacing w:line="185" w:lineRule="auto" w:before="78" w:after="0"/>
              <w:ind w:left="0" w:right="0" w:firstLine="0"/>
              <w:jc w:val="center"/>
            </w:pPr>
            <w:r>
              <w:rPr>
                <w:rFonts w:ascii="HYa6gj" w:hAnsi="HYa6gj" w:eastAsia="HYa6gj"/>
                <w:b w:val="0"/>
                <w:i w:val="0"/>
                <w:color w:val="221F1F"/>
                <w:sz w:val="16"/>
              </w:rPr>
              <w:t>主机重量（t）</w:t>
            </w:r>
          </w:p>
        </w:tc>
        <w:tc>
          <w:tcPr>
            <w:tcW w:type="dxa" w:w="1078"/>
            <w:tcBorders>
              <w:start w:sz="2.2639999389648438" w:val="single" w:color="#221F1F"/>
              <w:top w:sz="5.671999931335449" w:val="single" w:color="#221F1F"/>
              <w:end w:sz="2.2639999389648438" w:val="single" w:color="#221F1F"/>
              <w:bottom w:sz="2.2639999389648438" w:val="single" w:color="#221F1F"/>
            </w:tcBorders>
            <w:tcMar>
              <w:start w:w="0" w:type="dxa"/>
              <w:end w:w="0" w:type="dxa"/>
            </w:tcMar>
          </w:tcPr>
          <w:p>
            <w:pPr>
              <w:autoSpaceDN w:val="0"/>
              <w:autoSpaceDE w:val="0"/>
              <w:widowControl/>
              <w:spacing w:line="185" w:lineRule="auto" w:before="78" w:after="0"/>
              <w:ind w:left="0" w:right="0" w:firstLine="0"/>
              <w:jc w:val="center"/>
            </w:pPr>
            <w:r>
              <w:rPr>
                <w:rFonts w:ascii="HYa6gj" w:hAnsi="HYa6gj" w:eastAsia="HYa6gj"/>
                <w:b w:val="0"/>
                <w:i w:val="0"/>
                <w:color w:val="221F1F"/>
                <w:sz w:val="16"/>
              </w:rPr>
              <w:t xml:space="preserve">后配套重量(t) </w:t>
            </w:r>
          </w:p>
        </w:tc>
        <w:tc>
          <w:tcPr>
            <w:tcW w:type="dxa" w:w="1532"/>
            <w:tcBorders>
              <w:start w:sz="2.2639999389648438" w:val="single" w:color="#221F1F"/>
              <w:top w:sz="5.671999931335449" w:val="single" w:color="#221F1F"/>
              <w:bottom w:sz="2.2639999389648438" w:val="single" w:color="#221F1F"/>
            </w:tcBorders>
            <w:tcMar>
              <w:start w:w="0" w:type="dxa"/>
              <w:end w:w="0" w:type="dxa"/>
            </w:tcMar>
          </w:tcPr>
          <w:p>
            <w:pPr>
              <w:autoSpaceDN w:val="0"/>
              <w:autoSpaceDE w:val="0"/>
              <w:widowControl/>
              <w:spacing w:line="185" w:lineRule="auto" w:before="80" w:after="0"/>
              <w:ind w:left="0" w:right="0" w:firstLine="0"/>
              <w:jc w:val="center"/>
            </w:pPr>
            <w:r>
              <w:rPr>
                <w:rFonts w:ascii="HYa6gj" w:hAnsi="HYa6gj" w:eastAsia="HYa6gj"/>
                <w:b w:val="0"/>
                <w:i w:val="0"/>
                <w:color w:val="221F1F"/>
                <w:sz w:val="16"/>
              </w:rPr>
              <w:t>独立拼装台车重量(t)</w:t>
            </w:r>
          </w:p>
        </w:tc>
      </w:tr>
      <w:tr>
        <w:trPr>
          <w:trHeight w:hRule="exact" w:val="330"/>
        </w:trPr>
        <w:tc>
          <w:tcPr>
            <w:tcW w:type="dxa" w:w="716"/>
            <w:tcBorders>
              <w:top w:sz="2.2639999389648438" w:val="single" w:color="#221F1F"/>
              <w:end w:sz="2.2639999389648438" w:val="single" w:color="#221F1F"/>
              <w:bottom w:sz="2.2639999389648438" w:val="single" w:color="#221F1F"/>
            </w:tcBorders>
            <w:tcMar>
              <w:start w:w="0" w:type="dxa"/>
              <w:end w:w="0" w:type="dxa"/>
            </w:tcMar>
          </w:tcPr>
          <w:p>
            <w:pPr>
              <w:autoSpaceDN w:val="0"/>
              <w:autoSpaceDE w:val="0"/>
              <w:widowControl/>
              <w:spacing w:line="185" w:lineRule="auto" w:before="82" w:after="0"/>
              <w:ind w:left="0" w:right="0" w:firstLine="0"/>
              <w:jc w:val="center"/>
            </w:pPr>
            <w:r>
              <w:rPr>
                <w:rFonts w:ascii="HYa6gj" w:hAnsi="HYa6gj" w:eastAsia="HYa6gj"/>
                <w:b w:val="0"/>
                <w:i w:val="0"/>
                <w:color w:val="221F1F"/>
                <w:sz w:val="16"/>
              </w:rPr>
              <w:t>同步拼装</w:t>
            </w:r>
          </w:p>
        </w:tc>
        <w:tc>
          <w:tcPr>
            <w:tcW w:type="dxa" w:w="1008"/>
            <w:tcBorders>
              <w:start w:sz="2.2639999389648438" w:val="single" w:color="#221F1F"/>
              <w:top w:sz="2.2639999389648438" w:val="single" w:color="#221F1F"/>
              <w:end w:sz="2.2639999389648438" w:val="single" w:color="#221F1F"/>
              <w:bottom w:sz="2.2639999389648438" w:val="single" w:color="#221F1F"/>
            </w:tcBorders>
            <w:tcMar>
              <w:start w:w="0" w:type="dxa"/>
              <w:end w:w="0" w:type="dxa"/>
            </w:tcMar>
          </w:tcPr>
          <w:p>
            <w:pPr>
              <w:autoSpaceDN w:val="0"/>
              <w:autoSpaceDE w:val="0"/>
              <w:widowControl/>
              <w:spacing w:line="185" w:lineRule="auto" w:before="82" w:after="0"/>
              <w:ind w:left="0" w:right="0" w:firstLine="0"/>
              <w:jc w:val="center"/>
            </w:pPr>
            <w:r>
              <w:rPr>
                <w:rFonts w:ascii="HYa6gj" w:hAnsi="HYa6gj" w:eastAsia="HYa6gj"/>
                <w:b w:val="0"/>
                <w:i w:val="0"/>
                <w:color w:val="221F1F"/>
                <w:sz w:val="16"/>
              </w:rPr>
              <w:t>1480</w:t>
            </w:r>
          </w:p>
        </w:tc>
        <w:tc>
          <w:tcPr>
            <w:tcW w:type="dxa" w:w="1078"/>
            <w:tcBorders>
              <w:start w:sz="2.2639999389648438" w:val="single" w:color="#221F1F"/>
              <w:top w:sz="2.2639999389648438" w:val="single" w:color="#221F1F"/>
              <w:end w:sz="2.2639999389648438" w:val="single" w:color="#221F1F"/>
              <w:bottom w:sz="2.2639999389648438" w:val="single" w:color="#221F1F"/>
            </w:tcBorders>
            <w:tcMar>
              <w:start w:w="0" w:type="dxa"/>
              <w:end w:w="0" w:type="dxa"/>
            </w:tcMar>
          </w:tcPr>
          <w:p>
            <w:pPr>
              <w:autoSpaceDN w:val="0"/>
              <w:autoSpaceDE w:val="0"/>
              <w:widowControl/>
              <w:spacing w:line="185" w:lineRule="auto" w:before="82" w:after="0"/>
              <w:ind w:left="0" w:right="0" w:firstLine="0"/>
              <w:jc w:val="center"/>
            </w:pPr>
            <w:r>
              <w:rPr>
                <w:rFonts w:ascii="HYa6gj" w:hAnsi="HYa6gj" w:eastAsia="HYa6gj"/>
                <w:b w:val="0"/>
                <w:i w:val="0"/>
                <w:color w:val="221F1F"/>
                <w:sz w:val="16"/>
              </w:rPr>
              <w:t>1835</w:t>
            </w:r>
          </w:p>
        </w:tc>
        <w:tc>
          <w:tcPr>
            <w:tcW w:type="dxa" w:w="1532"/>
            <w:tcBorders>
              <w:start w:sz="2.2639999389648438" w:val="single" w:color="#221F1F"/>
              <w:top w:sz="2.2639999389648438" w:val="single" w:color="#221F1F"/>
              <w:bottom w:sz="2.2639999389648438" w:val="single" w:color="#221F1F"/>
            </w:tcBorders>
            <w:tcMar>
              <w:start w:w="0" w:type="dxa"/>
              <w:end w:w="0" w:type="dxa"/>
            </w:tcMar>
          </w:tcPr>
          <w:p>
            <w:pPr>
              <w:autoSpaceDN w:val="0"/>
              <w:autoSpaceDE w:val="0"/>
              <w:widowControl/>
              <w:spacing w:line="185" w:lineRule="auto" w:before="82" w:after="0"/>
              <w:ind w:left="0" w:right="0" w:firstLine="0"/>
              <w:jc w:val="center"/>
            </w:pPr>
            <w:r>
              <w:rPr>
                <w:rFonts w:ascii="HYa6gj" w:hAnsi="HYa6gj" w:eastAsia="HYa6gj"/>
                <w:b w:val="0"/>
                <w:i w:val="0"/>
                <w:color w:val="221F1F"/>
                <w:sz w:val="16"/>
              </w:rPr>
              <w:t>-</w:t>
            </w:r>
          </w:p>
        </w:tc>
      </w:tr>
      <w:tr>
        <w:trPr>
          <w:trHeight w:hRule="exact" w:val="306"/>
        </w:trPr>
        <w:tc>
          <w:tcPr>
            <w:tcW w:type="dxa" w:w="716"/>
            <w:tcBorders>
              <w:top w:sz="2.2639999389648438" w:val="single" w:color="#221F1F"/>
              <w:end w:sz="2.2639999389648438" w:val="single" w:color="#221F1F"/>
              <w:bottom w:sz="5.671999931335449" w:val="single" w:color="#221F1F"/>
            </w:tcBorders>
            <w:tcMar>
              <w:start w:w="0" w:type="dxa"/>
              <w:end w:w="0" w:type="dxa"/>
            </w:tcMar>
          </w:tcPr>
          <w:p>
            <w:pPr>
              <w:autoSpaceDN w:val="0"/>
              <w:autoSpaceDE w:val="0"/>
              <w:widowControl/>
              <w:spacing w:line="185" w:lineRule="auto" w:before="80" w:after="0"/>
              <w:ind w:left="0" w:right="0" w:firstLine="0"/>
              <w:jc w:val="center"/>
            </w:pPr>
            <w:r>
              <w:rPr>
                <w:rFonts w:ascii="HYa6gj" w:hAnsi="HYa6gj" w:eastAsia="HYa6gj"/>
                <w:b w:val="0"/>
                <w:i w:val="0"/>
                <w:color w:val="221F1F"/>
                <w:sz w:val="16"/>
              </w:rPr>
              <w:t>独立拼装</w:t>
            </w:r>
          </w:p>
        </w:tc>
        <w:tc>
          <w:tcPr>
            <w:tcW w:type="dxa" w:w="1008"/>
            <w:tcBorders>
              <w:start w:sz="2.2639999389648438" w:val="single" w:color="#221F1F"/>
              <w:top w:sz="2.2639999389648438" w:val="single" w:color="#221F1F"/>
              <w:end w:sz="2.2639999389648438" w:val="single" w:color="#221F1F"/>
              <w:bottom w:sz="5.671999931335449" w:val="single" w:color="#221F1F"/>
            </w:tcBorders>
            <w:tcMar>
              <w:start w:w="0" w:type="dxa"/>
              <w:end w:w="0" w:type="dxa"/>
            </w:tcMar>
          </w:tcPr>
          <w:p>
            <w:pPr>
              <w:autoSpaceDN w:val="0"/>
              <w:autoSpaceDE w:val="0"/>
              <w:widowControl/>
              <w:spacing w:line="185" w:lineRule="auto" w:before="82" w:after="0"/>
              <w:ind w:left="0" w:right="0" w:firstLine="0"/>
              <w:jc w:val="center"/>
            </w:pPr>
            <w:r>
              <w:rPr>
                <w:rFonts w:ascii="HYa6gj" w:hAnsi="HYa6gj" w:eastAsia="HYa6gj"/>
                <w:b w:val="0"/>
                <w:i w:val="0"/>
                <w:color w:val="221F1F"/>
                <w:sz w:val="16"/>
              </w:rPr>
              <w:t>1480</w:t>
            </w:r>
          </w:p>
        </w:tc>
        <w:tc>
          <w:tcPr>
            <w:tcW w:type="dxa" w:w="1078"/>
            <w:tcBorders>
              <w:start w:sz="2.2639999389648438" w:val="single" w:color="#221F1F"/>
              <w:top w:sz="2.2639999389648438" w:val="single" w:color="#221F1F"/>
              <w:end w:sz="2.2639999389648438" w:val="single" w:color="#221F1F"/>
              <w:bottom w:sz="5.671999931335449" w:val="single" w:color="#221F1F"/>
            </w:tcBorders>
            <w:tcMar>
              <w:start w:w="0" w:type="dxa"/>
              <w:end w:w="0" w:type="dxa"/>
            </w:tcMar>
          </w:tcPr>
          <w:p>
            <w:pPr>
              <w:autoSpaceDN w:val="0"/>
              <w:autoSpaceDE w:val="0"/>
              <w:widowControl/>
              <w:spacing w:line="185" w:lineRule="auto" w:before="82" w:after="0"/>
              <w:ind w:left="0" w:right="0" w:firstLine="0"/>
              <w:jc w:val="center"/>
            </w:pPr>
            <w:r>
              <w:rPr>
                <w:rFonts w:ascii="HYa6gj" w:hAnsi="HYa6gj" w:eastAsia="HYa6gj"/>
                <w:b w:val="0"/>
                <w:i w:val="0"/>
                <w:color w:val="221F1F"/>
                <w:sz w:val="16"/>
              </w:rPr>
              <w:t>1590</w:t>
            </w:r>
          </w:p>
        </w:tc>
        <w:tc>
          <w:tcPr>
            <w:tcW w:type="dxa" w:w="1532"/>
            <w:tcBorders>
              <w:start w:sz="2.2639999389648438" w:val="single" w:color="#221F1F"/>
              <w:top w:sz="2.2639999389648438" w:val="single" w:color="#221F1F"/>
              <w:bottom w:sz="5.671999931335449" w:val="single" w:color="#221F1F"/>
            </w:tcBorders>
            <w:tcMar>
              <w:start w:w="0" w:type="dxa"/>
              <w:end w:w="0" w:type="dxa"/>
            </w:tcMar>
          </w:tcPr>
          <w:p>
            <w:pPr>
              <w:autoSpaceDN w:val="0"/>
              <w:autoSpaceDE w:val="0"/>
              <w:widowControl/>
              <w:spacing w:line="185" w:lineRule="auto" w:before="80" w:after="0"/>
              <w:ind w:left="0" w:right="0" w:firstLine="0"/>
              <w:jc w:val="center"/>
            </w:pPr>
            <w:r>
              <w:rPr>
                <w:rFonts w:ascii="HYa6gj" w:hAnsi="HYa6gj" w:eastAsia="HYa6gj"/>
                <w:b w:val="0"/>
                <w:i w:val="0"/>
                <w:color w:val="221F1F"/>
                <w:sz w:val="16"/>
              </w:rPr>
              <w:t>301</w:t>
            </w:r>
          </w:p>
        </w:tc>
      </w:tr>
    </w:tbl>
    <w:p>
      <w:pPr>
        <w:autoSpaceDN w:val="0"/>
        <w:autoSpaceDE w:val="0"/>
        <w:widowControl/>
        <w:spacing w:line="14" w:lineRule="exact" w:before="0" w:after="420"/>
        <w:ind w:left="0" w:right="0"/>
      </w:pPr>
    </w:p>
    <w:p>
      <w:pPr>
        <w:sectPr>
          <w:type w:val="nextColumn"/>
          <w:pgSz w:w="11906" w:h="16157"/>
          <w:pgMar w:top="936" w:right="1440" w:bottom="168" w:left="400" w:header="720" w:footer="720" w:gutter="0"/>
          <w:cols w:num="2" w:equalWidth="0">
            <w:col w:w="5438" w:space="0"/>
            <w:col w:w="4628" w:space="0"/>
          </w:cols>
          <w:docGrid w:linePitch="360"/>
        </w:sectPr>
      </w:pPr>
    </w:p>
    <w:p>
      <w:pPr>
        <w:autoSpaceDN w:val="0"/>
        <w:autoSpaceDE w:val="0"/>
        <w:widowControl/>
        <w:spacing w:line="185" w:lineRule="auto" w:before="0" w:after="0"/>
        <w:ind w:left="848" w:right="0" w:firstLine="0"/>
        <w:jc w:val="left"/>
      </w:pPr>
      <w:r>
        <w:rPr>
          <w:rFonts w:ascii="HYb1gj" w:hAnsi="HYb1gj" w:eastAsia="HYb1gj"/>
          <w:b w:val="0"/>
          <w:i w:val="0"/>
          <w:color w:val="6C6E70"/>
          <w:sz w:val="32"/>
        </w:rPr>
        <w:t>20</w:t>
      </w:r>
      <w:r>
        <w:rPr>
          <w:rFonts w:ascii="HYb1gj" w:hAnsi="HYb1gj" w:eastAsia="HYb1gj"/>
          <w:b w:val="0"/>
          <w:i w:val="0"/>
          <w:color w:val="221F1F"/>
          <w:sz w:val="15"/>
        </w:rPr>
        <w:t xml:space="preserve"> 2021(09) </w:t>
      </w:r>
      <w:r>
        <w:rPr>
          <w:rFonts w:ascii="HYb1gj" w:hAnsi="HYb1gj" w:eastAsia="HYb1gj"/>
          <w:b w:val="0"/>
          <w:i w:val="0"/>
          <w:color w:val="221F1F"/>
          <w:sz w:val="14"/>
        </w:rPr>
        <w:t xml:space="preserve">CONSTRUCTION MECHANIZATION </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6" w:h="16157"/>
          <w:pgMar w:top="936" w:right="1440" w:bottom="168" w:left="400" w:header="720" w:footer="720" w:gutter="0"/>
          <w:cols/>
          <w:docGrid w:linePitch="360"/>
        </w:sectPr>
      </w:pPr>
    </w:p>
    <w:p>
      <w:pPr>
        <w:autoSpaceDN w:val="0"/>
        <w:autoSpaceDE w:val="0"/>
        <w:widowControl/>
        <w:spacing w:line="220" w:lineRule="exact" w:before="0" w:after="716"/>
        <w:ind w:left="0" w:right="0"/>
      </w:pPr>
    </w:p>
    <w:p>
      <w:pPr>
        <w:autoSpaceDN w:val="0"/>
        <w:tabs>
          <w:tab w:pos="6272" w:val="left"/>
        </w:tabs>
        <w:autoSpaceDE w:val="0"/>
        <w:widowControl/>
        <w:spacing w:line="185" w:lineRule="auto" w:before="0" w:after="0"/>
        <w:ind w:left="1482" w:right="0" w:firstLine="0"/>
        <w:jc w:val="left"/>
      </w:pPr>
      <w:r>
        <w:rPr>
          <w:w w:val="101.00000381469727"/>
          <w:rFonts w:ascii="HYa6gj" w:hAnsi="HYa6gj" w:eastAsia="HYa6gj"/>
          <w:b w:val="0"/>
          <w:i w:val="0"/>
          <w:color w:val="221F1F"/>
          <w:sz w:val="20"/>
        </w:rPr>
        <w:t>从表2 可以看出，在该项目中，同步拼装工</w:t>
      </w:r>
      <w:r>
        <w:tab/>
      </w:r>
      <w:r>
        <w:rPr>
          <w:rFonts w:ascii="HYa6gj" w:hAnsi="HYa6gj" w:eastAsia="HYa6gj"/>
          <w:b w:val="0"/>
          <w:i w:val="0"/>
          <w:color w:val="221F1F"/>
          <w:sz w:val="18"/>
        </w:rPr>
        <w:t>的问题及发展思路[J］．隧道建设，2014，34(3)：</w:t>
      </w:r>
    </w:p>
    <w:p>
      <w:pPr>
        <w:autoSpaceDN w:val="0"/>
        <w:tabs>
          <w:tab w:pos="6272" w:val="left"/>
        </w:tabs>
        <w:autoSpaceDE w:val="0"/>
        <w:widowControl/>
        <w:spacing w:line="192" w:lineRule="auto" w:before="118" w:after="126"/>
        <w:ind w:left="1074" w:right="0" w:firstLine="0"/>
        <w:jc w:val="left"/>
      </w:pPr>
      <w:r>
        <w:rPr>
          <w:w w:val="101.00000381469727"/>
          <w:rFonts w:ascii="HYa6gj" w:hAnsi="HYa6gj" w:eastAsia="HYa6gj"/>
          <w:b w:val="0"/>
          <w:i w:val="0"/>
          <w:color w:val="221F1F"/>
          <w:sz w:val="20"/>
        </w:rPr>
        <w:t>序设备总重与独立拼装工序设备总重差别不大，</w:t>
      </w:r>
      <w:r>
        <w:tab/>
      </w:r>
      <w:r>
        <w:rPr>
          <w:rFonts w:ascii="HYa6gj" w:hAnsi="HYa6gj" w:eastAsia="HYa6gj"/>
          <w:b w:val="0"/>
          <w:i w:val="0"/>
          <w:color w:val="221F1F"/>
          <w:sz w:val="18"/>
        </w:rPr>
        <w:t>179.</w:t>
      </w:r>
    </w:p>
    <w:p>
      <w:pPr>
        <w:sectPr>
          <w:pgSz w:w="11906" w:h="16157"/>
          <w:pgMar w:top="936" w:right="1182" w:bottom="168" w:left="400" w:header="720" w:footer="720" w:gutter="0"/>
          <w:cols/>
          <w:docGrid w:linePitch="360"/>
        </w:sectPr>
      </w:pPr>
    </w:p>
    <w:p>
      <w:pPr>
        <w:autoSpaceDN w:val="0"/>
        <w:autoSpaceDE w:val="0"/>
        <w:widowControl/>
        <w:spacing w:line="262" w:lineRule="auto" w:before="0" w:after="0"/>
        <w:ind w:left="1074" w:right="226" w:firstLine="0"/>
        <w:jc w:val="both"/>
      </w:pPr>
      <w:r>
        <w:rPr>
          <w:w w:val="101.00000381469727"/>
          <w:rFonts w:ascii="HYa6gj" w:hAnsi="HYa6gj" w:eastAsia="HYa6gj"/>
          <w:b w:val="0"/>
          <w:i w:val="0"/>
          <w:color w:val="221F1F"/>
          <w:sz w:val="20"/>
        </w:rPr>
        <w:t>仅比其重56t。因此，在相同项目中，同步拼装工</w:t>
      </w:r>
      <w:r>
        <w:rPr>
          <w:w w:val="101.00000381469727"/>
          <w:rFonts w:ascii="HYa6gj" w:hAnsi="HYa6gj" w:eastAsia="HYa6gj"/>
          <w:b w:val="0"/>
          <w:i w:val="0"/>
          <w:color w:val="221F1F"/>
          <w:sz w:val="20"/>
        </w:rPr>
        <w:t>序和独立拼装工序从经济上比较差别较小，在对</w:t>
      </w:r>
      <w:r>
        <w:rPr>
          <w:w w:val="101.00000381469727"/>
          <w:rFonts w:ascii="HYa6gj" w:hAnsi="HYa6gj" w:eastAsia="HYa6gj"/>
          <w:b w:val="0"/>
          <w:i w:val="0"/>
          <w:color w:val="221F1F"/>
          <w:sz w:val="20"/>
        </w:rPr>
        <w:t>二者进行对比选择时，可以忽略成本因素。</w:t>
      </w:r>
    </w:p>
    <w:p>
      <w:pPr>
        <w:sectPr>
          <w:type w:val="continuous"/>
          <w:pgSz w:w="11906" w:h="16157"/>
          <w:pgMar w:top="936" w:right="1182" w:bottom="168" w:left="400" w:header="720" w:footer="720" w:gutter="0"/>
          <w:cols w:num="2" w:equalWidth="0">
            <w:col w:w="5666" w:space="0"/>
            <w:col w:w="4658" w:space="0"/>
          </w:cols>
          <w:docGrid w:linePitch="360"/>
        </w:sectPr>
      </w:pPr>
    </w:p>
    <w:p>
      <w:pPr>
        <w:autoSpaceDN w:val="0"/>
        <w:tabs>
          <w:tab w:pos="606" w:val="left"/>
        </w:tabs>
        <w:autoSpaceDE w:val="0"/>
        <w:widowControl/>
        <w:spacing w:line="257" w:lineRule="auto" w:before="0" w:after="0"/>
        <w:ind w:left="226" w:right="0" w:firstLine="0"/>
        <w:jc w:val="left"/>
      </w:pPr>
      <w:r>
        <w:rPr>
          <w:rFonts w:ascii="HYa6gj" w:hAnsi="HYa6gj" w:eastAsia="HYa6gj"/>
          <w:b w:val="0"/>
          <w:i w:val="0"/>
          <w:color w:val="221F1F"/>
          <w:sz w:val="18"/>
        </w:rPr>
        <w:t>[2]  洪开荣．我国隧道及地下工程近两年的发展与展望</w:t>
      </w:r>
      <w:r>
        <w:tab/>
      </w:r>
      <w:r>
        <w:rPr>
          <w:rFonts w:ascii="HYa6gj" w:hAnsi="HYa6gj" w:eastAsia="HYa6gj"/>
          <w:b w:val="0"/>
          <w:i w:val="0"/>
          <w:color w:val="221F1F"/>
          <w:sz w:val="18"/>
        </w:rPr>
        <w:t>[J］．隧道建设，2017，37(2)：123．</w:t>
      </w:r>
    </w:p>
    <w:p>
      <w:pPr>
        <w:autoSpaceDN w:val="0"/>
        <w:autoSpaceDE w:val="0"/>
        <w:widowControl/>
        <w:spacing w:line="257" w:lineRule="auto" w:before="140" w:after="6"/>
        <w:ind w:left="606" w:right="0" w:hanging="380"/>
        <w:jc w:val="left"/>
      </w:pPr>
      <w:r>
        <w:rPr>
          <w:rFonts w:ascii="HYa6gj" w:hAnsi="HYa6gj" w:eastAsia="HYa6gj"/>
          <w:b w:val="0"/>
          <w:i w:val="0"/>
          <w:color w:val="221F1F"/>
          <w:sz w:val="18"/>
        </w:rPr>
        <w:t>[3]  金张澜，刘 方，岳 玲，等．大直径盾构隧道</w:t>
      </w:r>
      <w:r>
        <w:rPr>
          <w:rFonts w:ascii="HYa6gj" w:hAnsi="HYa6gj" w:eastAsia="HYa6gj"/>
          <w:b w:val="0"/>
          <w:i w:val="0"/>
          <w:color w:val="221F1F"/>
          <w:sz w:val="18"/>
        </w:rPr>
        <w:t>轨下结构设计方案比选研究[J］．铁道标准设计，</w:t>
      </w:r>
    </w:p>
    <w:p>
      <w:pPr>
        <w:sectPr>
          <w:type w:val="nextColumn"/>
          <w:pgSz w:w="11906" w:h="16157"/>
          <w:pgMar w:top="936" w:right="1182" w:bottom="168" w:left="400" w:header="720" w:footer="720" w:gutter="0"/>
          <w:cols w:num="2" w:equalWidth="0">
            <w:col w:w="5666" w:space="0"/>
            <w:col w:w="4658" w:space="0"/>
          </w:cols>
          <w:docGrid w:linePitch="360"/>
        </w:sectPr>
      </w:pPr>
    </w:p>
    <w:p>
      <w:pPr>
        <w:autoSpaceDN w:val="0"/>
        <w:tabs>
          <w:tab w:pos="6272" w:val="left"/>
        </w:tabs>
        <w:autoSpaceDE w:val="0"/>
        <w:widowControl/>
        <w:spacing w:line="266" w:lineRule="exact" w:before="0" w:after="196"/>
        <w:ind w:left="1074" w:right="0" w:firstLine="0"/>
        <w:jc w:val="left"/>
      </w:pPr>
      <w:r>
        <w:rPr>
          <w:rFonts w:ascii="Times" w:hAnsi="Times" w:eastAsia="Times"/>
          <w:b/>
          <w:i w:val="0"/>
          <w:color w:val="221F1F"/>
          <w:sz w:val="24"/>
        </w:rPr>
        <w:t>3</w:t>
      </w:r>
      <w:r>
        <w:rPr>
          <w:rFonts w:ascii="HYb1gj" w:hAnsi="HYb1gj" w:eastAsia="HYb1gj"/>
          <w:b w:val="0"/>
          <w:i w:val="0"/>
          <w:color w:val="221F1F"/>
          <w:sz w:val="24"/>
        </w:rPr>
        <w:t xml:space="preserve"> 结</w:t>
      </w:r>
      <w:r>
        <w:rPr>
          <w:rFonts w:ascii="HYb1gj" w:hAnsi="HYb1gj" w:eastAsia="HYb1gj"/>
          <w:b w:val="0"/>
          <w:i w:val="0"/>
          <w:color w:val="221F1F"/>
          <w:sz w:val="24"/>
        </w:rPr>
        <w:t>论</w:t>
      </w:r>
      <w:r>
        <w:tab/>
      </w:r>
      <w:r>
        <w:rPr>
          <w:rFonts w:ascii="HYa6gj" w:hAnsi="HYa6gj" w:eastAsia="HYa6gj"/>
          <w:b w:val="0"/>
          <w:i w:val="0"/>
          <w:color w:val="221F1F"/>
          <w:sz w:val="18"/>
        </w:rPr>
        <w:t>2020，64（1）：116-121．</w:t>
      </w:r>
    </w:p>
    <w:p>
      <w:pPr>
        <w:sectPr>
          <w:type w:val="continuous"/>
          <w:pgSz w:w="11906" w:h="16157"/>
          <w:pgMar w:top="936" w:right="1182" w:bottom="168" w:left="400" w:header="720" w:footer="720" w:gutter="0"/>
          <w:cols/>
          <w:docGrid w:linePitch="360"/>
        </w:sectPr>
      </w:pPr>
    </w:p>
    <w:p>
      <w:pPr>
        <w:autoSpaceDN w:val="0"/>
        <w:autoSpaceDE w:val="0"/>
        <w:widowControl/>
        <w:spacing w:line="262" w:lineRule="auto" w:before="0" w:after="0"/>
        <w:ind w:left="1074" w:right="226" w:firstLine="408"/>
        <w:jc w:val="both"/>
      </w:pPr>
      <w:r>
        <w:rPr>
          <w:w w:val="101.00000381469727"/>
          <w:rFonts w:ascii="HYa6gj" w:hAnsi="HYa6gj" w:eastAsia="HYa6gj"/>
          <w:b w:val="0"/>
          <w:i w:val="0"/>
          <w:color w:val="221F1F"/>
          <w:sz w:val="20"/>
        </w:rPr>
        <w:t>本文在对预制箱涵同步拼装工序及独立拼装</w:t>
      </w:r>
      <w:r>
        <w:rPr>
          <w:w w:val="101.00000381469727"/>
          <w:rFonts w:ascii="HYa6gj" w:hAnsi="HYa6gj" w:eastAsia="HYa6gj"/>
          <w:b w:val="0"/>
          <w:i w:val="0"/>
          <w:color w:val="221F1F"/>
          <w:sz w:val="20"/>
        </w:rPr>
        <w:t>工序介绍后，以某大直径土压项目为例，分别对</w:t>
      </w:r>
      <w:r>
        <w:rPr>
          <w:w w:val="101.00000381469727"/>
          <w:rFonts w:ascii="HYa6gj" w:hAnsi="HYa6gj" w:eastAsia="HYa6gj"/>
          <w:b w:val="0"/>
          <w:i w:val="0"/>
          <w:color w:val="221F1F"/>
          <w:sz w:val="20"/>
        </w:rPr>
        <w:t>两个工序进行对比分析，得到些许有意义结论。</w:t>
      </w:r>
    </w:p>
    <w:p>
      <w:pPr>
        <w:autoSpaceDN w:val="0"/>
        <w:autoSpaceDE w:val="0"/>
        <w:widowControl/>
        <w:spacing w:line="262" w:lineRule="auto" w:before="126" w:after="0"/>
        <w:ind w:left="1074" w:right="226" w:firstLine="408"/>
        <w:jc w:val="both"/>
      </w:pPr>
      <w:r>
        <w:rPr>
          <w:w w:val="101.00000381469727"/>
          <w:rFonts w:ascii="HYa6gj" w:hAnsi="HYa6gj" w:eastAsia="HYa6gj"/>
          <w:b w:val="0"/>
          <w:i w:val="0"/>
          <w:color w:val="221F1F"/>
          <w:sz w:val="20"/>
        </w:rPr>
        <w:t>1）从施工风险管控方面来说，同步拼装工序</w:t>
      </w:r>
      <w:r>
        <w:rPr>
          <w:w w:val="101.00000381469727"/>
          <w:rFonts w:ascii="HYa6gj" w:hAnsi="HYa6gj" w:eastAsia="HYa6gj"/>
          <w:b w:val="0"/>
          <w:i w:val="0"/>
          <w:color w:val="221F1F"/>
          <w:sz w:val="20"/>
        </w:rPr>
        <w:t>在拼装精度、设备管理及人员风险上优于独立拼</w:t>
      </w:r>
      <w:r>
        <w:rPr>
          <w:w w:val="101.00000381469727"/>
          <w:rFonts w:ascii="HYa6gj" w:hAnsi="HYa6gj" w:eastAsia="HYa6gj"/>
          <w:b w:val="0"/>
          <w:i w:val="0"/>
          <w:color w:val="221F1F"/>
          <w:sz w:val="20"/>
        </w:rPr>
        <w:t>装工序，但可能出现斜轮对检修困难以及异常停机</w:t>
      </w:r>
    </w:p>
    <w:p>
      <w:pPr>
        <w:sectPr>
          <w:type w:val="continuous"/>
          <w:pgSz w:w="11906" w:h="16157"/>
          <w:pgMar w:top="936" w:right="1182" w:bottom="168" w:left="400" w:header="720" w:footer="720" w:gutter="0"/>
          <w:cols w:num="2" w:equalWidth="0">
            <w:col w:w="5666" w:space="0"/>
            <w:col w:w="4658" w:space="0"/>
          </w:cols>
          <w:docGrid w:linePitch="360"/>
        </w:sectPr>
      </w:pPr>
    </w:p>
    <w:p>
      <w:pPr>
        <w:autoSpaceDN w:val="0"/>
        <w:autoSpaceDE w:val="0"/>
        <w:widowControl/>
        <w:spacing w:line="281" w:lineRule="auto" w:before="0" w:after="0"/>
        <w:ind w:left="606" w:right="66" w:hanging="380"/>
        <w:jc w:val="both"/>
      </w:pPr>
      <w:r>
        <w:rPr>
          <w:rFonts w:ascii="HYa6gj" w:hAnsi="HYa6gj" w:eastAsia="HYa6gj"/>
          <w:b w:val="0"/>
          <w:i w:val="0"/>
          <w:color w:val="221F1F"/>
          <w:sz w:val="18"/>
        </w:rPr>
        <w:t>[4]  郭卫社，游永锋，高 攀，等．深圳春风隧道主要</w:t>
      </w:r>
      <w:r>
        <w:rPr>
          <w:rFonts w:ascii="HYa6gj" w:hAnsi="HYa6gj" w:eastAsia="HYa6gj"/>
          <w:b w:val="0"/>
          <w:i w:val="0"/>
          <w:color w:val="221F1F"/>
          <w:sz w:val="18"/>
        </w:rPr>
        <w:t>施工技术难题与解决方案[J］．隧道建设，2019，</w:t>
      </w:r>
      <w:r>
        <w:rPr>
          <w:rFonts w:ascii="HYa6gj" w:hAnsi="HYa6gj" w:eastAsia="HYa6gj"/>
          <w:b w:val="0"/>
          <w:i w:val="0"/>
          <w:color w:val="221F1F"/>
          <w:sz w:val="18"/>
        </w:rPr>
        <w:t>39(7)：1165-1172．</w:t>
      </w:r>
    </w:p>
    <w:p>
      <w:pPr>
        <w:autoSpaceDN w:val="0"/>
        <w:tabs>
          <w:tab w:pos="606" w:val="left"/>
        </w:tabs>
        <w:autoSpaceDE w:val="0"/>
        <w:widowControl/>
        <w:spacing w:line="257" w:lineRule="auto" w:before="140" w:after="0"/>
        <w:ind w:left="226" w:right="0" w:firstLine="0"/>
        <w:jc w:val="left"/>
      </w:pPr>
      <w:r>
        <w:rPr>
          <w:rFonts w:ascii="HYa6gj" w:hAnsi="HYa6gj" w:eastAsia="HYa6gj"/>
          <w:b w:val="0"/>
          <w:i w:val="0"/>
          <w:color w:val="221F1F"/>
          <w:sz w:val="18"/>
        </w:rPr>
        <w:t>[5]  刘朋伟．大直径盾构隧道箱涵施工质量控制研究[J].</w:t>
      </w:r>
      <w:r>
        <w:tab/>
      </w:r>
      <w:r>
        <w:rPr>
          <w:rFonts w:ascii="HYa6gj" w:hAnsi="HYa6gj" w:eastAsia="HYa6gj"/>
          <w:b w:val="0"/>
          <w:i w:val="0"/>
          <w:color w:val="221F1F"/>
          <w:sz w:val="18"/>
        </w:rPr>
        <w:t>工程建设与设计，2019，(3)：83-84．</w:t>
      </w:r>
    </w:p>
    <w:p>
      <w:pPr>
        <w:autoSpaceDN w:val="0"/>
        <w:autoSpaceDE w:val="0"/>
        <w:widowControl/>
        <w:spacing w:line="185" w:lineRule="auto" w:before="140" w:after="140"/>
        <w:ind w:left="226" w:right="0" w:firstLine="0"/>
        <w:jc w:val="left"/>
      </w:pPr>
      <w:r>
        <w:rPr>
          <w:rFonts w:ascii="HYa6gj" w:hAnsi="HYa6gj" w:eastAsia="HYa6gj"/>
          <w:b w:val="0"/>
          <w:i w:val="0"/>
          <w:color w:val="221F1F"/>
          <w:sz w:val="18"/>
        </w:rPr>
        <w:t>[6]  王 磊，周 斌．地铁盾构施工设备管理及维保措</w:t>
      </w:r>
    </w:p>
    <w:p>
      <w:pPr>
        <w:sectPr>
          <w:type w:val="nextColumn"/>
          <w:pgSz w:w="11906" w:h="16157"/>
          <w:pgMar w:top="936" w:right="1182" w:bottom="168" w:left="400" w:header="720" w:footer="720" w:gutter="0"/>
          <w:cols w:num="2" w:equalWidth="0">
            <w:col w:w="5666" w:space="0"/>
            <w:col w:w="4658" w:space="0"/>
          </w:cols>
          <w:docGrid w:linePitch="360"/>
        </w:sectPr>
      </w:pPr>
    </w:p>
    <w:tbl>
      <w:tblPr>
        <w:tblW w:type="auto" w:w="0"/>
        <w:tblLayout w:type="fixed"/>
        <w:tblLook w:firstColumn="1" w:firstRow="1" w:lastColumn="0" w:lastRow="0" w:noHBand="0" w:noVBand="1" w:val="04A0"/>
        <w:tblInd w:w="520.0" w:type="dxa"/>
      </w:tblPr>
      <w:tblGrid>
        <w:gridCol w:w="5162"/>
        <w:gridCol w:w="5162"/>
      </w:tblGrid>
      <w:tr>
        <w:trPr>
          <w:trHeight w:hRule="exact" w:val="286"/>
        </w:trPr>
        <w:tc>
          <w:tcPr>
            <w:tcW w:type="dxa" w:w="3440"/>
            <w:tcBorders/>
            <w:tcMar>
              <w:start w:w="0" w:type="dxa"/>
              <w:end w:w="0" w:type="dxa"/>
            </w:tcMar>
          </w:tcPr>
          <w:p>
            <w:pPr>
              <w:autoSpaceDN w:val="0"/>
              <w:autoSpaceDE w:val="0"/>
              <w:widowControl/>
              <w:spacing w:line="185" w:lineRule="auto" w:before="104" w:after="0"/>
              <w:ind w:left="554" w:right="0" w:firstLine="0"/>
              <w:jc w:val="left"/>
            </w:pPr>
            <w:r>
              <w:rPr>
                <w:w w:val="101.00000381469727"/>
                <w:rFonts w:ascii="HYa6gj" w:hAnsi="HYa6gj" w:eastAsia="HYa6gj"/>
                <w:b w:val="0"/>
                <w:i w:val="0"/>
                <w:color w:val="221F1F"/>
                <w:sz w:val="20"/>
              </w:rPr>
              <w:t>风险。</w:t>
            </w:r>
          </w:p>
        </w:tc>
        <w:tc>
          <w:tcPr>
            <w:tcW w:type="dxa" w:w="5960"/>
            <w:tcBorders/>
            <w:tcMar>
              <w:start w:w="0" w:type="dxa"/>
              <w:end w:w="0" w:type="dxa"/>
            </w:tcMar>
          </w:tcPr>
          <w:p>
            <w:pPr>
              <w:autoSpaceDN w:val="0"/>
              <w:autoSpaceDE w:val="0"/>
              <w:widowControl/>
              <w:spacing w:line="185" w:lineRule="auto" w:before="0" w:after="0"/>
              <w:ind w:left="0" w:right="388" w:firstLine="0"/>
              <w:jc w:val="right"/>
            </w:pPr>
            <w:r>
              <w:rPr>
                <w:rFonts w:ascii="HYa6gj" w:hAnsi="HYa6gj" w:eastAsia="HYa6gj"/>
                <w:b w:val="0"/>
                <w:i w:val="0"/>
                <w:color w:val="221F1F"/>
                <w:sz w:val="18"/>
              </w:rPr>
              <w:t>施[J]．智能管理，2020，(8)：102-103．</w:t>
            </w:r>
          </w:p>
        </w:tc>
      </w:tr>
    </w:tbl>
    <w:p>
      <w:pPr>
        <w:autoSpaceDN w:val="0"/>
        <w:autoSpaceDE w:val="0"/>
        <w:widowControl/>
        <w:spacing w:line="14" w:lineRule="exact" w:before="0" w:after="126"/>
        <w:ind w:left="0" w:right="0"/>
      </w:pPr>
    </w:p>
    <w:p>
      <w:pPr>
        <w:sectPr>
          <w:type w:val="continuous"/>
          <w:pgSz w:w="11906" w:h="16157"/>
          <w:pgMar w:top="936" w:right="1182" w:bottom="168" w:left="400" w:header="720" w:footer="720" w:gutter="0"/>
          <w:cols/>
          <w:docGrid w:linePitch="360"/>
        </w:sectPr>
      </w:pPr>
    </w:p>
    <w:p>
      <w:pPr>
        <w:autoSpaceDN w:val="0"/>
        <w:tabs>
          <w:tab w:pos="1482" w:val="left"/>
        </w:tabs>
        <w:autoSpaceDE w:val="0"/>
        <w:widowControl/>
        <w:spacing w:line="245" w:lineRule="auto" w:before="0" w:after="0"/>
        <w:ind w:left="1074" w:right="144" w:firstLine="0"/>
        <w:jc w:val="left"/>
      </w:pPr>
      <w:r>
        <w:rPr>
          <w:w w:val="101.00000381469727"/>
          <w:rFonts w:ascii="HYa6gj" w:hAnsi="HYa6gj" w:eastAsia="HYa6gj"/>
          <w:b w:val="0"/>
          <w:i w:val="0"/>
          <w:color w:val="221F1F"/>
          <w:sz w:val="20"/>
        </w:rPr>
        <w:t>2）当隧道项目始发场地有尺寸限制时，独立</w:t>
      </w:r>
      <w:r>
        <w:rPr>
          <w:w w:val="101.00000381469727"/>
          <w:rFonts w:ascii="HYa6gj" w:hAnsi="HYa6gj" w:eastAsia="HYa6gj"/>
          <w:b w:val="0"/>
          <w:i w:val="0"/>
          <w:color w:val="221F1F"/>
          <w:sz w:val="20"/>
        </w:rPr>
        <w:t>拼装工序在始发安排上优于同步拼装工序。</w:t>
      </w:r>
    </w:p>
    <w:p>
      <w:pPr>
        <w:autoSpaceDN w:val="0"/>
        <w:tabs>
          <w:tab w:pos="1482" w:val="left"/>
        </w:tabs>
        <w:autoSpaceDE w:val="0"/>
        <w:widowControl/>
        <w:spacing w:line="245" w:lineRule="auto" w:before="126" w:after="0"/>
        <w:ind w:left="1074" w:right="144" w:firstLine="0"/>
        <w:jc w:val="left"/>
      </w:pPr>
      <w:r>
        <w:rPr>
          <w:w w:val="101.00000381469727"/>
          <w:rFonts w:ascii="HYa6gj" w:hAnsi="HYa6gj" w:eastAsia="HYa6gj"/>
          <w:b w:val="0"/>
          <w:i w:val="0"/>
          <w:color w:val="221F1F"/>
          <w:sz w:val="20"/>
        </w:rPr>
        <w:t>3）针对长距离掘进大直径隧道，独立拼装工</w:t>
      </w:r>
      <w:r>
        <w:rPr>
          <w:w w:val="101.00000381469727"/>
          <w:rFonts w:ascii="HYa6gj" w:hAnsi="HYa6gj" w:eastAsia="HYa6gj"/>
          <w:b w:val="0"/>
          <w:i w:val="0"/>
          <w:color w:val="221F1F"/>
          <w:sz w:val="20"/>
        </w:rPr>
        <w:t>序可以采用管片卸载器来提高管片吊运效率。</w:t>
      </w:r>
    </w:p>
    <w:p>
      <w:pPr>
        <w:autoSpaceDN w:val="0"/>
        <w:autoSpaceDE w:val="0"/>
        <w:widowControl/>
        <w:spacing w:line="271" w:lineRule="auto" w:before="126" w:after="0"/>
        <w:ind w:left="1074" w:right="224" w:firstLine="408"/>
        <w:jc w:val="both"/>
      </w:pPr>
      <w:r>
        <w:rPr>
          <w:w w:val="101.00000381469727"/>
          <w:rFonts w:ascii="HYa6gj" w:hAnsi="HYa6gj" w:eastAsia="HYa6gj"/>
          <w:b w:val="0"/>
          <w:i w:val="0"/>
          <w:color w:val="221F1F"/>
          <w:sz w:val="20"/>
        </w:rPr>
        <w:t>4）同步拼装工序和独立拼装工序从经济上比</w:t>
      </w:r>
      <w:r>
        <w:rPr>
          <w:w w:val="101.00000381469727"/>
          <w:rFonts w:ascii="HYa6gj" w:hAnsi="HYa6gj" w:eastAsia="HYa6gj"/>
          <w:b w:val="0"/>
          <w:i w:val="0"/>
          <w:color w:val="221F1F"/>
          <w:sz w:val="20"/>
        </w:rPr>
        <w:t>较差别较小，在对二者进行对比选择时，可以忽</w:t>
      </w:r>
      <w:r>
        <w:rPr>
          <w:w w:val="101.00000381469727"/>
          <w:rFonts w:ascii="HYa6gj" w:hAnsi="HYa6gj" w:eastAsia="HYa6gj"/>
          <w:b w:val="0"/>
          <w:i w:val="0"/>
          <w:color w:val="221F1F"/>
          <w:sz w:val="20"/>
        </w:rPr>
        <w:t>略成本因素，仅从施工风险管控方面、设备始发</w:t>
      </w:r>
      <w:r>
        <w:rPr>
          <w:w w:val="101.00000381469727"/>
          <w:rFonts w:ascii="HYa6gj" w:hAnsi="HYa6gj" w:eastAsia="HYa6gj"/>
          <w:b w:val="0"/>
          <w:i w:val="0"/>
          <w:color w:val="221F1F"/>
          <w:sz w:val="20"/>
        </w:rPr>
        <w:t>方面、管片吊运效率等方面进行分析，合理选择</w:t>
      </w:r>
    </w:p>
    <w:p>
      <w:pPr>
        <w:sectPr>
          <w:type w:val="continuous"/>
          <w:pgSz w:w="11906" w:h="16157"/>
          <w:pgMar w:top="936" w:right="1182" w:bottom="168" w:left="400" w:header="720" w:footer="720" w:gutter="0"/>
          <w:cols w:num="2" w:equalWidth="0">
            <w:col w:w="5664" w:space="0"/>
            <w:col w:w="4660" w:space="0"/>
          </w:cols>
          <w:docGrid w:linePitch="360"/>
        </w:sectPr>
      </w:pPr>
    </w:p>
    <w:p>
      <w:pPr>
        <w:autoSpaceDN w:val="0"/>
        <w:tabs>
          <w:tab w:pos="608" w:val="left"/>
        </w:tabs>
        <w:autoSpaceDE w:val="0"/>
        <w:widowControl/>
        <w:spacing w:line="257" w:lineRule="auto" w:before="0" w:after="0"/>
        <w:ind w:left="228" w:right="0" w:firstLine="0"/>
        <w:jc w:val="left"/>
      </w:pPr>
      <w:r>
        <w:rPr>
          <w:rFonts w:ascii="HYa6gj" w:hAnsi="HYa6gj" w:eastAsia="HYa6gj"/>
          <w:b w:val="0"/>
          <w:i w:val="0"/>
          <w:color w:val="221F1F"/>
          <w:sz w:val="18"/>
        </w:rPr>
        <w:t>[7]  祁伟栋．地铁盾构施工设备管理及维保技术分析[J].</w:t>
      </w:r>
      <w:r>
        <w:tab/>
      </w:r>
      <w:r>
        <w:rPr>
          <w:rFonts w:ascii="HYa6gj" w:hAnsi="HYa6gj" w:eastAsia="HYa6gj"/>
          <w:b w:val="0"/>
          <w:i w:val="0"/>
          <w:color w:val="221F1F"/>
          <w:sz w:val="18"/>
        </w:rPr>
        <w:t>工程建设与设计，2020，(3)：201-204．</w:t>
      </w:r>
    </w:p>
    <w:p>
      <w:pPr>
        <w:autoSpaceDN w:val="0"/>
        <w:autoSpaceDE w:val="0"/>
        <w:widowControl/>
        <w:spacing w:line="281" w:lineRule="auto" w:before="140" w:after="0"/>
        <w:ind w:left="608" w:right="66" w:hanging="380"/>
        <w:jc w:val="both"/>
      </w:pPr>
      <w:r>
        <w:rPr>
          <w:rFonts w:ascii="HYa6gj" w:hAnsi="HYa6gj" w:eastAsia="HYa6gj"/>
          <w:b w:val="0"/>
          <w:i w:val="0"/>
          <w:color w:val="221F1F"/>
          <w:sz w:val="18"/>
        </w:rPr>
        <w:t>[8]  卜星玮，曾波存，万飞明，等．狭小空间条件下盾</w:t>
      </w:r>
      <w:r>
        <w:rPr>
          <w:rFonts w:ascii="HYa6gj" w:hAnsi="HYa6gj" w:eastAsia="HYa6gj"/>
          <w:b w:val="0"/>
          <w:i w:val="0"/>
          <w:color w:val="221F1F"/>
          <w:sz w:val="18"/>
        </w:rPr>
        <w:t>构分体始发施工技术研究[J］．隧道建设，2018，</w:t>
      </w:r>
      <w:r>
        <w:rPr>
          <w:rFonts w:ascii="HYa6gj" w:hAnsi="HYa6gj" w:eastAsia="HYa6gj"/>
          <w:b w:val="0"/>
          <w:i w:val="0"/>
          <w:color w:val="221F1F"/>
          <w:sz w:val="18"/>
        </w:rPr>
        <w:t>38(12)：292-297．</w:t>
      </w:r>
    </w:p>
    <w:p>
      <w:pPr>
        <w:autoSpaceDN w:val="0"/>
        <w:autoSpaceDE w:val="0"/>
        <w:widowControl/>
        <w:spacing w:line="257" w:lineRule="auto" w:before="140" w:after="0"/>
        <w:ind w:left="144" w:right="0" w:firstLine="0"/>
        <w:jc w:val="center"/>
      </w:pPr>
      <w:r>
        <w:rPr>
          <w:rFonts w:ascii="HYa6gj" w:hAnsi="HYa6gj" w:eastAsia="HYa6gj"/>
          <w:b w:val="0"/>
          <w:i w:val="0"/>
          <w:color w:val="221F1F"/>
          <w:sz w:val="18"/>
        </w:rPr>
        <w:t>[9]  任锦江．大直径盾构管片快速吊运系统的设计及应</w:t>
      </w:r>
      <w:r>
        <w:rPr>
          <w:rFonts w:ascii="HYa6gj" w:hAnsi="HYa6gj" w:eastAsia="HYa6gj"/>
          <w:b w:val="0"/>
          <w:i w:val="0"/>
          <w:color w:val="221F1F"/>
          <w:sz w:val="18"/>
        </w:rPr>
        <w:t>用[J］．装备制造技术，2016，(10)：55-58．</w:t>
      </w:r>
    </w:p>
    <w:p>
      <w:pPr>
        <w:autoSpaceDN w:val="0"/>
        <w:autoSpaceDE w:val="0"/>
        <w:widowControl/>
        <w:spacing w:line="185" w:lineRule="auto" w:before="138" w:after="12"/>
        <w:ind w:left="0" w:right="66" w:firstLine="0"/>
        <w:jc w:val="right"/>
      </w:pPr>
      <w:r>
        <w:rPr>
          <w:rFonts w:ascii="HYb1gj" w:hAnsi="HYb1gj" w:eastAsia="HYb1gj"/>
          <w:b w:val="0"/>
          <w:i w:val="0"/>
          <w:color w:val="221F1F"/>
          <w:sz w:val="15"/>
        </w:rPr>
        <w:t>（编辑 张海霞）</w:t>
      </w:r>
    </w:p>
    <w:p>
      <w:pPr>
        <w:sectPr>
          <w:type w:val="nextColumn"/>
          <w:pgSz w:w="11906" w:h="16157"/>
          <w:pgMar w:top="936" w:right="1182" w:bottom="168" w:left="400" w:header="720" w:footer="720" w:gutter="0"/>
          <w:cols w:num="2" w:equalWidth="0">
            <w:col w:w="5664" w:space="0"/>
            <w:col w:w="4660" w:space="0"/>
          </w:cols>
          <w:docGrid w:linePitch="360"/>
        </w:sectPr>
      </w:pPr>
    </w:p>
    <w:tbl>
      <w:tblPr>
        <w:tblW w:type="auto" w:w="0"/>
        <w:tblLayout w:type="fixed"/>
        <w:tblLook w:firstColumn="1" w:firstRow="1" w:lastColumn="0" w:lastRow="0" w:noHBand="0" w:noVBand="1" w:val="04A0"/>
        <w:tblInd w:w="520.0" w:type="dxa"/>
      </w:tblPr>
      <w:tblGrid>
        <w:gridCol w:w="5162"/>
        <w:gridCol w:w="5162"/>
      </w:tblGrid>
      <w:tr>
        <w:trPr>
          <w:trHeight w:hRule="exact" w:val="634"/>
        </w:trPr>
        <w:tc>
          <w:tcPr>
            <w:tcW w:type="dxa" w:w="4760"/>
            <w:tcBorders/>
            <w:tcMar>
              <w:start w:w="0" w:type="dxa"/>
              <w:end w:w="0" w:type="dxa"/>
            </w:tcMar>
          </w:tcPr>
          <w:p>
            <w:pPr>
              <w:autoSpaceDN w:val="0"/>
              <w:tabs>
                <w:tab w:pos="2318" w:val="left"/>
              </w:tabs>
              <w:autoSpaceDE w:val="0"/>
              <w:widowControl/>
              <w:spacing w:line="298" w:lineRule="auto" w:before="0" w:after="0"/>
              <w:ind w:left="554" w:right="576" w:firstLine="0"/>
              <w:jc w:val="left"/>
            </w:pPr>
            <w:r>
              <w:rPr>
                <w:w w:val="101.00000381469727"/>
                <w:rFonts w:ascii="HYa6gj" w:hAnsi="HYa6gj" w:eastAsia="HYa6gj"/>
                <w:b w:val="0"/>
                <w:i w:val="0"/>
                <w:color w:val="221F1F"/>
                <w:sz w:val="20"/>
              </w:rPr>
              <w:t xml:space="preserve">适用于本项目的预制箱涵施工工序。 </w:t>
            </w:r>
            <w:r>
              <w:rPr>
                <w:rFonts w:ascii="STZhongsong" w:hAnsi="STZhongsong" w:eastAsia="STZhongsong"/>
                <w:b w:val="0"/>
                <w:i w:val="0"/>
                <w:color w:val="FFFFFF"/>
                <w:sz w:val="16"/>
              </w:rPr>
              <w:t xml:space="preserve">O </w:t>
            </w:r>
            <w:r>
              <w:tab/>
            </w:r>
            <w:r>
              <w:rPr>
                <w:rFonts w:ascii="HYb1gj" w:hAnsi="HYb1gj" w:eastAsia="HYb1gj"/>
                <w:b w:val="0"/>
                <w:i w:val="0"/>
                <w:color w:val="221F1F"/>
                <w:sz w:val="18"/>
              </w:rPr>
              <w:t>[参考文献]</w:t>
            </w:r>
          </w:p>
        </w:tc>
        <w:tc>
          <w:tcPr>
            <w:tcW w:type="dxa" w:w="3620"/>
            <w:tcBorders/>
            <w:tcMar>
              <w:start w:w="0" w:type="dxa"/>
              <w:end w:w="0" w:type="dxa"/>
            </w:tcMar>
          </w:tcPr>
          <w:p>
            <w:pPr>
              <w:autoSpaceDN w:val="0"/>
              <w:autoSpaceDE w:val="0"/>
              <w:widowControl/>
              <w:spacing w:line="247" w:lineRule="auto" w:before="136" w:after="0"/>
              <w:ind w:left="612" w:right="1296" w:firstLine="0"/>
              <w:jc w:val="left"/>
            </w:pPr>
            <w:r>
              <w:rPr>
                <w:rFonts w:ascii="HYa6gj" w:hAnsi="HYa6gj" w:eastAsia="HYa6gj"/>
                <w:b w:val="0"/>
                <w:i w:val="0"/>
                <w:color w:val="221F1F"/>
                <w:sz w:val="15"/>
              </w:rPr>
              <w:t>［</w:t>
            </w:r>
            <w:r>
              <w:rPr>
                <w:rFonts w:ascii="HYe3gj" w:hAnsi="HYe3gj" w:eastAsia="HYe3gj"/>
                <w:b w:val="0"/>
                <w:i w:val="0"/>
                <w:color w:val="221F1F"/>
                <w:sz w:val="15"/>
              </w:rPr>
              <w:t>中图分类号</w:t>
            </w:r>
            <w:r>
              <w:rPr>
                <w:rFonts w:ascii="HYa6gj" w:hAnsi="HYa6gj" w:eastAsia="HYa6gj"/>
                <w:b w:val="0"/>
                <w:i w:val="0"/>
                <w:color w:val="221F1F"/>
                <w:sz w:val="15"/>
              </w:rPr>
              <w:t>］</w:t>
            </w:r>
            <w:r>
              <w:rPr>
                <w:rFonts w:ascii="HYe1gj" w:hAnsi="HYe1gj" w:eastAsia="HYe1gj"/>
                <w:b w:val="0"/>
                <w:i w:val="0"/>
                <w:color w:val="221F1F"/>
                <w:sz w:val="15"/>
              </w:rPr>
              <w:t>U455.43</w:t>
            </w:r>
            <w:r>
              <w:br/>
            </w:r>
            <w:r>
              <w:rPr>
                <w:rFonts w:ascii="HYa6gj" w:hAnsi="HYa6gj" w:eastAsia="HYa6gj"/>
                <w:b w:val="0"/>
                <w:i w:val="0"/>
                <w:color w:val="221F1F"/>
                <w:sz w:val="15"/>
              </w:rPr>
              <w:t>［</w:t>
            </w:r>
            <w:r>
              <w:rPr>
                <w:rFonts w:ascii="HYe3gj" w:hAnsi="HYe3gj" w:eastAsia="HYe3gj"/>
                <w:b w:val="0"/>
                <w:i w:val="0"/>
                <w:color w:val="221F1F"/>
                <w:sz w:val="15"/>
              </w:rPr>
              <w:t>文献标识码</w:t>
            </w:r>
            <w:r>
              <w:rPr>
                <w:rFonts w:ascii="HYa6gj" w:hAnsi="HYa6gj" w:eastAsia="HYa6gj"/>
                <w:b w:val="0"/>
                <w:i w:val="0"/>
                <w:color w:val="221F1F"/>
                <w:sz w:val="15"/>
              </w:rPr>
              <w:t>］</w:t>
            </w:r>
            <w:r>
              <w:rPr>
                <w:rFonts w:ascii="HYe1gj" w:hAnsi="HYe1gj" w:eastAsia="HYe1gj"/>
                <w:b w:val="0"/>
                <w:i w:val="0"/>
                <w:color w:val="221F1F"/>
                <w:sz w:val="15"/>
              </w:rPr>
              <w:t>B</w:t>
            </w:r>
          </w:p>
        </w:tc>
      </w:tr>
    </w:tbl>
    <w:p>
      <w:pPr>
        <w:autoSpaceDN w:val="0"/>
        <w:autoSpaceDE w:val="0"/>
        <w:widowControl/>
        <w:spacing w:line="187" w:lineRule="auto" w:before="2" w:after="0"/>
        <w:ind w:left="0" w:right="1626" w:firstLine="0"/>
        <w:jc w:val="right"/>
      </w:pPr>
      <w:r>
        <w:rPr>
          <w:rFonts w:ascii="HYa6gj" w:hAnsi="HYa6gj" w:eastAsia="HYa6gj"/>
          <w:b w:val="0"/>
          <w:i w:val="0"/>
          <w:color w:val="221F1F"/>
          <w:sz w:val="15"/>
        </w:rPr>
        <w:t>［</w:t>
      </w:r>
      <w:r>
        <w:rPr>
          <w:rFonts w:ascii="HYe3gj" w:hAnsi="HYe3gj" w:eastAsia="HYe3gj"/>
          <w:b w:val="0"/>
          <w:i w:val="0"/>
          <w:color w:val="221F1F"/>
          <w:sz w:val="15"/>
        </w:rPr>
        <w:t>文章编号</w:t>
      </w:r>
      <w:r>
        <w:rPr>
          <w:rFonts w:ascii="HYa6gj" w:hAnsi="HYa6gj" w:eastAsia="HYa6gj"/>
          <w:b w:val="0"/>
          <w:i w:val="0"/>
          <w:color w:val="221F1F"/>
          <w:sz w:val="15"/>
        </w:rPr>
        <w:t>］</w:t>
      </w:r>
      <w:r>
        <w:rPr>
          <w:rFonts w:ascii="HYe1gj" w:hAnsi="HYe1gj" w:eastAsia="HYe1gj"/>
          <w:b w:val="0"/>
          <w:i w:val="0"/>
          <w:color w:val="221F1F"/>
          <w:sz w:val="15"/>
        </w:rPr>
        <w:t>1001-1366(2021)09-0018-04</w:t>
      </w:r>
    </w:p>
    <w:p>
      <w:pPr>
        <w:autoSpaceDN w:val="0"/>
        <w:tabs>
          <w:tab w:pos="5892" w:val="left"/>
        </w:tabs>
        <w:autoSpaceDE w:val="0"/>
        <w:widowControl/>
        <w:spacing w:line="206" w:lineRule="auto" w:before="48" w:after="0"/>
        <w:ind w:left="1074" w:right="0" w:firstLine="0"/>
        <w:jc w:val="left"/>
      </w:pPr>
      <w:r>
        <w:rPr>
          <w:rFonts w:ascii="HYa6gj" w:hAnsi="HYa6gj" w:eastAsia="HYa6gj"/>
          <w:b w:val="0"/>
          <w:i w:val="0"/>
          <w:color w:val="221F1F"/>
          <w:sz w:val="18"/>
        </w:rPr>
        <w:t>[1]  王梦恕．中国盾构和掘进机隧道技术现状、存在</w:t>
      </w:r>
      <w:r>
        <w:tab/>
      </w:r>
      <w:r>
        <w:rPr>
          <w:rFonts w:ascii="HYa6gj" w:hAnsi="HYa6gj" w:eastAsia="HYa6gj"/>
          <w:b w:val="0"/>
          <w:i w:val="0"/>
          <w:color w:val="221F1F"/>
          <w:sz w:val="15"/>
        </w:rPr>
        <w:t>［</w:t>
      </w:r>
      <w:r>
        <w:rPr>
          <w:rFonts w:ascii="HYe3gj" w:hAnsi="HYe3gj" w:eastAsia="HYe3gj"/>
          <w:b w:val="0"/>
          <w:i w:val="0"/>
          <w:color w:val="221F1F"/>
          <w:sz w:val="15"/>
        </w:rPr>
        <w:t>收稿日期</w:t>
      </w:r>
      <w:r>
        <w:rPr>
          <w:rFonts w:ascii="HYa6gj" w:hAnsi="HYa6gj" w:eastAsia="HYa6gj"/>
          <w:b w:val="0"/>
          <w:i w:val="0"/>
          <w:color w:val="221F1F"/>
          <w:sz w:val="15"/>
        </w:rPr>
        <w:t>］</w:t>
      </w:r>
      <w:r>
        <w:rPr>
          <w:rFonts w:ascii="HYe1gj" w:hAnsi="HYe1gj" w:eastAsia="HYe1gj"/>
          <w:b w:val="0"/>
          <w:i w:val="0"/>
          <w:color w:val="221F1F"/>
          <w:sz w:val="15"/>
        </w:rPr>
        <w:t>2021-05-08</w:t>
      </w:r>
    </w:p>
    <w:p>
      <w:pPr>
        <w:autoSpaceDN w:val="0"/>
        <w:autoSpaceDE w:val="0"/>
        <w:widowControl/>
        <w:spacing w:line="185" w:lineRule="auto" w:before="5224" w:after="0"/>
        <w:ind w:left="0" w:right="66" w:firstLine="0"/>
        <w:jc w:val="right"/>
      </w:pPr>
      <w:r>
        <w:rPr>
          <w:rFonts w:ascii="HYb1gj" w:hAnsi="HYb1gj" w:eastAsia="HYb1gj"/>
          <w:b w:val="0"/>
          <w:i w:val="0"/>
          <w:color w:val="221F1F"/>
          <w:sz w:val="14"/>
        </w:rPr>
        <w:t xml:space="preserve">建筑机械化 </w:t>
      </w:r>
      <w:r>
        <w:rPr>
          <w:rFonts w:ascii="HYb1gj" w:hAnsi="HYb1gj" w:eastAsia="HYb1gj"/>
          <w:b w:val="0"/>
          <w:i w:val="0"/>
          <w:color w:val="221F1F"/>
          <w:sz w:val="15"/>
        </w:rPr>
        <w:t xml:space="preserve">2021(09) </w:t>
      </w:r>
      <w:r>
        <w:rPr>
          <w:rFonts w:ascii="HYb1gj" w:hAnsi="HYb1gj" w:eastAsia="HYb1gj"/>
          <w:b w:val="0"/>
          <w:i w:val="0"/>
          <w:color w:val="6C6E70"/>
          <w:sz w:val="32"/>
        </w:rPr>
        <w:t>21</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45200" cy="139700"/>
                    </a:xfrm>
                    <a:prstGeom prst="rect"/>
                  </pic:spPr>
                </pic:pic>
              </a:graphicData>
            </a:graphic>
          </wp:inline>
        </w:drawing>
      </w:r>
    </w:p>
    <w:sectPr w:rsidR="00FC693F" w:rsidRPr="0006063C" w:rsidSect="00034616">
      <w:type w:val="continuous"/>
      <w:pgSz w:w="11906" w:h="16157"/>
      <w:pgMar w:top="936" w:right="1182"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