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469900</wp:posOffset>
            </wp:positionV>
            <wp:extent cx="53340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56"/>
        <w:gridCol w:w="2656"/>
        <w:gridCol w:w="2656"/>
        <w:gridCol w:w="2656"/>
      </w:tblGrid>
      <w:tr>
        <w:trPr>
          <w:trHeight w:hRule="exact" w:val="63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8" w:after="0"/>
              <w:ind w:left="0" w:right="44" w:firstLine="0"/>
              <w:jc w:val="right"/>
            </w:pPr>
            <w:r>
              <w:rPr>
                <w:rFonts w:ascii="FZKTK" w:hAnsi="FZKTK" w:eastAsia="FZKTK"/>
                <w:b w:val="0"/>
                <w:i w:val="0"/>
                <w:color w:val="221F1F"/>
                <w:sz w:val="22"/>
              </w:rPr>
              <w:t>工 程 技 术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DOI:10.13612/j.cnki.cntp.2023.14.037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8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2023  NO.7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5"/>
              </w:rPr>
              <w:t>（下）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18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19"/>
              </w:rPr>
              <w:t>中国新技术新产品</w:t>
            </w:r>
          </w:p>
        </w:tc>
      </w:tr>
    </w:tbl>
    <w:p>
      <w:pPr>
        <w:autoSpaceDN w:val="0"/>
        <w:autoSpaceDE w:val="0"/>
        <w:widowControl/>
        <w:spacing w:line="185" w:lineRule="auto" w:before="174" w:after="0"/>
        <w:ind w:left="1952" w:right="0" w:firstLine="0"/>
        <w:jc w:val="left"/>
      </w:pPr>
      <w:r>
        <w:rPr>
          <w:rFonts w:ascii="FZDBSK" w:hAnsi="FZDBSK" w:eastAsia="FZDBSK"/>
          <w:b w:val="0"/>
          <w:i w:val="0"/>
          <w:color w:val="221F1F"/>
          <w:sz w:val="48"/>
        </w:rPr>
        <w:t>基于熵度量法的兰州地铁盾构施工</w:t>
      </w:r>
    </w:p>
    <w:p>
      <w:pPr>
        <w:autoSpaceDN w:val="0"/>
        <w:autoSpaceDE w:val="0"/>
        <w:widowControl/>
        <w:spacing w:line="185" w:lineRule="auto" w:before="106" w:after="0"/>
        <w:ind w:left="0" w:right="4112" w:firstLine="0"/>
        <w:jc w:val="right"/>
      </w:pPr>
      <w:r>
        <w:rPr>
          <w:rFonts w:ascii="FZDBSK" w:hAnsi="FZDBSK" w:eastAsia="FZDBSK"/>
          <w:b w:val="0"/>
          <w:i w:val="0"/>
          <w:color w:val="221F1F"/>
          <w:sz w:val="48"/>
        </w:rPr>
        <w:t>风险评价</w:t>
      </w:r>
    </w:p>
    <w:p>
      <w:pPr>
        <w:autoSpaceDN w:val="0"/>
        <w:autoSpaceDE w:val="0"/>
        <w:widowControl/>
        <w:spacing w:line="185" w:lineRule="auto" w:before="110" w:after="0"/>
        <w:ind w:left="0" w:right="4802" w:firstLine="0"/>
        <w:jc w:val="right"/>
      </w:pPr>
      <w:r>
        <w:rPr>
          <w:rFonts w:ascii="FZHTK" w:hAnsi="FZHTK" w:eastAsia="FZHTK"/>
          <w:b w:val="0"/>
          <w:i w:val="0"/>
          <w:color w:val="221F1F"/>
          <w:sz w:val="18"/>
        </w:rPr>
        <w:t>孙艳云</w:t>
      </w:r>
    </w:p>
    <w:p>
      <w:pPr>
        <w:autoSpaceDN w:val="0"/>
        <w:autoSpaceDE w:val="0"/>
        <w:widowControl/>
        <w:spacing w:line="185" w:lineRule="auto" w:before="144" w:after="0"/>
        <w:ind w:left="0" w:right="3140" w:firstLine="0"/>
        <w:jc w:val="right"/>
      </w:pPr>
      <w:r>
        <w:rPr>
          <w:rFonts w:ascii="FZKTK" w:hAnsi="FZKTK" w:eastAsia="FZKTK"/>
          <w:b w:val="0"/>
          <w:i w:val="0"/>
          <w:color w:val="221F1F"/>
          <w:sz w:val="18"/>
        </w:rPr>
        <w:t>（重庆市铁路（集团）有限公司，重庆  401120）</w:t>
      </w:r>
    </w:p>
    <w:p>
      <w:pPr>
        <w:autoSpaceDN w:val="0"/>
        <w:autoSpaceDE w:val="0"/>
        <w:widowControl/>
        <w:spacing w:line="245" w:lineRule="auto" w:before="288" w:after="0"/>
        <w:ind w:left="950" w:right="288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摘  要</w:t>
      </w:r>
      <w:r>
        <w:rPr>
          <w:rFonts w:ascii="FZKTK" w:hAnsi="FZKTK" w:eastAsia="FZKTK"/>
          <w:b w:val="0"/>
          <w:i w:val="0"/>
          <w:color w:val="221F1F"/>
          <w:sz w:val="18"/>
        </w:rPr>
        <w:t>：结合兰州轨道交通1号线施工特点和难点，对盾构施工技术风险、周边环境风险、水文及地质风险、组织</w:t>
      </w:r>
      <w:r>
        <w:rPr>
          <w:rFonts w:ascii="FZKTK" w:hAnsi="FZKTK" w:eastAsia="FZKTK"/>
          <w:b w:val="0"/>
          <w:i w:val="0"/>
          <w:color w:val="221F1F"/>
          <w:sz w:val="18"/>
        </w:rPr>
        <w:t>管理风险进行分析。根据风险评价的需要，制定熵度量法的风险等级评定准则；组织人员对工程项目进行深入细致</w:t>
      </w:r>
      <w:r>
        <w:rPr>
          <w:rFonts w:ascii="FZKTK" w:hAnsi="FZKTK" w:eastAsia="FZKTK"/>
          <w:b w:val="0"/>
          <w:i w:val="0"/>
          <w:color w:val="221F1F"/>
          <w:sz w:val="18"/>
        </w:rPr>
        <w:t>地调查，识别很多风险因素，确定风险评价指标体系；建立基于熵度量法的盾构施工风险评价模型；以奥世区间为</w:t>
      </w:r>
      <w:r>
        <w:rPr>
          <w:rFonts w:ascii="FZKTK" w:hAnsi="FZKTK" w:eastAsia="FZKTK"/>
          <w:b w:val="0"/>
          <w:i w:val="0"/>
          <w:color w:val="221F1F"/>
          <w:sz w:val="18"/>
        </w:rPr>
        <w:t>实例分析，计算可知该区间盾构施工过程中的总体风险为可接受风险，进而提出针对性的风险管控措施。结果表明，</w:t>
      </w:r>
      <w:r>
        <w:rPr>
          <w:rFonts w:ascii="FZKTK" w:hAnsi="FZKTK" w:eastAsia="FZKTK"/>
          <w:b w:val="0"/>
          <w:i w:val="0"/>
          <w:color w:val="221F1F"/>
          <w:sz w:val="18"/>
        </w:rPr>
        <w:t>熵度量法对地铁盾构施工风险问题的研究不仅有理论上的意义，而且在实际工程中具有可操作性，能够指导实际工</w:t>
      </w:r>
      <w:r>
        <w:rPr>
          <w:rFonts w:ascii="FZKTK" w:hAnsi="FZKTK" w:eastAsia="FZKTK"/>
          <w:b w:val="0"/>
          <w:i w:val="0"/>
          <w:color w:val="221F1F"/>
          <w:sz w:val="18"/>
        </w:rPr>
        <w:t>程规避风险。</w:t>
      </w:r>
    </w:p>
    <w:p>
      <w:pPr>
        <w:autoSpaceDN w:val="0"/>
        <w:tabs>
          <w:tab w:pos="4912" w:val="left"/>
        </w:tabs>
        <w:autoSpaceDE w:val="0"/>
        <w:widowControl/>
        <w:spacing w:line="245" w:lineRule="auto" w:before="68" w:after="0"/>
        <w:ind w:left="950" w:right="4320" w:firstLine="0"/>
        <w:jc w:val="left"/>
      </w:pPr>
      <w:r>
        <w:rPr>
          <w:rFonts w:ascii="FZHTK" w:hAnsi="FZHTK" w:eastAsia="FZHTK"/>
          <w:b w:val="0"/>
          <w:i w:val="0"/>
          <w:color w:val="221F1F"/>
          <w:sz w:val="18"/>
        </w:rPr>
        <w:t>关键词</w:t>
      </w:r>
      <w:r>
        <w:rPr>
          <w:rFonts w:ascii="FZKTK" w:hAnsi="FZKTK" w:eastAsia="FZKTK"/>
          <w:b w:val="0"/>
          <w:i w:val="0"/>
          <w:color w:val="221F1F"/>
          <w:sz w:val="18"/>
        </w:rPr>
        <w:t>：地铁施工；盾构施工；熵度量法；风险评估；管控措施</w:t>
      </w:r>
      <w:r>
        <w:br/>
      </w:r>
      <w:r>
        <w:tab/>
      </w:r>
      <w:r>
        <w:rPr>
          <w:rFonts w:ascii="FZHTK" w:hAnsi="FZHTK" w:eastAsia="FZHTK"/>
          <w:b w:val="0"/>
          <w:i w:val="0"/>
          <w:color w:val="221F1F"/>
          <w:sz w:val="18"/>
        </w:rPr>
        <w:t xml:space="preserve">文献标志码：A </w:t>
      </w:r>
      <w:r>
        <w:rPr>
          <w:rFonts w:ascii="FZHTK" w:hAnsi="FZHTK" w:eastAsia="FZHTK"/>
          <w:b w:val="0"/>
          <w:i w:val="0"/>
          <w:color w:val="221F1F"/>
          <w:sz w:val="18"/>
        </w:rPr>
        <w:t xml:space="preserve">中图分类号：U 455. 1 </w:t>
      </w:r>
    </w:p>
    <w:p>
      <w:pPr>
        <w:autoSpaceDN w:val="0"/>
        <w:tabs>
          <w:tab w:pos="960" w:val="left"/>
          <w:tab w:pos="5208" w:val="left"/>
          <w:tab w:pos="5696" w:val="left"/>
        </w:tabs>
        <w:autoSpaceDE w:val="0"/>
        <w:widowControl/>
        <w:spacing w:line="270" w:lineRule="exact" w:before="192" w:after="60"/>
        <w:ind w:left="592" w:right="0" w:firstLine="0"/>
        <w:jc w:val="left"/>
      </w:pP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城市轨道交通工程作为一项特大型系统工程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不确定因</w:t>
      </w: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极软岩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当未进行支护时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洞室的侧壁和顶板很容易变形坍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素多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导致近年来我国多市地铁项目施工过程中事故频发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[</w:t>
      </w:r>
      <w:r>
        <w:rPr>
          <w:w w:val="96.46000428633256"/>
          <w:rFonts w:ascii="TimesNewRomanPSMT" w:hAnsi="TimesNewRomanPSMT" w:eastAsia="TimesNewRomanPSMT"/>
          <w:b w:val="0"/>
          <w:i w:val="0"/>
          <w:color w:val="221F1F"/>
          <w:sz w:val="11"/>
        </w:rPr>
        <w:t>1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]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塌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此外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容易遇水崩解成散状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sectPr>
          <w:pgSz w:w="11906" w:h="16838"/>
          <w:pgMar w:top="382" w:right="88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2080" w:val="left"/>
          <w:tab w:pos="2640" w:val="left"/>
          <w:tab w:pos="4824" w:val="left"/>
        </w:tabs>
        <w:autoSpaceDE w:val="0"/>
        <w:widowControl/>
        <w:spacing w:line="264" w:lineRule="exact" w:before="0" w:after="0"/>
        <w:ind w:left="592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不仅造成了巨大的经济损失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而且严重威胁人们的生命安全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造成恶劣的社会影响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应用科学的方法对城市地铁施工安全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风险进行管理日益受到社会的广泛关注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国外较早研究隧道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工程的代表人物是Duddeck 教授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其通过隧道工程师面临的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挑战分析了隧道工程施工技术的难点和应遵循的理念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[</w:t>
      </w:r>
      <w:r>
        <w:rPr>
          <w:w w:val="96.46000428633256"/>
          <w:rFonts w:ascii="TimesNewRomanPSMT" w:hAnsi="TimesNewRomanPSMT" w:eastAsia="TimesNewRomanPSMT"/>
          <w:b w:val="0"/>
          <w:i w:val="0"/>
          <w:color w:val="221F1F"/>
          <w:sz w:val="11"/>
        </w:rPr>
        <w:t>2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]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；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国外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学者Reilly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Molag 对地下隧道及穿越海峡盾构施工安全的特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点管理过程进行深入研究</w:t>
      </w:r>
      <w:r>
        <w:br/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[</w:t>
      </w:r>
      <w:r>
        <w:rPr>
          <w:w w:val="96.46000428633256"/>
          <w:rFonts w:ascii="TimesNewRomanPSMT" w:hAnsi="TimesNewRomanPSMT" w:eastAsia="TimesNewRomanPSMT"/>
          <w:b w:val="0"/>
          <w:i w:val="0"/>
          <w:color w:val="221F1F"/>
          <w:sz w:val="11"/>
        </w:rPr>
        <w:t>3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-</w:t>
      </w:r>
      <w:r>
        <w:rPr>
          <w:w w:val="96.46000428633256"/>
          <w:rFonts w:ascii="TimesNewRomanPSMT" w:hAnsi="TimesNewRomanPSMT" w:eastAsia="TimesNewRomanPSMT"/>
          <w:b w:val="0"/>
          <w:i w:val="0"/>
          <w:color w:val="221F1F"/>
          <w:sz w:val="11"/>
        </w:rPr>
        <w:t>4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]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国内最早接触隧道风险理论的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学者是毛儒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他介绍了风险管理在发达国家隧道工程运用状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况和已取得的经验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[</w:t>
      </w:r>
      <w:r>
        <w:rPr>
          <w:w w:val="96.46000428633256"/>
          <w:rFonts w:ascii="TimesNewRomanPSMT" w:hAnsi="TimesNewRomanPSMT" w:eastAsia="TimesNewRomanPSMT"/>
          <w:b w:val="0"/>
          <w:i w:val="0"/>
          <w:color w:val="221F1F"/>
          <w:sz w:val="11"/>
        </w:rPr>
        <w:t>5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]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我国学者应用各种方法对地下工程建设</w:t>
      </w:r>
    </w:p>
    <w:p>
      <w:pPr>
        <w:sectPr>
          <w:type w:val="continuous"/>
          <w:pgSz w:w="11906" w:h="16838"/>
          <w:pgMar w:top="382" w:right="882" w:bottom="168" w:left="400" w:header="720" w:footer="720" w:gutter="0"/>
          <w:cols w:num="2" w:equalWidth="0">
            <w:col w:w="5598" w:space="0"/>
            <w:col w:w="5026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96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0"/>
        </w:rPr>
        <w:t>1.3 水文条件及沿线环境</w:t>
      </w:r>
    </w:p>
    <w:p>
      <w:pPr>
        <w:autoSpaceDN w:val="0"/>
        <w:autoSpaceDE w:val="0"/>
        <w:widowControl/>
        <w:spacing w:line="270" w:lineRule="exact" w:before="78" w:after="0"/>
        <w:ind w:left="96" w:right="0" w:firstLine="368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盆地潜水是兰州市主要的供水水源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其中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“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三滩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”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水源为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天然动态类型为水文- 开采动态类型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地下水位受季节影响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变化较大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水位年变化幅度约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m~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地下水含水层厚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渗透系数大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对线路和工程施工的影响较大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45" w:lineRule="auto" w:before="60" w:after="136"/>
        <w:ind w:left="96" w:right="0" w:firstLine="37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沿线经过多座加油站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企业单位的办公楼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住宅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学校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西站货场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在建深安大桥等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；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地下电缆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城市给排水等管线密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布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部分区间还要下穿越黄河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6" w:h="16838"/>
          <w:pgMar w:top="382" w:right="882" w:bottom="168" w:left="400" w:header="720" w:footer="720" w:gutter="0"/>
          <w:cols w:num="2" w:equalWidth="0">
            <w:col w:w="5598" w:space="0"/>
            <w:col w:w="50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541"/>
        <w:gridCol w:w="3541"/>
        <w:gridCol w:w="3541"/>
      </w:tblGrid>
      <w:tr>
        <w:trPr>
          <w:trHeight w:hRule="exact" w:val="24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12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项目进行较为细致地研究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0" w:right="0" w:firstLine="0"/>
              <w:jc w:val="left"/>
            </w:pPr>
            <w:r>
              <w:rPr>
                <w:w w:val="96.46000428633256"/>
                <w:rFonts w:ascii="FZSSK" w:hAnsi="FZSSK" w:eastAsia="FZSSK"/>
                <w:b w:val="0"/>
                <w:i w:val="0"/>
                <w:color w:val="221F1F"/>
                <w:sz w:val="11"/>
              </w:rPr>
              <w:t>[</w:t>
            </w:r>
            <w:r>
              <w:rPr>
                <w:w w:val="96.46000428633256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6</w:t>
            </w:r>
            <w:r>
              <w:rPr>
                <w:w w:val="96.46000428633256"/>
                <w:rFonts w:ascii="FZSSK" w:hAnsi="FZSSK" w:eastAsia="FZSSK"/>
                <w:b w:val="0"/>
                <w:i w:val="0"/>
                <w:color w:val="221F1F"/>
                <w:sz w:val="11"/>
              </w:rPr>
              <w:t>-</w:t>
            </w:r>
            <w:r>
              <w:rPr>
                <w:w w:val="96.46000428633256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7</w:t>
            </w:r>
            <w:r>
              <w:rPr>
                <w:w w:val="96.46000428633256"/>
                <w:rFonts w:ascii="FZSSK" w:hAnsi="FZSSK" w:eastAsia="FZSSK"/>
                <w:b w:val="0"/>
                <w:i w:val="0"/>
                <w:color w:val="221F1F"/>
                <w:sz w:val="11"/>
              </w:rPr>
              <w:t>]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兰州地铁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号线所处地质情况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21"/>
              </w:rPr>
              <w:t>2 熵度量法风险评估模型的基本原理及接受准则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6838"/>
          <w:pgMar w:top="382" w:right="8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592" w:right="140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复杂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施工难度大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下穿黄河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盾构机主要行走于砂卵石地层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中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被评为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“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世界级难题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”，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因此需要进行针对性地风险评估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以保证工程顺利进行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该文从盾构施工技术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周边环境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水文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及地质条件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组织管理等方面进行风险分析与评价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以便于对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风险跟踪与控制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从而达到降低工程风险的目的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5" w:lineRule="auto" w:before="168" w:after="0"/>
        <w:ind w:left="592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1"/>
        </w:rPr>
        <w:t>1 工程概况及水文地质环境条件</w:t>
      </w:r>
    </w:p>
    <w:p>
      <w:pPr>
        <w:sectPr>
          <w:type w:val="continuous"/>
          <w:pgSz w:w="11906" w:h="16838"/>
          <w:pgMar w:top="382" w:right="882" w:bottom="168" w:left="400" w:header="720" w:footer="720" w:gutter="0"/>
          <w:cols w:num="2" w:equalWidth="0">
            <w:col w:w="5552" w:space="0"/>
            <w:col w:w="507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42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0"/>
        </w:rPr>
        <w:t>2.1 熵度量法风险评估方法</w:t>
      </w:r>
    </w:p>
    <w:p>
      <w:pPr>
        <w:autoSpaceDN w:val="0"/>
        <w:autoSpaceDE w:val="0"/>
        <w:widowControl/>
        <w:spacing w:line="270" w:lineRule="exact" w:before="78" w:after="58"/>
        <w:ind w:left="142" w:right="0" w:firstLine="368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熵的概念源于热力学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是反映自然界热变化过程方向的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个物理量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表示物质系统状态的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个函数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随着研究的发展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熵的概念逐渐扩张到信息领域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诞生了信息熵的概念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熵的概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念如下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：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评价中所包括的信息量和信息质量直接影响评价的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准确性和可靠性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是一种量化信息不确定性的方式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当掌握信</w:t>
      </w:r>
    </w:p>
    <w:p>
      <w:pPr>
        <w:sectPr>
          <w:type w:val="nextColumn"/>
          <w:pgSz w:w="11906" w:h="16838"/>
          <w:pgMar w:top="382" w:right="882" w:bottom="168" w:left="400" w:header="720" w:footer="720" w:gutter="0"/>
          <w:cols w:num="2" w:equalWidth="0">
            <w:col w:w="5552" w:space="0"/>
            <w:col w:w="5072" w:space="0"/>
          </w:cols>
          <w:docGrid w:linePitch="360"/>
        </w:sectPr>
      </w:pPr>
    </w:p>
    <w:p>
      <w:pPr>
        <w:autoSpaceDN w:val="0"/>
        <w:tabs>
          <w:tab w:pos="5694" w:val="left"/>
        </w:tabs>
        <w:autoSpaceDE w:val="0"/>
        <w:widowControl/>
        <w:spacing w:line="194" w:lineRule="auto" w:before="0" w:after="132"/>
        <w:ind w:left="592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0"/>
        </w:rPr>
        <w:t>1.1 工程概况</w:t>
      </w: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息不足时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需要对分布进行预测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此时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应该选择符合约束条</w:t>
      </w:r>
    </w:p>
    <w:p>
      <w:pPr>
        <w:sectPr>
          <w:type w:val="continuous"/>
          <w:pgSz w:w="11906" w:h="16838"/>
          <w:pgMar w:top="382" w:right="8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592" w:right="0" w:firstLine="368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兰州市地铁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号线座落在市区黄河两岸冲积的漫滩及一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二级阶地区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西起西固区陈官营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途经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个区间站到东岗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全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线长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26692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363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都为地下线路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共设车站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最大站间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距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2334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608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最小站间距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833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825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平均站间距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1334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618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设车辆段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停车场各一座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主变电站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分别位于西客站和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五里铺附近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5" w:lineRule="auto" w:before="140" w:after="0"/>
        <w:ind w:left="592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0"/>
        </w:rPr>
        <w:t>1.2 工程地质情况</w:t>
      </w:r>
    </w:p>
    <w:p>
      <w:pPr>
        <w:autoSpaceDN w:val="0"/>
        <w:autoSpaceDE w:val="0"/>
        <w:widowControl/>
        <w:spacing w:line="270" w:lineRule="exact" w:before="78" w:after="0"/>
        <w:ind w:left="592" w:right="186" w:firstLine="368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兰州市位于我国西北地区黄土高原腹部的黄河河谷盆地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内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轨道交通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号线沿线分布地层主要有第四系全新统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下更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新统及第三系地层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第四系全新统冲积卵石层分布稳定属低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压缩性土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密实状态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第四系下更新统卵石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-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11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泥钙质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弱胶结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分布较为稳定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厚度很大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这种卵石属于低压缩性土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壤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密实度高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在工程建设中的地质特性良好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而隧道洞室主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要位于第三系砂岩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-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-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中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这种岩石成岩作用差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属于</w:t>
      </w:r>
    </w:p>
    <w:p>
      <w:pPr>
        <w:sectPr>
          <w:type w:val="continuous"/>
          <w:pgSz w:w="11906" w:h="16838"/>
          <w:pgMar w:top="382" w:right="882" w:bottom="168" w:left="400" w:header="720" w:footer="720" w:gutter="0"/>
          <w:cols w:num="2" w:equalWidth="0">
            <w:col w:w="5598" w:space="0"/>
            <w:col w:w="502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96" w:right="110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件的概率分布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但这个分布的熵值应该是最大的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这是因为在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信息不确定性的情况下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熵值最大的分布能够提供最多的信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息量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[</w:t>
      </w:r>
      <w:r>
        <w:rPr>
          <w:w w:val="96.46000428633256"/>
          <w:rFonts w:ascii="TimesNewRomanPSMT" w:hAnsi="TimesNewRomanPSMT" w:eastAsia="TimesNewRomanPSMT"/>
          <w:b w:val="0"/>
          <w:i w:val="0"/>
          <w:color w:val="221F1F"/>
          <w:sz w:val="11"/>
        </w:rPr>
        <w:t>8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]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因此熵可用来度量风险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14" w:lineRule="exact" w:before="56" w:after="16"/>
        <w:ind w:left="464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对连续性随机变量如公式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所示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45" w:type="dxa"/>
      </w:tblPr>
      <w:tblGrid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</w:tblGrid>
      <w:tr>
        <w:trPr>
          <w:trHeight w:hRule="exact" w:val="55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R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 -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" w:val="left"/>
                <w:tab w:pos="46" w:val="left"/>
              </w:tabs>
              <w:autoSpaceDE w:val="0"/>
              <w:widowControl/>
              <w:spacing w:line="180" w:lineRule="exact" w:before="0" w:after="0"/>
              <w:ind w:left="16" w:right="0" w:firstLine="0"/>
              <w:jc w:val="left"/>
            </w:pP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∞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∫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ln</w:t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-∞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■■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f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i </w:t>
            </w:r>
            <w:r>
              <w:rPr>
                <w:w w:val="98.06702931722006"/>
                <w:rFonts w:ascii="SymbolMT" w:hAnsi="SymbolMT" w:eastAsia="SymbolMT"/>
                <w:b w:val="0"/>
                <w:i w:val="0"/>
                <w:color w:val="221F1F"/>
                <w:sz w:val="21"/>
              </w:rPr>
              <w:t>( )</w:t>
            </w: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2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■■</w:t>
            </w: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dF x </w:t>
            </w:r>
            <w:r>
              <w:rPr>
                <w:w w:val="98.06702931722006"/>
                <w:rFonts w:ascii="SymbolMT" w:hAnsi="SymbolMT" w:eastAsia="SymbolMT"/>
                <w:b w:val="0"/>
                <w:i w:val="0"/>
                <w:color w:val="221F1F"/>
                <w:sz w:val="21"/>
              </w:rPr>
              <w:t>( )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  <w:p>
            <w:pPr>
              <w:autoSpaceDN w:val="0"/>
              <w:autoSpaceDE w:val="0"/>
              <w:widowControl/>
              <w:spacing w:line="202" w:lineRule="exact" w:before="652" w:after="0"/>
              <w:ind w:left="0" w:right="0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</w:tr>
      <w:tr>
        <w:trPr>
          <w:trHeight w:hRule="exact" w:val="240"/>
        </w:trPr>
        <w:tc>
          <w:tcPr>
            <w:tcW w:type="dxa" w:w="37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242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对离散型随机变量如公式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所示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966"/>
            <w:vMerge/>
            <w:tcBorders/>
          </w:tcPr>
          <w:p/>
        </w:tc>
      </w:tr>
      <w:tr>
        <w:trPr>
          <w:trHeight w:hRule="exact" w:val="54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R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 -</w:t>
            </w:r>
          </w:p>
        </w:tc>
        <w:tc>
          <w:tcPr>
            <w:tcW w:type="dxa" w:w="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194" w:lineRule="exact" w:before="0" w:after="0"/>
              <w:ind w:left="48" w:right="0" w:firstLine="0"/>
              <w:jc w:val="left"/>
            </w:pP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∞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ln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36" w:right="0" w:firstLine="0"/>
              <w:jc w:val="left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j </w:t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=-∞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p x </w:t>
            </w: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 xml:space="preserve">(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6" w:after="0"/>
              <w:ind w:left="0" w:right="0" w:firstLine="0"/>
              <w:jc w:val="center"/>
            </w:pP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>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2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■■</w:t>
            </w: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 xml:space="preserve">( </w:t>
            </w: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p x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6" w:after="0"/>
              <w:ind w:left="24" w:right="0" w:firstLine="0"/>
              <w:jc w:val="left"/>
            </w:pP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>)</w:t>
            </w:r>
          </w:p>
        </w:tc>
        <w:tc>
          <w:tcPr>
            <w:tcW w:type="dxa" w:w="9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2" w:after="0"/>
        <w:ind w:left="0" w:right="0" w:firstLine="0"/>
        <w:jc w:val="center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式中：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R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为风险值；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x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为随机变量；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F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和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P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分别为连续型和离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散型随机变量的概率；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f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为连续型随机变量的概率密度函数。</w:t>
      </w:r>
    </w:p>
    <w:p>
      <w:pPr>
        <w:autoSpaceDN w:val="0"/>
        <w:tabs>
          <w:tab w:pos="466" w:val="left"/>
        </w:tabs>
        <w:autoSpaceDE w:val="0"/>
        <w:widowControl/>
        <w:spacing w:line="274" w:lineRule="exact" w:before="0" w:after="756"/>
        <w:ind w:left="96" w:right="0" w:firstLine="0"/>
        <w:jc w:val="left"/>
      </w:pP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熵度量评估模型的主要步骤如下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：</w:t>
      </w:r>
      <w:r>
        <w:br/>
      </w: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设有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m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个评价指标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n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个评价对象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各方案的指标评价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值构成原始数据矩阵 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R'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=</w:t>
      </w:r>
      <w:r>
        <w:rPr>
          <w:w w:val="101.11111534966363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r'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ij</w:t>
      </w:r>
      <w:r>
        <w:rPr>
          <w:w w:val="101.11111534966363"/>
          <w:rFonts w:ascii="SimSun" w:hAnsi="SimSun" w:eastAsia="SimSun"/>
          <w:b w:val="0"/>
          <w:i w:val="0"/>
          <w:color w:val="221F1F"/>
          <w:sz w:val="18"/>
        </w:rPr>
        <w:t>）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m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×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n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通过公式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对其进行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标准化处理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得到标准化矩阵</w:t>
      </w:r>
      <w:r>
        <w:rPr>
          <w:w w:val="101.11111534966363"/>
          <w:rFonts w:ascii="Times" w:hAnsi="Times" w:eastAsia="Times"/>
          <w:b/>
          <w:i/>
          <w:color w:val="221F1F"/>
          <w:sz w:val="18"/>
        </w:rPr>
        <w:t>R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=</w:t>
      </w:r>
      <w:r>
        <w:rPr>
          <w:w w:val="101.11111534966363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r'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ij</w:t>
      </w:r>
      <w:r>
        <w:rPr>
          <w:w w:val="101.11111534966363"/>
          <w:rFonts w:ascii="SimSun" w:hAnsi="SimSun" w:eastAsia="SimSun"/>
          <w:b w:val="0"/>
          <w:i w:val="0"/>
          <w:color w:val="221F1F"/>
          <w:sz w:val="18"/>
        </w:rPr>
        <w:t>）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m</w:t>
      </w:r>
      <w:r>
        <w:rPr>
          <w:w w:val="96.46000428633256"/>
          <w:rFonts w:ascii="FZSSK" w:hAnsi="FZSSK" w:eastAsia="FZSSK"/>
          <w:b w:val="0"/>
          <w:i w:val="0"/>
          <w:color w:val="221F1F"/>
          <w:sz w:val="11"/>
        </w:rPr>
        <w:t>×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n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并进行归一化处</w:t>
      </w:r>
    </w:p>
    <w:p>
      <w:pPr>
        <w:sectPr>
          <w:type w:val="nextColumn"/>
          <w:pgSz w:w="11906" w:h="16838"/>
          <w:pgMar w:top="382" w:right="882" w:bottom="168" w:left="400" w:header="720" w:footer="720" w:gutter="0"/>
          <w:cols w:num="2" w:equalWidth="0">
            <w:col w:w="5598" w:space="0"/>
            <w:col w:w="5026" w:space="0"/>
          </w:cols>
          <w:docGrid w:linePitch="360"/>
        </w:sectPr>
      </w:pPr>
    </w:p>
    <w:p>
      <w:pPr>
        <w:autoSpaceDN w:val="0"/>
        <w:tabs>
          <w:tab w:pos="981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ZY3K" w:hAnsi="FZY3K" w:eastAsia="FZY3K"/>
          <w:b w:val="0"/>
          <w:i w:val="0"/>
          <w:color w:val="221F1F"/>
          <w:sz w:val="18"/>
        </w:rPr>
        <w:t>- 85 -</w:t>
      </w:r>
    </w:p>
    <w:p>
      <w:pPr>
        <w:sectPr>
          <w:type w:val="continuous"/>
          <w:pgSz w:w="11906" w:h="16838"/>
          <w:pgMar w:top="382" w:right="8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469900</wp:posOffset>
            </wp:positionV>
            <wp:extent cx="53340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20"/>
        <w:gridCol w:w="2620"/>
        <w:gridCol w:w="2620"/>
        <w:gridCol w:w="2620"/>
      </w:tblGrid>
      <w:tr>
        <w:trPr>
          <w:trHeight w:hRule="exact" w:val="49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94" w:firstLine="0"/>
              <w:jc w:val="righ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19"/>
              </w:rPr>
              <w:t>中国新技术新产品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11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2023  NO.7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5"/>
              </w:rPr>
              <w:t>（下）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0" w:after="0"/>
              <w:ind w:left="0" w:right="108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>表1  风险熵度量法接受准则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46" w:right="0" w:firstLine="0"/>
              <w:jc w:val="left"/>
            </w:pPr>
            <w:r>
              <w:rPr>
                <w:rFonts w:ascii="FZKTK" w:hAnsi="FZKTK" w:eastAsia="FZKTK"/>
                <w:b w:val="0"/>
                <w:i w:val="0"/>
                <w:color w:val="221F1F"/>
                <w:sz w:val="22"/>
              </w:rPr>
              <w:t>工 程 技 术</w:t>
            </w:r>
          </w:p>
        </w:tc>
      </w:tr>
      <w:tr>
        <w:trPr>
          <w:trHeight w:hRule="exact" w:val="51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16" w:after="0"/>
              <w:ind w:left="37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理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得到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p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x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ij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）。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pgSz w:w="11906" w:h="16838"/>
          <w:pgMar w:top="382" w:right="102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620"/>
        <w:gridCol w:w="2620"/>
        <w:gridCol w:w="2620"/>
        <w:gridCol w:w="2620"/>
      </w:tblGrid>
      <w:tr>
        <w:trPr>
          <w:trHeight w:hRule="exact" w:val="80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52" w:after="0"/>
              <w:ind w:left="0" w:right="2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r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294" w:after="0"/>
              <w:ind w:left="144" w:right="2016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r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ij </w:t>
            </w:r>
            <w:r>
              <w:br/>
            </w:r>
            <w:r>
              <w:rPr>
                <w:w w:val="104.06200408935547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'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436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min</w:t>
            </w:r>
          </w:p>
          <w:p>
            <w:pPr>
              <w:autoSpaceDN w:val="0"/>
              <w:tabs>
                <w:tab w:pos="868" w:val="left"/>
              </w:tabs>
              <w:autoSpaceDE w:val="0"/>
              <w:widowControl/>
              <w:spacing w:line="138" w:lineRule="exact" w:before="0" w:after="0"/>
              <w:ind w:left="700" w:right="0" w:firstLine="0"/>
              <w:jc w:val="left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j </w:t>
            </w:r>
            <w:r>
              <w:tab/>
            </w:r>
            <w:r>
              <w:rPr>
                <w:w w:val="98.3101056969684"/>
                <w:rFonts w:ascii="SymbolMT" w:hAnsi="SymbolMT" w:eastAsia="SymbolMT"/>
                <w:b w:val="0"/>
                <w:i w:val="0"/>
                <w:color w:val="221F1F"/>
                <w:sz w:val="23"/>
              </w:rPr>
              <w:t>( )</w:t>
            </w:r>
          </w:p>
          <w:p>
            <w:pPr>
              <w:autoSpaceDN w:val="0"/>
              <w:autoSpaceDE w:val="0"/>
              <w:widowControl/>
              <w:spacing w:line="180" w:lineRule="exact" w:before="34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max</w:t>
            </w:r>
          </w:p>
          <w:p>
            <w:pPr>
              <w:autoSpaceDN w:val="0"/>
              <w:tabs>
                <w:tab w:pos="368" w:val="left"/>
                <w:tab w:pos="802" w:val="left"/>
              </w:tabs>
              <w:autoSpaceDE w:val="0"/>
              <w:widowControl/>
              <w:spacing w:line="138" w:lineRule="exact" w:before="0" w:after="0"/>
              <w:ind w:left="186" w:right="0" w:firstLine="0"/>
              <w:jc w:val="left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j </w:t>
            </w:r>
            <w:r>
              <w:tab/>
            </w:r>
            <w:r>
              <w:rPr>
                <w:w w:val="98.3101056969684"/>
                <w:rFonts w:ascii="SymbolMT" w:hAnsi="SymbolMT" w:eastAsia="SymbolMT"/>
                <w:b w:val="0"/>
                <w:i w:val="0"/>
                <w:color w:val="221F1F"/>
                <w:sz w:val="23"/>
              </w:rPr>
              <w:t>( )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min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138" w:lineRule="exact" w:before="0" w:after="0"/>
              <w:ind w:left="936" w:right="0" w:firstLine="0"/>
              <w:jc w:val="left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j </w:t>
            </w:r>
            <w:r>
              <w:tab/>
            </w:r>
            <w:r>
              <w:rPr>
                <w:w w:val="98.3101056969684"/>
                <w:rFonts w:ascii="SymbolMT" w:hAnsi="SymbolMT" w:eastAsia="SymbolMT"/>
                <w:b w:val="0"/>
                <w:i w:val="0"/>
                <w:color w:val="221F1F"/>
                <w:sz w:val="23"/>
              </w:rPr>
              <w:t>( 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6" w:after="0"/>
              <w:ind w:left="0" w:right="3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</w:tr>
    </w:tbl>
    <w:p>
      <w:pPr>
        <w:autoSpaceDN w:val="0"/>
        <w:tabs>
          <w:tab w:pos="1102" w:val="left"/>
        </w:tabs>
        <w:autoSpaceDE w:val="0"/>
        <w:widowControl/>
        <w:spacing w:line="246" w:lineRule="exact" w:before="60" w:after="28"/>
        <w:ind w:left="734" w:right="432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式中：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r'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个评价人员在第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个指标下的评价值。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评价人员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在评价指标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下的熵如公式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所示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</w:tblGrid>
      <w:tr>
        <w:trPr>
          <w:trHeight w:hRule="exact" w:val="272"/>
        </w:trPr>
        <w:tc>
          <w:tcPr>
            <w:tcW w:type="dxa" w:w="96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H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4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 -</w:t>
            </w:r>
          </w:p>
        </w:tc>
        <w:tc>
          <w:tcPr>
            <w:tcW w:type="dxa" w:w="266"/>
            <w:gridSpan w:val="2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n </w:t>
            </w:r>
            <w:r>
              <w:br/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=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p x </w:t>
            </w: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 xml:space="preserve">(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>)</w:t>
            </w:r>
          </w:p>
        </w:tc>
        <w:tc>
          <w:tcPr>
            <w:tcW w:type="dxa" w:w="18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ln</w:t>
            </w:r>
          </w:p>
        </w:tc>
        <w:tc>
          <w:tcPr>
            <w:tcW w:type="dxa" w:w="38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p x </w:t>
            </w: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>(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w w:val="97.9668492856233"/>
                <w:rFonts w:ascii="SymbolMT" w:hAnsi="SymbolMT" w:eastAsia="SymbolMT"/>
                <w:b w:val="0"/>
                <w:i w:val="0"/>
                <w:color w:val="221F1F"/>
                <w:sz w:val="23"/>
              </w:rPr>
              <w:t>)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,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i</w:t>
            </w:r>
          </w:p>
        </w:tc>
        <w:tc>
          <w:tcPr>
            <w:tcW w:type="dxa" w:w="14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48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 xml:space="preserve">1 2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, ,...,</w:t>
            </w:r>
          </w:p>
        </w:tc>
        <w:tc>
          <w:tcPr>
            <w:tcW w:type="dxa" w:w="56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m</w:t>
            </w:r>
          </w:p>
        </w:tc>
        <w:tc>
          <w:tcPr>
            <w:tcW w:type="dxa" w:w="940"/>
            <w:tcBorders>
              <w:bottom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3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</w:tr>
      <w:tr>
        <w:trPr>
          <w:trHeight w:hRule="exact" w:val="224"/>
        </w:trPr>
        <w:tc>
          <w:tcPr>
            <w:tcW w:type="dxa" w:w="96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294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ln</w:t>
            </w:r>
          </w:p>
        </w:tc>
        <w:tc>
          <w:tcPr>
            <w:tcW w:type="dxa" w:w="12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n</w:t>
            </w:r>
          </w:p>
        </w:tc>
        <w:tc>
          <w:tcPr>
            <w:tcW w:type="dxa" w:w="1104"/>
            <w:gridSpan w:val="2"/>
            <w:vMerge/>
            <w:tcBorders/>
          </w:tcPr>
          <w:p/>
        </w:tc>
        <w:tc>
          <w:tcPr>
            <w:tcW w:type="dxa" w:w="1104"/>
            <w:gridSpan w:val="2"/>
            <w:vMerge/>
            <w:tcBorders/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6" w:firstLine="0"/>
              <w:jc w:val="right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3.559999942779541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3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2" w:after="0"/>
              <w:ind w:left="0" w:right="0" w:firstLine="0"/>
              <w:jc w:val="righ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式中：</w:t>
            </w: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p x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1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)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r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/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n </w:t>
            </w:r>
            <w:r>
              <w:br/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=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r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298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8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，当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p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x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ij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）=0 时，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p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x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ij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）ln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p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x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ij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）</w:t>
            </w:r>
          </w:p>
        </w:tc>
      </w:tr>
      <w:tr>
        <w:trPr>
          <w:trHeight w:hRule="exact" w:val="308"/>
        </w:trPr>
        <w:tc>
          <w:tcPr>
            <w:tcW w:type="dxa" w:w="13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568" w:firstLine="0"/>
              <w:jc w:val="righ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=0。</w:t>
            </w:r>
          </w:p>
        </w:tc>
        <w:tc>
          <w:tcPr>
            <w:tcW w:type="dxa" w:w="552"/>
            <w:vMerge/>
            <w:tcBorders/>
          </w:tcPr>
          <w:p/>
        </w:tc>
        <w:tc>
          <w:tcPr>
            <w:tcW w:type="dxa" w:w="552"/>
            <w:vMerge/>
            <w:tcBorders/>
          </w:tcPr>
          <w:p/>
        </w:tc>
        <w:tc>
          <w:tcPr>
            <w:tcW w:type="dxa" w:w="552"/>
            <w:vMerge/>
            <w:tcBorders/>
          </w:tcPr>
          <w:p/>
        </w:tc>
        <w:tc>
          <w:tcPr>
            <w:tcW w:type="dxa" w:w="552"/>
            <w:vMerge/>
            <w:tcBorders/>
          </w:tcPr>
          <w:p/>
        </w:tc>
        <w:tc>
          <w:tcPr>
            <w:tcW w:type="dxa" w:w="552"/>
            <w:vMerge/>
            <w:tcBorders/>
          </w:tcPr>
          <w:p/>
        </w:tc>
        <w:tc>
          <w:tcPr>
            <w:tcW w:type="dxa" w:w="552"/>
            <w:vMerge/>
            <w:tcBorders/>
          </w:tcPr>
          <w:p/>
        </w:tc>
        <w:tc>
          <w:tcPr>
            <w:tcW w:type="dxa" w:w="5520"/>
            <w:gridSpan w:val="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30" w:after="0"/>
        <w:ind w:left="1102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在评价问题中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个指标的权重如公式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5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所示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6" w:h="16838"/>
          <w:pgMar w:top="382" w:right="1024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68" w:type="dxa"/>
      </w:tblPr>
      <w:tblGrid>
        <w:gridCol w:w="2096"/>
        <w:gridCol w:w="2096"/>
        <w:gridCol w:w="2096"/>
        <w:gridCol w:w="2096"/>
        <w:gridCol w:w="2096"/>
      </w:tblGrid>
      <w:tr>
        <w:trPr>
          <w:trHeight w:hRule="exact" w:val="196"/>
        </w:trPr>
        <w:tc>
          <w:tcPr>
            <w:tcW w:type="dxa" w:w="4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等级</w:t>
            </w:r>
          </w:p>
        </w:tc>
        <w:tc>
          <w:tcPr>
            <w:tcW w:type="dxa" w:w="91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熵度量值</w:t>
            </w:r>
          </w:p>
        </w:tc>
        <w:tc>
          <w:tcPr>
            <w:tcW w:type="dxa" w:w="72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接受准则</w:t>
            </w:r>
          </w:p>
        </w:tc>
        <w:tc>
          <w:tcPr>
            <w:tcW w:type="dxa" w:w="184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处置对策</w:t>
            </w:r>
          </w:p>
        </w:tc>
        <w:tc>
          <w:tcPr>
            <w:tcW w:type="dxa" w:w="76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应对部门</w:t>
            </w:r>
          </w:p>
        </w:tc>
      </w:tr>
      <w:tr>
        <w:trPr>
          <w:trHeight w:hRule="exact" w:val="360"/>
        </w:trPr>
        <w:tc>
          <w:tcPr>
            <w:tcW w:type="dxa" w:w="4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I级</w:t>
            </w:r>
          </w:p>
        </w:tc>
        <w:tc>
          <w:tcPr>
            <w:tcW w:type="dxa" w:w="91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0≤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＜0.16</w:t>
            </w:r>
          </w:p>
        </w:tc>
        <w:tc>
          <w:tcPr>
            <w:tcW w:type="dxa" w:w="72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可忽略</w:t>
            </w:r>
          </w:p>
        </w:tc>
        <w:tc>
          <w:tcPr>
            <w:tcW w:type="dxa" w:w="184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无需采取风险处理措施，实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施常规监测。</w:t>
            </w:r>
          </w:p>
        </w:tc>
        <w:tc>
          <w:tcPr>
            <w:tcW w:type="dxa" w:w="768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工程建设参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与各方。</w:t>
            </w:r>
          </w:p>
        </w:tc>
      </w:tr>
      <w:tr>
        <w:trPr>
          <w:trHeight w:hRule="exact" w:val="356"/>
        </w:trPr>
        <w:tc>
          <w:tcPr>
            <w:tcW w:type="dxa" w:w="4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Ⅱ级</w:t>
            </w:r>
          </w:p>
        </w:tc>
        <w:tc>
          <w:tcPr>
            <w:tcW w:type="dxa" w:w="91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9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0.16≤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＜0.36</w:t>
            </w:r>
          </w:p>
        </w:tc>
        <w:tc>
          <w:tcPr>
            <w:tcW w:type="dxa" w:w="72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可接受</w:t>
            </w:r>
          </w:p>
        </w:tc>
        <w:tc>
          <w:tcPr>
            <w:tcW w:type="dxa" w:w="184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不需采取风险处理措施，加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强日常监测。</w:t>
            </w:r>
          </w:p>
        </w:tc>
        <w:tc>
          <w:tcPr>
            <w:tcW w:type="dxa" w:w="2096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</w:tr>
      <w:tr>
        <w:trPr>
          <w:trHeight w:hRule="exact" w:val="516"/>
        </w:trPr>
        <w:tc>
          <w:tcPr>
            <w:tcW w:type="dxa" w:w="4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Ⅲ级</w:t>
            </w:r>
          </w:p>
        </w:tc>
        <w:tc>
          <w:tcPr>
            <w:tcW w:type="dxa" w:w="91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0.36≤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＜0.64</w:t>
            </w:r>
          </w:p>
        </w:tc>
        <w:tc>
          <w:tcPr>
            <w:tcW w:type="dxa" w:w="72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 不可接受</w:t>
            </w:r>
          </w:p>
        </w:tc>
        <w:tc>
          <w:tcPr>
            <w:tcW w:type="dxa" w:w="184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必须引起重视，增加监测频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率，需编制应急预案，采取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管理措施降低损失。</w:t>
            </w:r>
          </w:p>
        </w:tc>
        <w:tc>
          <w:tcPr>
            <w:tcW w:type="dxa" w:w="768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政府部门及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工程建设参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与各方。</w:t>
            </w:r>
          </w:p>
        </w:tc>
      </w:tr>
      <w:tr>
        <w:trPr>
          <w:trHeight w:hRule="exact" w:val="516"/>
        </w:trPr>
        <w:tc>
          <w:tcPr>
            <w:tcW w:type="dxa" w:w="4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Ⅳ级</w:t>
            </w:r>
          </w:p>
        </w:tc>
        <w:tc>
          <w:tcPr>
            <w:tcW w:type="dxa" w:w="91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7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0.64≤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＜1</w:t>
            </w:r>
          </w:p>
        </w:tc>
        <w:tc>
          <w:tcPr>
            <w:tcW w:type="dxa" w:w="72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拒绝接受</w:t>
            </w:r>
          </w:p>
        </w:tc>
        <w:tc>
          <w:tcPr>
            <w:tcW w:type="dxa" w:w="184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必须高度重视，停工整顿并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采取措施规避，进行方案修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正或启用应急方案。</w:t>
            </w:r>
          </w:p>
        </w:tc>
        <w:tc>
          <w:tcPr>
            <w:tcW w:type="dxa" w:w="2096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70" w:lineRule="exact" w:before="108" w:after="56"/>
        <w:ind w:left="96" w:right="110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兰州地铁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号线区间盾构施工过程的具体情况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从很多地铁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盾构施工风险因素清单表中选取较重要的风险因素作为兰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州地铁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号线盾构施工风险评价指标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经过分析选取了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</w:t>
      </w:r>
    </w:p>
    <w:p>
      <w:pPr>
        <w:sectPr>
          <w:type w:val="nextColumn"/>
          <w:pgSz w:w="11906" w:h="16838"/>
          <w:pgMar w:top="382" w:right="1024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76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42" w:after="0"/>
              <w:ind w:left="0" w:right="1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ω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 xml:space="preserve">(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-</w:t>
            </w:r>
          </w:p>
        </w:tc>
        <w:tc>
          <w:tcPr>
            <w:tcW w:type="dxa" w:w="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H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) /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|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m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-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m </w:t>
            </w:r>
            <w:r>
              <w:br/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>=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H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6" w:right="1008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|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0" w:right="7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11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一级指标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18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个二级指标作为主要风险指标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见表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82"/>
        </w:trPr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114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20"/>
              </w:rPr>
              <w:t>3.2 调查问卷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6838"/>
          <w:pgMar w:top="382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40"/>
        <w:ind w:left="0" w:right="0" w:firstLine="0"/>
        <w:jc w:val="center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评价问题的风险值定义如公式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6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所示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10"/>
        <w:gridCol w:w="1310"/>
        <w:gridCol w:w="1310"/>
        <w:gridCol w:w="1310"/>
        <w:gridCol w:w="1310"/>
        <w:gridCol w:w="1310"/>
        <w:gridCol w:w="1310"/>
        <w:gridCol w:w="1310"/>
      </w:tblGrid>
      <w:tr>
        <w:trPr>
          <w:trHeight w:hRule="exact" w:val="47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010101"/>
                <w:sz w:val="15"/>
              </w:rPr>
              <w:t>E</w:t>
            </w:r>
          </w:p>
        </w:tc>
        <w:tc>
          <w:tcPr>
            <w:tcW w:type="dxa" w:w="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" w:val="left"/>
              </w:tabs>
              <w:autoSpaceDE w:val="0"/>
              <w:widowControl/>
              <w:spacing w:line="176" w:lineRule="exact" w:before="0" w:after="0"/>
              <w:ind w:left="22" w:right="0" w:firstLine="0"/>
              <w:jc w:val="left"/>
            </w:pPr>
            <w:r>
              <w:tab/>
            </w:r>
            <w:r>
              <w:rPr>
                <w:w w:val="95.45104768541124"/>
                <w:rFonts w:ascii="Times" w:hAnsi="Times" w:eastAsia="Times"/>
                <w:b w:val="0"/>
                <w:i/>
                <w:color w:val="010101"/>
                <w:sz w:val="9"/>
              </w:rPr>
              <w:t xml:space="preserve">m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10101"/>
                <w:sz w:val="15"/>
              </w:rPr>
              <w:t>=</w:t>
            </w:r>
            <w:r>
              <w:rPr>
                <w:w w:val="101.31538564508611"/>
                <w:rFonts w:ascii="SymbolMT" w:hAnsi="SymbolMT" w:eastAsia="SymbolMT"/>
                <w:b w:val="0"/>
                <w:i w:val="0"/>
                <w:color w:val="010101"/>
                <w:sz w:val="22"/>
              </w:rPr>
              <w:t>∑</w:t>
            </w:r>
          </w:p>
          <w:p>
            <w:pPr>
              <w:autoSpaceDN w:val="0"/>
              <w:autoSpaceDE w:val="0"/>
              <w:widowControl/>
              <w:spacing w:line="96" w:lineRule="exact" w:before="0" w:after="0"/>
              <w:ind w:left="0" w:right="4" w:firstLine="0"/>
              <w:jc w:val="right"/>
            </w:pPr>
            <w:r>
              <w:rPr>
                <w:w w:val="95.45104768541124"/>
                <w:rFonts w:ascii="Times" w:hAnsi="Times" w:eastAsia="Times"/>
                <w:b w:val="0"/>
                <w:i/>
                <w:color w:val="010101"/>
                <w:sz w:val="9"/>
              </w:rPr>
              <w:t xml:space="preserve">i </w:t>
            </w:r>
            <w:r>
              <w:rPr>
                <w:w w:val="95.45104768541124"/>
                <w:rFonts w:ascii="SymbolMT" w:hAnsi="SymbolMT" w:eastAsia="SymbolMT"/>
                <w:b w:val="0"/>
                <w:i w:val="0"/>
                <w:color w:val="010101"/>
                <w:sz w:val="9"/>
              </w:rPr>
              <w:t xml:space="preserve">= </w:t>
            </w:r>
            <w:r>
              <w:rPr>
                <w:w w:val="95.45104768541124"/>
                <w:rFonts w:ascii="TimesNewRomanPSMT" w:hAnsi="TimesNewRomanPSMT" w:eastAsia="TimesNewRomanPSMT"/>
                <w:b w:val="0"/>
                <w:i w:val="0"/>
                <w:color w:val="010101"/>
                <w:sz w:val="9"/>
              </w:rPr>
              <w:t>1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10101"/>
                <w:sz w:val="15"/>
              </w:rPr>
              <w:t>λ</w:t>
            </w:r>
            <w:r>
              <w:rPr>
                <w:w w:val="95.45104768541124"/>
                <w:rFonts w:ascii="Times" w:hAnsi="Times" w:eastAsia="Times"/>
                <w:b w:val="0"/>
                <w:i/>
                <w:color w:val="010101"/>
                <w:sz w:val="9"/>
              </w:rPr>
              <w:t xml:space="preserve">i </w:t>
            </w:r>
            <w:r>
              <w:rPr>
                <w:rFonts w:ascii="Times" w:hAnsi="Times" w:eastAsia="Times"/>
                <w:b w:val="0"/>
                <w:i/>
                <w:color w:val="010101"/>
                <w:sz w:val="15"/>
              </w:rPr>
              <w:t>H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32" w:after="0"/>
              <w:ind w:left="0" w:right="0" w:firstLine="0"/>
              <w:jc w:val="center"/>
            </w:pPr>
            <w:r>
              <w:rPr>
                <w:w w:val="95.45104768541124"/>
                <w:rFonts w:ascii="Times" w:hAnsi="Times" w:eastAsia="Times"/>
                <w:b w:val="0"/>
                <w:i/>
                <w:color w:val="010101"/>
                <w:sz w:val="9"/>
              </w:rPr>
              <w:t>i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" w:val="left"/>
                <w:tab w:pos="190" w:val="left"/>
                <w:tab w:pos="310" w:val="left"/>
              </w:tabs>
              <w:autoSpaceDE w:val="0"/>
              <w:widowControl/>
              <w:spacing w:line="232" w:lineRule="exact" w:before="330" w:after="0"/>
              <w:ind w:left="20" w:right="0" w:firstLine="0"/>
              <w:jc w:val="left"/>
            </w:pPr>
            <w:r>
              <w:rPr>
                <w:w w:val="102.34555138481988"/>
                <w:rFonts w:ascii="Times" w:hAnsi="Times" w:eastAsia="Times"/>
                <w:b w:val="0"/>
                <w:i/>
                <w:color w:val="010101"/>
                <w:sz w:val="9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10101"/>
                <w:sz w:val="24"/>
              </w:rPr>
              <w:t>∑</w:t>
            </w:r>
            <w:r>
              <w:rPr>
                <w:rFonts w:ascii="SymbolMT" w:hAnsi="SymbolMT" w:eastAsia="SymbolMT"/>
                <w:b w:val="0"/>
                <w:i w:val="0"/>
                <w:color w:val="010101"/>
                <w:sz w:val="16"/>
              </w:rPr>
              <w:t>ω</w:t>
            </w:r>
            <w:r>
              <w:rPr>
                <w:w w:val="102.34555138481988"/>
                <w:rFonts w:ascii="Times" w:hAnsi="Times" w:eastAsia="Times"/>
                <w:b w:val="0"/>
                <w:i/>
                <w:color w:val="010101"/>
                <w:sz w:val="9"/>
              </w:rPr>
              <w:t>i</w:t>
            </w:r>
          </w:p>
          <w:p>
            <w:pPr>
              <w:autoSpaceDN w:val="0"/>
              <w:autoSpaceDE w:val="0"/>
              <w:widowControl/>
              <w:spacing w:line="102" w:lineRule="exact" w:before="0" w:after="0"/>
              <w:ind w:left="46" w:right="0" w:firstLine="0"/>
              <w:jc w:val="left"/>
            </w:pPr>
            <w:r>
              <w:rPr>
                <w:w w:val="102.34555138481988"/>
                <w:rFonts w:ascii="Times" w:hAnsi="Times" w:eastAsia="Times"/>
                <w:b w:val="0"/>
                <w:i/>
                <w:color w:val="010101"/>
                <w:sz w:val="9"/>
              </w:rPr>
              <w:t xml:space="preserve">i </w:t>
            </w:r>
            <w:r>
              <w:rPr>
                <w:w w:val="102.34555138481988"/>
                <w:rFonts w:ascii="SymbolMT" w:hAnsi="SymbolMT" w:eastAsia="SymbolMT"/>
                <w:b w:val="0"/>
                <w:i w:val="0"/>
                <w:color w:val="010101"/>
                <w:sz w:val="9"/>
              </w:rPr>
              <w:t xml:space="preserve">= </w:t>
            </w:r>
            <w:r>
              <w:rPr>
                <w:w w:val="102.34555138481988"/>
                <w:rFonts w:ascii="TimesNewRomanPSMT" w:hAnsi="TimesNewRomanPSMT" w:eastAsia="TimesNewRomanPSMT"/>
                <w:b w:val="0"/>
                <w:i w:val="0"/>
                <w:color w:val="010101"/>
                <w:sz w:val="9"/>
              </w:rPr>
              <w:t>1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3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6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</w:tr>
      <w:tr>
        <w:trPr>
          <w:trHeight w:hRule="exact" w:val="460"/>
        </w:trPr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" w:after="0"/>
              <w:ind w:left="0" w:right="6" w:firstLine="0"/>
              <w:jc w:val="righ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式中：</w:t>
            </w:r>
            <w:r>
              <w:rPr>
                <w:rFonts w:ascii="SymbolMT" w:hAnsi="SymbolMT" w:eastAsia="SymbolMT"/>
                <w:b w:val="0"/>
                <w:i w:val="0"/>
                <w:color w:val="010101"/>
                <w:sz w:val="16"/>
              </w:rPr>
              <w:t>λ</w:t>
            </w:r>
          </w:p>
          <w:p>
            <w:pPr>
              <w:autoSpaceDN w:val="0"/>
              <w:autoSpaceDE w:val="0"/>
              <w:widowControl/>
              <w:spacing w:line="74" w:lineRule="exact" w:before="0" w:after="0"/>
              <w:ind w:left="0" w:right="38" w:firstLine="0"/>
              <w:jc w:val="right"/>
            </w:pPr>
            <w:r>
              <w:rPr>
                <w:w w:val="95.42999948774066"/>
                <w:rFonts w:ascii="Times" w:hAnsi="Times" w:eastAsia="Times"/>
                <w:b w:val="0"/>
                <w:i/>
                <w:color w:val="010101"/>
                <w:sz w:val="7"/>
              </w:rPr>
              <w:t>i</w:t>
            </w:r>
          </w:p>
        </w:tc>
        <w:tc>
          <w:tcPr>
            <w:tcW w:type="dxa" w:w="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10101"/>
                <w:sz w:val="16"/>
              </w:rPr>
              <w:t>=</w:t>
            </w:r>
          </w:p>
        </w:tc>
        <w:tc>
          <w:tcPr>
            <w:tcW w:type="dxa" w:w="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10101"/>
                <w:sz w:val="16"/>
              </w:rPr>
              <w:t>ω</w:t>
            </w:r>
            <w:r>
              <w:rPr>
                <w:w w:val="102.34555138481988"/>
                <w:rFonts w:ascii="Times" w:hAnsi="Times" w:eastAsia="Times"/>
                <w:b w:val="0"/>
                <w:i/>
                <w:color w:val="010101"/>
                <w:sz w:val="9"/>
              </w:rPr>
              <w:t>i</w:t>
            </w:r>
          </w:p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10101"/>
                <w:sz w:val="16"/>
              </w:rPr>
              <w:t>/</w:t>
            </w:r>
          </w:p>
        </w:tc>
        <w:tc>
          <w:tcPr>
            <w:tcW w:type="dxa" w:w="1310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2" w:after="0"/>
              <w:ind w:left="3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；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H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为第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i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个评价指标的熵；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m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为评价指</w:t>
            </w:r>
          </w:p>
        </w:tc>
      </w:tr>
    </w:tbl>
    <w:p>
      <w:pPr>
        <w:autoSpaceDN w:val="0"/>
        <w:autoSpaceDE w:val="0"/>
        <w:widowControl/>
        <w:spacing w:line="185" w:lineRule="auto" w:before="92" w:after="0"/>
        <w:ind w:left="734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标个数。</w:t>
      </w:r>
    </w:p>
    <w:p>
      <w:pPr>
        <w:autoSpaceDN w:val="0"/>
        <w:autoSpaceDE w:val="0"/>
        <w:widowControl/>
        <w:spacing w:line="185" w:lineRule="auto" w:before="178" w:after="0"/>
        <w:ind w:left="734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0"/>
        </w:rPr>
        <w:t>2.2 风险接受准则</w:t>
      </w:r>
    </w:p>
    <w:p>
      <w:pPr>
        <w:autoSpaceDN w:val="0"/>
        <w:autoSpaceDE w:val="0"/>
        <w:widowControl/>
        <w:spacing w:line="276" w:lineRule="exact" w:before="76" w:after="0"/>
        <w:ind w:left="734" w:right="0" w:firstLine="368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地铁及地下工程建设期间的工程风险是不可避免的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但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是需要评估这些风险是否可接受以及接受程度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这将决定需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要采取哪些风险控制对策和处置措施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在风险评估过程中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需要预先确定风险等级和接受准则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以便于更好地评估和管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理工程风险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基于风险引发的概率和损失的严重程度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通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过调查研究对国际通用的ALARP 风险等级评定准则进行改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进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按风险指数的大小在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~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划分为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个级别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该文基于这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种改进的风险等级判定方法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对兰州地铁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号线区间盾构施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工风险等级进行定义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见表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5" w:lineRule="auto" w:before="172" w:after="0"/>
        <w:ind w:left="734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1"/>
        </w:rPr>
        <w:t>3 地铁区间盾构施工风险评价的指标体系及问卷调</w:t>
      </w:r>
    </w:p>
    <w:p>
      <w:pPr>
        <w:sectPr>
          <w:type w:val="continuous"/>
          <w:pgSz w:w="11906" w:h="16838"/>
          <w:pgMar w:top="382" w:right="1024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96" w:right="20" w:firstLine="368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二级指标的风险值是根据风险事件发生的概率等级和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损失等级标准相结合确定的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它反映了风险事件发生的可能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性和后果对风险值的影响关系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也就是说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风险值与风险概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率和后果之间存在紧密的相互关系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见表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熵度量法则根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据表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通过专家对各风险发生的概率以及产生的后果损失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进行问卷调查得到底层风险评价矩阵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然后计算各评价对象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信息熵和权重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；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再计算总体风险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盾构施工风险和组织管理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风险的主要调查对象为现场施工技术人员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环境风险和自然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地质风险调查对象为行业专家共发出问卷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份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收回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份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5" w:lineRule="auto" w:before="166" w:after="0"/>
        <w:ind w:left="96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1"/>
        </w:rPr>
        <w:t>4 实例分析</w:t>
      </w:r>
    </w:p>
    <w:p>
      <w:pPr>
        <w:autoSpaceDN w:val="0"/>
        <w:autoSpaceDE w:val="0"/>
        <w:widowControl/>
        <w:spacing w:line="270" w:lineRule="exact" w:before="92" w:after="36"/>
        <w:ind w:left="96" w:right="0" w:firstLine="368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该文选取兰州轨道交通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号线奥体中心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—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世纪大道区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间盾构施工过程进行实例分析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该区间隧道的建造将使用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泥水平衡盾构技术进行施工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盾构进出洞地基加固采用地面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6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 素地连墙+ 地面PVC 注浆+ 地面降水的方法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具体概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况如下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：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区间设计里程为YCK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9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+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908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088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~YCK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12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+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028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097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全长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2120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009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均为双线隧道组成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下穿黄河段里程为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YCK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+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477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000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~YCK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+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794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000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长度为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317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m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6" w:h="16838"/>
          <w:pgMar w:top="382" w:right="1024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p>
      <w:pPr>
        <w:autoSpaceDN w:val="0"/>
        <w:tabs>
          <w:tab w:pos="6062" w:val="left"/>
        </w:tabs>
        <w:autoSpaceDE w:val="0"/>
        <w:widowControl/>
        <w:spacing w:line="185" w:lineRule="auto" w:before="0" w:after="238"/>
        <w:ind w:left="734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1"/>
        </w:rPr>
        <w:t>查</w:t>
      </w:r>
      <w:r>
        <w:tab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在该案例中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选择运用熵度量法对问卷结果进行综合分</w:t>
      </w:r>
    </w:p>
    <w:p>
      <w:pPr>
        <w:sectPr>
          <w:type w:val="continuous"/>
          <w:pgSz w:w="11906" w:h="16838"/>
          <w:pgMar w:top="382" w:right="102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02" w:val="left"/>
        </w:tabs>
        <w:autoSpaceDE w:val="0"/>
        <w:widowControl/>
        <w:spacing w:line="245" w:lineRule="auto" w:before="0" w:after="0"/>
        <w:ind w:left="734" w:right="0" w:firstLine="0"/>
        <w:jc w:val="left"/>
      </w:pPr>
      <w:r>
        <w:rPr>
          <w:rFonts w:ascii="FZHTK" w:hAnsi="FZHTK" w:eastAsia="FZHTK"/>
          <w:b w:val="0"/>
          <w:i w:val="0"/>
          <w:color w:val="221F1F"/>
          <w:sz w:val="20"/>
        </w:rPr>
        <w:t xml:space="preserve">3.1 盾构施工风险评价指标体系 </w:t>
      </w:r>
      <w:r>
        <w:br/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根据兰州地区的工程地质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水文条件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沿线环境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结合</w:t>
      </w:r>
    </w:p>
    <w:p>
      <w:pPr>
        <w:sectPr>
          <w:type w:val="continuous"/>
          <w:pgSz w:w="11906" w:h="16838"/>
          <w:pgMar w:top="382" w:right="1024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302"/>
        <w:ind w:left="142" w:right="110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析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使调查结果能够更好地反映实际风险情况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首先对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份一级指标盾构施工设备风险进行评价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根据表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一级指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标施工风险共包括盾构进出洞加固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盾构区间进出洞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</w:t>
      </w:r>
    </w:p>
    <w:p>
      <w:pPr>
        <w:sectPr>
          <w:type w:val="nextColumn"/>
          <w:pgSz w:w="11906" w:h="16838"/>
          <w:pgMar w:top="382" w:right="1024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2"/>
        <w:ind w:left="0" w:right="3212" w:firstLine="0"/>
        <w:jc w:val="right"/>
      </w:pPr>
      <w:r>
        <w:rPr>
          <w:rFonts w:ascii="FZSSK" w:hAnsi="FZSSK" w:eastAsia="FZSSK"/>
          <w:b w:val="0"/>
          <w:i w:val="0"/>
          <w:color w:val="221F1F"/>
          <w:sz w:val="16"/>
        </w:rPr>
        <w:t xml:space="preserve"> 表2  兰州地铁区间盾构施工风险评价指标体系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6.0" w:type="dxa"/>
      </w:tblPr>
      <w:tblGrid>
        <w:gridCol w:w="3494"/>
        <w:gridCol w:w="3494"/>
        <w:gridCol w:w="3494"/>
      </w:tblGrid>
      <w:tr>
        <w:trPr>
          <w:trHeight w:hRule="exact" w:val="196"/>
        </w:trPr>
        <w:tc>
          <w:tcPr>
            <w:tcW w:type="dxa" w:w="260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目标层</w:t>
            </w:r>
          </w:p>
        </w:tc>
        <w:tc>
          <w:tcPr>
            <w:tcW w:type="dxa" w:w="255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一级指标</w:t>
            </w:r>
          </w:p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二级指标</w:t>
            </w:r>
          </w:p>
        </w:tc>
      </w:tr>
      <w:tr>
        <w:trPr>
          <w:trHeight w:hRule="exact" w:val="198"/>
        </w:trPr>
        <w:tc>
          <w:tcPr>
            <w:tcW w:type="dxa" w:w="2606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38" w:after="0"/>
              <w:ind w:left="288" w:right="288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兰州地铁区间盾构施工</w:t>
            </w:r>
            <w:r>
              <w:br/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过程风险评估指标体系（U）</w:t>
            </w:r>
          </w:p>
        </w:tc>
        <w:tc>
          <w:tcPr>
            <w:tcW w:type="dxa" w:w="2552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施工技术风险（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V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盾构进出洞加固风险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</w:t>
            </w:r>
          </w:p>
        </w:tc>
      </w:tr>
      <w:tr>
        <w:trPr>
          <w:trHeight w:hRule="exact" w:val="194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盾构区间进出洞风险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2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盾构推进风险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3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联络通道兼泵房施工风险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4</w:t>
            </w:r>
          </w:p>
        </w:tc>
      </w:tr>
      <w:tr>
        <w:trPr>
          <w:trHeight w:hRule="exact" w:val="196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竖井围护、开挖及结构施工风险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5</w:t>
            </w:r>
          </w:p>
        </w:tc>
      </w:tr>
      <w:tr>
        <w:trPr>
          <w:trHeight w:hRule="exact" w:val="196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2552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周边环境风险（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V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穿越周边管线风险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6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穿越周边建、构筑物风险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7</w:t>
            </w:r>
          </w:p>
        </w:tc>
      </w:tr>
      <w:tr>
        <w:trPr>
          <w:trHeight w:hRule="exact" w:val="194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穿越河堤、引桥、路基风险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8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临近桥梁风险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9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2552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 水文及地质风险（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V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地下水位变化风险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10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河床冲刷河道行洪风险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11</w:t>
            </w:r>
          </w:p>
        </w:tc>
      </w:tr>
      <w:tr>
        <w:trPr>
          <w:trHeight w:hRule="exact" w:val="194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穿越河流涌水风险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12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砂卵石层失稳风险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13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遇湿陷性黄土、膨胀性岩风险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14</w:t>
            </w:r>
          </w:p>
        </w:tc>
      </w:tr>
      <w:tr>
        <w:trPr>
          <w:trHeight w:hRule="exact" w:val="194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遇地下空洞风险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15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2552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组织管理风险（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V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管理制度不健全风险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16</w:t>
            </w:r>
          </w:p>
        </w:tc>
      </w:tr>
      <w:tr>
        <w:trPr>
          <w:trHeight w:hRule="exact" w:val="198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施工人员安全意识不足风险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17</w:t>
            </w:r>
          </w:p>
        </w:tc>
      </w:tr>
      <w:tr>
        <w:trPr>
          <w:trHeight w:hRule="exact" w:val="194"/>
        </w:trPr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3494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446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违规操作风险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x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2"/>
      </w:tblGrid>
      <w:tr>
        <w:trPr>
          <w:trHeight w:hRule="exact" w:val="306"/>
        </w:trPr>
        <w:tc>
          <w:tcPr>
            <w:tcW w:type="dxa" w:w="10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ZY3K" w:hAnsi="FZY3K" w:eastAsia="FZY3K"/>
                <w:b w:val="0"/>
                <w:i w:val="0"/>
                <w:color w:val="221F1F"/>
                <w:sz w:val="18"/>
              </w:rPr>
              <w:t>- 86 -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382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9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4000" cy="19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42"/>
        <w:sectPr>
          <w:pgSz w:w="11906" w:h="16838"/>
          <w:pgMar w:top="370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734" w:right="142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推进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联络通道兼泵房施工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竖井围护开挖及结构施工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5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二级指标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根据现场施工技术人员的调查结果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可得到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5×18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原始矩阵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如公式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5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所示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6" w:h="16838"/>
          <w:pgMar w:top="370" w:right="1024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142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~ 世纪大道区间盾构施工风险评估结果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见表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70" w:lineRule="exact" w:before="0" w:after="26"/>
        <w:ind w:left="142" w:right="0" w:firstLine="368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风险管控措施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：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奥体中心站~ 世纪大道站区间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总体风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险值为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3360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风险等级为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级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针对该文的分析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在施工</w:t>
      </w:r>
    </w:p>
    <w:p>
      <w:pPr>
        <w:sectPr>
          <w:type w:val="nextColumn"/>
          <w:pgSz w:w="11906" w:h="16838"/>
          <w:pgMar w:top="370" w:right="1024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hRule="exact" w:val="238"/>
        </w:trPr>
        <w:tc>
          <w:tcPr>
            <w:tcW w:type="dxa" w:w="740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98" w:after="0"/>
              <w:ind w:left="0" w:right="28" w:firstLine="0"/>
              <w:jc w:val="right"/>
            </w:pPr>
            <w:r>
              <w:rPr>
                <w:rFonts w:ascii="Times" w:hAnsi="Times" w:eastAsia="Times"/>
                <w:b/>
                <w:i/>
                <w:color w:val="221F1F"/>
                <w:sz w:val="16"/>
              </w:rPr>
              <w:t xml:space="preserve">R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'</w:t>
            </w:r>
            <w:r>
              <w:rPr>
                <w:w w:val="98.70666927761502"/>
                <w:rFonts w:ascii="FZSSK" w:hAnsi="FZSSK" w:eastAsia="FZSSK"/>
                <w:b w:val="0"/>
                <w:i w:val="0"/>
                <w:color w:val="221F1F"/>
                <w:sz w:val="9"/>
              </w:rPr>
              <w:t>设备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7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=</w:t>
            </w:r>
          </w:p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6" w:right="0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■</w:t>
            </w:r>
          </w:p>
        </w:tc>
        <w:tc>
          <w:tcPr>
            <w:tcW w:type="dxa" w:w="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5</w:t>
            </w:r>
          </w:p>
        </w:tc>
        <w:tc>
          <w:tcPr>
            <w:tcW w:type="dxa" w:w="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" w:right="204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■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6"/>
              </w:rPr>
              <w:t>■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过程中应关注以下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个方面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：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对深安大桥匝道桩基采用</w:t>
            </w:r>
          </w:p>
        </w:tc>
      </w:tr>
      <w:tr>
        <w:trPr>
          <w:trHeight w:hRule="exact" w:val="240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注浆加固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盾构通过期间准备好桩基托换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、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在隧道与桩基间</w:t>
            </w:r>
          </w:p>
        </w:tc>
      </w:tr>
      <w:tr>
        <w:trPr>
          <w:trHeight w:hRule="exact" w:val="64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8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施作隔离桩等应急处理措施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在下穿建构筑物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、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管线和</w:t>
            </w:r>
          </w:p>
        </w:tc>
      </w:tr>
      <w:tr>
        <w:trPr>
          <w:trHeight w:hRule="exact" w:val="180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22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2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1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黄河期间严格控制隧道的中心线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使其尽可能平稳地前进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</w:p>
        </w:tc>
      </w:tr>
      <w:tr>
        <w:trPr>
          <w:trHeight w:hRule="exact" w:val="158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28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4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并采取有效的方法对其进行校正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以提高灌浆的质量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同时</w:t>
            </w:r>
          </w:p>
        </w:tc>
      </w:tr>
      <w:tr>
        <w:trPr>
          <w:trHeight w:hRule="exact" w:val="120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6" w:after="0"/>
              <w:ind w:left="30" w:right="1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■</w:t>
            </w:r>
          </w:p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0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8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8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6" w:after="0"/>
              <w:ind w:left="10" w:right="202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■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 xml:space="preserve">| 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■</w:t>
            </w:r>
          </w:p>
        </w:tc>
        <w:tc>
          <w:tcPr>
            <w:tcW w:type="dxa" w:w="283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6"/>
        </w:trPr>
        <w:tc>
          <w:tcPr>
            <w:tcW w:type="dxa" w:w="64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0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7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最大限度地减少盾构掘进对周边地质环境造成的干扰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穿</w:t>
            </w:r>
          </w:p>
        </w:tc>
      </w:tr>
      <w:tr>
        <w:trPr>
          <w:trHeight w:hRule="exact" w:val="252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0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78"/>
            <w:gridSpan w:val="3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越黄河段盾构推进须做好高水压下盾尾密封失效的预防和</w:t>
            </w:r>
          </w:p>
        </w:tc>
      </w:tr>
      <w:tr>
        <w:trPr>
          <w:trHeight w:hRule="exact" w:val="168"/>
        </w:trPr>
        <w:tc>
          <w:tcPr>
            <w:tcW w:type="dxa" w:w="64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5"/>
              </w:rPr>
              <w:t>R</w:t>
            </w:r>
          </w:p>
        </w:tc>
        <w:tc>
          <w:tcPr>
            <w:tcW w:type="dxa" w:w="10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0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5"/>
              </w:rPr>
              <w:t>=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30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378"/>
            <w:gridSpan w:val="3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37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处理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漂石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、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砂卵石地段的掘进处理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针对具体的重要</w:t>
            </w:r>
          </w:p>
        </w:tc>
      </w:tr>
      <w:tr>
        <w:trPr>
          <w:trHeight w:hRule="exact" w:val="140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0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90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368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3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>
              <w:top w:sz="2.944000005722046" w:val="single" w:color="#221F1F"/>
            </w:tcBorders>
          </w:tcPr>
          <w:p/>
        </w:tc>
      </w:tr>
      <w:tr>
        <w:trPr>
          <w:trHeight w:hRule="exact" w:val="92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849"/>
            <w:gridSpan w:val="3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8"/>
        </w:trPr>
        <w:tc>
          <w:tcPr>
            <w:tcW w:type="dxa" w:w="64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right"/>
            </w:pPr>
            <w:r>
              <w:rPr>
                <w:w w:val="103.1749963760376"/>
                <w:rFonts w:ascii="FZSSK" w:hAnsi="FZSSK" w:eastAsia="FZSSK"/>
                <w:b w:val="0"/>
                <w:i w:val="0"/>
                <w:color w:val="221F1F"/>
                <w:sz w:val="8"/>
              </w:rPr>
              <w:t>设备</w:t>
            </w:r>
          </w:p>
        </w:tc>
        <w:tc>
          <w:tcPr>
            <w:tcW w:type="dxa" w:w="10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0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90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36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378"/>
            <w:gridSpan w:val="3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建构筑物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、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管线制定针对性的应急方案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运用信息化技</w:t>
            </w:r>
          </w:p>
        </w:tc>
      </w:tr>
      <w:tr>
        <w:trPr>
          <w:trHeight w:hRule="exact" w:val="248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0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90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6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8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术对工程施工进行全面管理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注重安全风险的监控预警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并</w:t>
            </w:r>
          </w:p>
        </w:tc>
      </w:tr>
      <w:tr>
        <w:trPr>
          <w:trHeight w:hRule="exact" w:val="58"/>
        </w:trPr>
        <w:tc>
          <w:tcPr>
            <w:tcW w:type="dxa" w:w="64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2.94400000572204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0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90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8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38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68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78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36"/>
            <w:gridSpan w:val="2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4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" w:after="0"/>
              <w:ind w:left="0" w:right="0" w:firstLine="0"/>
              <w:jc w:val="center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根据监测中获取的信息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动态调整施工参数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采取必要的措</w:t>
            </w:r>
          </w:p>
        </w:tc>
      </w:tr>
      <w:tr>
        <w:trPr>
          <w:trHeight w:hRule="exact" w:val="140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0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90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8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8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3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0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3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2</w:t>
            </w:r>
          </w:p>
        </w:tc>
        <w:tc>
          <w:tcPr>
            <w:tcW w:type="dxa" w:w="236"/>
            <w:gridSpan w:val="2"/>
            <w:vMerge w:val="restart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1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566"/>
            <w:gridSpan w:val="2"/>
            <w:vMerge/>
            <w:tcBorders>
              <w:bottom w:sz="2.944000005722046" w:val="single" w:color="#221F1F"/>
            </w:tcBorders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2"/>
        </w:trPr>
        <w:tc>
          <w:tcPr>
            <w:tcW w:type="dxa" w:w="640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0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390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8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283"/>
            <w:vMerge/>
            <w:tcBorders/>
          </w:tcPr>
          <w:p/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849"/>
            <w:gridSpan w:val="3"/>
            <w:vMerge/>
            <w:tcBorders/>
          </w:tcPr>
          <w:p/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566"/>
            <w:gridSpan w:val="2"/>
            <w:vMerge/>
            <w:tcBorders/>
          </w:tcPr>
          <w:p/>
        </w:tc>
        <w:tc>
          <w:tcPr>
            <w:tcW w:type="dxa" w:w="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36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3</w:t>
            </w:r>
          </w:p>
        </w:tc>
        <w:tc>
          <w:tcPr>
            <w:tcW w:type="dxa" w:w="283"/>
            <w:vMerge/>
            <w:tcBorders/>
          </w:tcPr>
          <w:p/>
        </w:tc>
        <w:tc>
          <w:tcPr>
            <w:tcW w:type="dxa" w:w="4880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0" w:after="0"/>
              <w:ind w:left="11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施来保障工程施工的安全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502"/>
        </w:trPr>
        <w:tc>
          <w:tcPr>
            <w:tcW w:type="dxa" w:w="283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283"/>
            <w:vMerge/>
            <w:tcBorders>
              <w:top w:sz="2.944000005722046" w:val="single" w:color="#221F1F"/>
            </w:tcBorders>
          </w:tcPr>
          <w:p/>
        </w:tc>
        <w:tc>
          <w:tcPr>
            <w:tcW w:type="dxa" w:w="3880"/>
            <w:gridSpan w:val="3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>表3  底层风险因素的风险值与发生概率、后果关系表</w:t>
            </w:r>
          </w:p>
        </w:tc>
        <w:tc>
          <w:tcPr>
            <w:tcW w:type="dxa" w:w="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0" w:right="0" w:firstLine="0"/>
              <w:jc w:val="center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114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21"/>
              </w:rPr>
              <w:t>5 结论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6" w:h="16838"/>
          <w:pgMar w:top="370" w:right="102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6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198"/>
        </w:trPr>
        <w:tc>
          <w:tcPr>
            <w:tcW w:type="dxa" w:w="1076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风险事件概率</w:t>
            </w:r>
          </w:p>
        </w:tc>
        <w:tc>
          <w:tcPr>
            <w:tcW w:type="dxa" w:w="3600"/>
            <w:gridSpan w:val="5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风险后果</w:t>
            </w:r>
          </w:p>
        </w:tc>
      </w:tr>
      <w:tr>
        <w:trPr>
          <w:trHeight w:hRule="exact" w:val="198"/>
        </w:trPr>
        <w:tc>
          <w:tcPr>
            <w:tcW w:type="dxa" w:w="1747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78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可忽略的</w:t>
            </w:r>
          </w:p>
        </w:tc>
        <w:tc>
          <w:tcPr>
            <w:tcW w:type="dxa" w:w="6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较轻的</w:t>
            </w:r>
          </w:p>
        </w:tc>
        <w:tc>
          <w:tcPr>
            <w:tcW w:type="dxa" w:w="6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严重的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非常严重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灾难性的</w:t>
            </w:r>
          </w:p>
        </w:tc>
      </w:tr>
      <w:tr>
        <w:trPr>
          <w:trHeight w:hRule="exact" w:val="194"/>
        </w:trPr>
        <w:tc>
          <w:tcPr>
            <w:tcW w:type="dxa" w:w="107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不可能</w:t>
            </w:r>
          </w:p>
        </w:tc>
        <w:tc>
          <w:tcPr>
            <w:tcW w:type="dxa" w:w="78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1</w:t>
            </w:r>
          </w:p>
        </w:tc>
        <w:tc>
          <w:tcPr>
            <w:tcW w:type="dxa" w:w="6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1</w:t>
            </w:r>
          </w:p>
        </w:tc>
        <w:tc>
          <w:tcPr>
            <w:tcW w:type="dxa" w:w="6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</w:t>
            </w:r>
          </w:p>
        </w:tc>
      </w:tr>
      <w:tr>
        <w:trPr>
          <w:trHeight w:hRule="exact" w:val="198"/>
        </w:trPr>
        <w:tc>
          <w:tcPr>
            <w:tcW w:type="dxa" w:w="107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罕见的</w:t>
            </w:r>
          </w:p>
        </w:tc>
        <w:tc>
          <w:tcPr>
            <w:tcW w:type="dxa" w:w="78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1</w:t>
            </w:r>
          </w:p>
        </w:tc>
        <w:tc>
          <w:tcPr>
            <w:tcW w:type="dxa" w:w="6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6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</w:t>
            </w:r>
          </w:p>
        </w:tc>
      </w:tr>
      <w:tr>
        <w:trPr>
          <w:trHeight w:hRule="exact" w:val="198"/>
        </w:trPr>
        <w:tc>
          <w:tcPr>
            <w:tcW w:type="dxa" w:w="107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偶尔的</w:t>
            </w:r>
          </w:p>
        </w:tc>
        <w:tc>
          <w:tcPr>
            <w:tcW w:type="dxa" w:w="78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1</w:t>
            </w:r>
          </w:p>
        </w:tc>
        <w:tc>
          <w:tcPr>
            <w:tcW w:type="dxa" w:w="6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6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5</w:t>
            </w:r>
          </w:p>
        </w:tc>
      </w:tr>
      <w:tr>
        <w:trPr>
          <w:trHeight w:hRule="exact" w:val="194"/>
        </w:trPr>
        <w:tc>
          <w:tcPr>
            <w:tcW w:type="dxa" w:w="107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可能的</w:t>
            </w:r>
          </w:p>
        </w:tc>
        <w:tc>
          <w:tcPr>
            <w:tcW w:type="dxa" w:w="78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6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6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5</w:t>
            </w:r>
          </w:p>
        </w:tc>
      </w:tr>
      <w:tr>
        <w:trPr>
          <w:trHeight w:hRule="exact" w:val="198"/>
        </w:trPr>
        <w:tc>
          <w:tcPr>
            <w:tcW w:type="dxa" w:w="107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频繁的</w:t>
            </w:r>
          </w:p>
        </w:tc>
        <w:tc>
          <w:tcPr>
            <w:tcW w:type="dxa" w:w="78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6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62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5</w:t>
            </w:r>
          </w:p>
        </w:tc>
        <w:tc>
          <w:tcPr>
            <w:tcW w:type="dxa" w:w="78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734" w:right="186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一级指标施工技术风险中盾构进出洞加固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盾构区间进出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洞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盾构推进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联络通道兼泵房施工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竖井围护开挖及结构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施工的信息熵如公式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6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所示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048" w:val="left"/>
        </w:tabs>
        <w:autoSpaceDE w:val="0"/>
        <w:widowControl/>
        <w:spacing w:line="222" w:lineRule="exact" w:before="50" w:after="0"/>
        <w:ind w:left="1102" w:right="0" w:firstLine="0"/>
        <w:jc w:val="left"/>
      </w:pP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H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={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9520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9615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7860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9597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.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9680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} 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（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6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）</w:t>
      </w:r>
    </w:p>
    <w:p>
      <w:pPr>
        <w:sectPr>
          <w:type w:val="continuous"/>
          <w:pgSz w:w="11906" w:h="16838"/>
          <w:pgMar w:top="370" w:right="1024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110"/>
        <w:ind w:left="96" w:right="108" w:firstLine="368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该文采用熵度量法与专家打分法相结合的综合集成法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对兰州轨道交通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号线区间盾构施工工程进行施工风险评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价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且提出相应的风险管控措施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不仅充分利用专家打分法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便于操作的优点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还引入信息熵概念对风险重要性权重的排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序进行一致性的科学检验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弥补了专家打分法主观性较强的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缺陷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使风险评价的结果更具说服力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存在的不足之处在于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该文在进行兰州地铁风险因素的识别时对人的行为因素考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虑较少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因此在以后的研究中会对风险因素的识别方面进一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步加强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使评价结果更精确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、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科学合理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6" w:h="16838"/>
          <w:pgMar w:top="370" w:right="1024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</w:tblGrid>
      <w:tr>
        <w:trPr>
          <w:trHeight w:hRule="exact" w:val="546"/>
        </w:trPr>
        <w:tc>
          <w:tcPr>
            <w:tcW w:type="dxa" w:w="518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264" w:lineRule="exact" w:before="0" w:after="0"/>
              <w:ind w:left="37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由此计算可得到施工技术风险下的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个二级指标的权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重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如公式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所示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54" w:right="0" w:firstLine="1980"/>
              <w:jc w:val="left"/>
            </w:pPr>
            <w:r>
              <w:rPr>
                <w:rFonts w:ascii="FZHTK" w:hAnsi="FZHTK" w:eastAsia="FZHTK"/>
                <w:b w:val="0"/>
                <w:i w:val="0"/>
                <w:color w:val="221F1F"/>
                <w:sz w:val="18"/>
              </w:rPr>
              <w:t>参考文献</w:t>
            </w:r>
            <w:r>
              <w:br/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[1] 陈美华，李杰. 地铁建设项目施工风险评价研究—以福州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地铁1号线项目为例[J]. 福建工程学院学报，2016，14（4）：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398-402.</w:t>
            </w:r>
          </w:p>
          <w:p>
            <w:pPr>
              <w:autoSpaceDN w:val="0"/>
              <w:autoSpaceDE w:val="0"/>
              <w:widowControl/>
              <w:spacing w:line="245" w:lineRule="auto" w:before="74" w:after="0"/>
              <w:ind w:left="154" w:right="0" w:firstLine="0"/>
              <w:jc w:val="left"/>
            </w:pP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 xml:space="preserve">[2]DUDDECK H.Challenges to Tunneling Engineers[J].Tunneling 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and Underground SpaceTechnology，1996，11（1）：5-10.</w:t>
            </w:r>
          </w:p>
          <w:p>
            <w:pPr>
              <w:autoSpaceDN w:val="0"/>
              <w:autoSpaceDE w:val="0"/>
              <w:widowControl/>
              <w:spacing w:line="245" w:lineRule="auto" w:before="74" w:after="0"/>
              <w:ind w:left="154" w:right="0" w:firstLine="0"/>
              <w:jc w:val="left"/>
            </w:pP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 xml:space="preserve">[3]REILLY J J.Management Process for Complex Underground and 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Tunneling Projeets[J].Tunneling and Underground Space Technology，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 xml:space="preserve"> 2000（17）：31-44.</w:t>
            </w:r>
          </w:p>
          <w:p>
            <w:pPr>
              <w:autoSpaceDN w:val="0"/>
              <w:autoSpaceDE w:val="0"/>
              <w:widowControl/>
              <w:spacing w:line="245" w:lineRule="auto" w:before="74" w:after="0"/>
              <w:ind w:left="0" w:right="88" w:firstLine="0"/>
              <w:jc w:val="right"/>
            </w:pP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 xml:space="preserve">[4]MOLAG M， BUHRE M. Risk Assessment Guidelines for Tunnels[J]. 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Safe and Reliable Tunnels Second International Symposium， 2006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（3）：1-10.</w:t>
            </w:r>
          </w:p>
          <w:p>
            <w:pPr>
              <w:autoSpaceDN w:val="0"/>
              <w:autoSpaceDE w:val="0"/>
              <w:widowControl/>
              <w:spacing w:line="245" w:lineRule="auto" w:before="74" w:after="0"/>
              <w:ind w:left="154" w:right="0" w:firstLine="0"/>
              <w:jc w:val="left"/>
            </w:pP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 xml:space="preserve">[5] 毛儒. 隧道工程风险评估[J]. 隧道建设，2003，23（2）：1-3. 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[6] 王公忠，刘星魁，李凤琴. 层次分析法的海底隧道盾构施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工风险评价[J]. 辽宁工程技术大学学报（自然科学版），2015，</w:t>
            </w:r>
            <w:r>
              <w:rPr>
                <w:rFonts w:ascii="FZKTK" w:hAnsi="FZKTK" w:eastAsia="FZKTK"/>
                <w:b w:val="0"/>
                <w:i w:val="0"/>
                <w:color w:val="221F1F"/>
                <w:sz w:val="18"/>
              </w:rPr>
              <w:t>34（11）：1240-1243.</w:t>
            </w:r>
          </w:p>
        </w:tc>
      </w:tr>
      <w:tr>
        <w:trPr>
          <w:trHeight w:hRule="exact" w:val="280"/>
        </w:trPr>
        <w:tc>
          <w:tcPr>
            <w:tcW w:type="dxa" w:w="44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742" w:right="0" w:firstLine="0"/>
              <w:jc w:val="left"/>
            </w:pP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ω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={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1287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1032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5740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1081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0859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}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552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518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256" w:lineRule="exact" w:before="0" w:after="0"/>
              <w:ind w:left="37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根据熵度量法的盾构施工风险评估模型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可以得到施工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技术风险的风险值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如公式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所示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55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E </w:t>
            </w:r>
            <w:r>
              <w:rPr>
                <w:w w:val="104.06200408935547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i </w:t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 xml:space="preserve">= </w:t>
            </w:r>
            <w:r>
              <w:rPr>
                <w:w w:val="104.06200408935547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1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λ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H</w:t>
            </w:r>
          </w:p>
        </w:tc>
        <w:tc>
          <w:tcPr>
            <w:tcW w:type="dxa" w:w="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78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2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i </w:t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 xml:space="preserve">= </w:t>
            </w:r>
            <w:r>
              <w:rPr>
                <w:w w:val="104.06200408935547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1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ω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H</w:t>
            </w:r>
          </w:p>
        </w:tc>
        <w:tc>
          <w:tcPr>
            <w:tcW w:type="dxa" w:w="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78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2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0 8599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" w:after="0"/>
              <w:ind w:left="0" w:right="3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552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518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260" w:lineRule="exact" w:before="0" w:after="0"/>
              <w:ind w:left="37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同理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可得到周边环境风险值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、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水文及地质风险值以及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组织管理风险值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个一级指标风险值如下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：</w:t>
            </w:r>
            <w:r>
              <w:br/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E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=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{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E</w:t>
            </w:r>
            <w:r>
              <w:rPr>
                <w:w w:val="96.46000428633256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1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E</w:t>
            </w:r>
            <w:r>
              <w:rPr>
                <w:w w:val="96.46000428633256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2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E</w:t>
            </w:r>
            <w:r>
              <w:rPr>
                <w:w w:val="96.46000428633256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E</w:t>
            </w:r>
            <w:r>
              <w:rPr>
                <w:w w:val="96.46000428633256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4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}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={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8599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5272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7856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4826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}</w:t>
            </w:r>
          </w:p>
        </w:tc>
        <w:tc>
          <w:tcPr>
            <w:tcW w:type="dxa" w:w="55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4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w w:val="101.11111534966363"/>
                <w:rFonts w:ascii="Times" w:hAnsi="Times" w:eastAsia="Times"/>
                <w:b w:val="0"/>
                <w:i/>
                <w:color w:val="221F1F"/>
                <w:sz w:val="18"/>
              </w:rPr>
              <w:t>λ</w:t>
            </w:r>
            <w:r>
              <w:rPr>
                <w:w w:val="96.46000428633256"/>
                <w:rFonts w:ascii="Times" w:hAnsi="Times" w:eastAsia="Times"/>
                <w:b w:val="0"/>
                <w:i/>
                <w:color w:val="221F1F"/>
                <w:sz w:val="11"/>
              </w:rPr>
              <w:t>i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=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{0.0598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0.2016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0.0914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 xml:space="preserve">0.2207}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8" w:firstLine="0"/>
              <w:jc w:val="right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9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55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518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264" w:lineRule="exact" w:before="0" w:after="0"/>
              <w:ind w:left="374" w:right="0" w:firstLine="0"/>
              <w:jc w:val="left"/>
            </w:pP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通过计算可知兰州地铁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 xml:space="preserve"> 号线奥体中心~ 世纪大道区间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盾构施工总体风险值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，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如公式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10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  <w:r>
              <w:rPr>
                <w:w w:val="101.11111534966363"/>
                <w:rFonts w:ascii="FZSSK" w:hAnsi="FZSSK" w:eastAsia="FZSSK"/>
                <w:b w:val="0"/>
                <w:i w:val="0"/>
                <w:color w:val="221F1F"/>
                <w:sz w:val="18"/>
              </w:rPr>
              <w:t>所示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552"/>
            <w:vMerge/>
            <w:tcBorders/>
          </w:tcPr>
          <w:p/>
        </w:tc>
      </w:tr>
      <w:tr>
        <w:trPr>
          <w:trHeight w:hRule="exact" w:val="66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8" w:after="0"/>
              <w:ind w:left="0" w:right="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>E</w:t>
            </w:r>
          </w:p>
        </w:tc>
        <w:tc>
          <w:tcPr>
            <w:tcW w:type="dxa" w:w="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0" w:firstLine="0"/>
              <w:jc w:val="center"/>
            </w:pPr>
            <w:r>
              <w:rPr>
                <w:w w:val="104.94000434875488"/>
                <w:rFonts w:ascii="FZSSK" w:hAnsi="FZSSK" w:eastAsia="FZSSK"/>
                <w:b w:val="0"/>
                <w:i w:val="0"/>
                <w:color w:val="221F1F"/>
                <w:sz w:val="10"/>
              </w:rPr>
              <w:t>总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8"/>
              </w:rPr>
              <w:t>=</w:t>
            </w:r>
          </w:p>
        </w:tc>
        <w:tc>
          <w:tcPr>
            <w:tcW w:type="dxa" w:w="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n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i </w:t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 xml:space="preserve">= </w:t>
            </w:r>
            <w:r>
              <w:rPr>
                <w:w w:val="104.06200408935547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9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λ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</w:t>
            </w:r>
          </w:p>
        </w:tc>
        <w:tc>
          <w:tcPr>
            <w:tcW w:type="dxa" w:w="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8" w:after="0"/>
              <w:ind w:left="28" w:right="3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|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</w:p>
        </w:tc>
        <w:tc>
          <w:tcPr>
            <w:tcW w:type="dxa" w:w="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m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27"/>
              </w:rPr>
              <w:t>Σ</w:t>
            </w:r>
          </w:p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 xml:space="preserve">j </w:t>
            </w:r>
            <w:r>
              <w:rPr>
                <w:w w:val="104.06200408935547"/>
                <w:rFonts w:ascii="SymbolMT" w:hAnsi="SymbolMT" w:eastAsia="SymbolMT"/>
                <w:b w:val="0"/>
                <w:i w:val="0"/>
                <w:color w:val="221F1F"/>
                <w:sz w:val="10"/>
              </w:rPr>
              <w:t xml:space="preserve">= </w:t>
            </w:r>
            <w:r>
              <w:rPr>
                <w:w w:val="104.06200408935547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1</w:t>
            </w:r>
          </w:p>
        </w:tc>
        <w:tc>
          <w:tcPr>
            <w:tcW w:type="dxa" w:w="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9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λ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8"/>
              </w:rPr>
              <w:t xml:space="preserve">E </w:t>
            </w:r>
            <w:r>
              <w:rPr>
                <w:w w:val="104.06200408935547"/>
                <w:rFonts w:ascii="Times" w:hAnsi="Times" w:eastAsia="Times"/>
                <w:b w:val="0"/>
                <w:i/>
                <w:color w:val="221F1F"/>
                <w:sz w:val="10"/>
              </w:rPr>
              <w:t>ij</w:t>
            </w:r>
          </w:p>
        </w:tc>
        <w:tc>
          <w:tcPr>
            <w:tcW w:type="dxa" w:w="2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 xml:space="preserve">| </w:t>
            </w: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=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32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F1F"/>
                <w:sz w:val="18"/>
              </w:rPr>
              <w:t>■</w:t>
            </w:r>
          </w:p>
        </w:tc>
        <w:tc>
          <w:tcPr>
            <w:tcW w:type="dxa" w:w="2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6" w:after="0"/>
              <w:ind w:left="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0 3360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0" w:after="0"/>
              <w:ind w:left="0" w:right="0" w:firstLine="0"/>
              <w:jc w:val="center"/>
            </w:pP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1.11111534966363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10</w:t>
            </w:r>
            <w:r>
              <w:rPr>
                <w:w w:val="101.11111534966363"/>
                <w:rFonts w:ascii="FZBSK" w:hAnsi="FZBSK" w:eastAsia="FZBSK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5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type w:val="continuous"/>
          <w:pgSz w:w="11906" w:h="16838"/>
          <w:pgMar w:top="370" w:right="102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734" w:right="140" w:firstLine="0"/>
        <w:jc w:val="both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式中：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E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个一级指标下第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个二级指标的风险；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λ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个一级指标下第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j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个二级指标的熵权；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λ</w:t>
      </w:r>
      <w:r>
        <w:rPr>
          <w:w w:val="96.46000428633256"/>
          <w:rFonts w:ascii="Times" w:hAnsi="Times" w:eastAsia="Times"/>
          <w:b w:val="0"/>
          <w:i/>
          <w:color w:val="221F1F"/>
          <w:sz w:val="11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为第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i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个一级指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标风险的熵权；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n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为一级指标的个数；</w:t>
      </w:r>
      <w:r>
        <w:rPr>
          <w:w w:val="101.11111534966363"/>
          <w:rFonts w:ascii="Times" w:hAnsi="Times" w:eastAsia="Times"/>
          <w:b w:val="0"/>
          <w:i/>
          <w:color w:val="221F1F"/>
          <w:sz w:val="18"/>
        </w:rPr>
        <w:t>m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为某一级指标下二</w:t>
      </w:r>
    </w:p>
    <w:p>
      <w:pPr>
        <w:autoSpaceDN w:val="0"/>
        <w:autoSpaceDE w:val="0"/>
        <w:widowControl/>
        <w:spacing w:line="185" w:lineRule="auto" w:before="62" w:after="0"/>
        <w:ind w:left="734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级指标的个数。</w:t>
      </w:r>
    </w:p>
    <w:p>
      <w:pPr>
        <w:autoSpaceDN w:val="0"/>
        <w:autoSpaceDE w:val="0"/>
        <w:widowControl/>
        <w:spacing w:line="214" w:lineRule="exact" w:before="56" w:after="0"/>
        <w:ind w:left="1102" w:right="0" w:firstLine="0"/>
        <w:jc w:val="left"/>
      </w:pP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通过以上计算</w:t>
      </w:r>
      <w:r>
        <w:rPr>
          <w:w w:val="101.11111534966363"/>
          <w:rFonts w:ascii="FZBSK" w:hAnsi="FZBSK" w:eastAsia="FZBSK"/>
          <w:b w:val="0"/>
          <w:i w:val="0"/>
          <w:color w:val="221F1F"/>
          <w:sz w:val="18"/>
        </w:rPr>
        <w:t>，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>根据表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可得兰州地铁</w:t>
      </w:r>
      <w:r>
        <w:rPr>
          <w:w w:val="101.11111534966363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1.11111534966363"/>
          <w:rFonts w:ascii="FZSSK" w:hAnsi="FZSSK" w:eastAsia="FZSSK"/>
          <w:b w:val="0"/>
          <w:i w:val="0"/>
          <w:color w:val="221F1F"/>
          <w:sz w:val="18"/>
        </w:rPr>
        <w:t xml:space="preserve"> 号线奥体中心</w:t>
      </w:r>
    </w:p>
    <w:p>
      <w:pPr>
        <w:sectPr>
          <w:type w:val="continuous"/>
          <w:pgSz w:w="11906" w:h="16838"/>
          <w:pgMar w:top="370" w:right="1024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2" w:right="0" w:firstLine="0"/>
        <w:jc w:val="left"/>
      </w:pPr>
      <w:r>
        <w:rPr>
          <w:rFonts w:ascii="FZKTK" w:hAnsi="FZKTK" w:eastAsia="FZKTK"/>
          <w:b w:val="0"/>
          <w:i w:val="0"/>
          <w:color w:val="221F1F"/>
          <w:sz w:val="18"/>
        </w:rPr>
        <w:t>[7] 苟敏. 地铁区间隧道盾构施工风险管理研究[D]. 青岛：青</w:t>
      </w:r>
      <w:r>
        <w:rPr>
          <w:rFonts w:ascii="FZKTK" w:hAnsi="FZKTK" w:eastAsia="FZKTK"/>
          <w:b w:val="0"/>
          <w:i w:val="0"/>
          <w:color w:val="221F1F"/>
          <w:sz w:val="18"/>
        </w:rPr>
        <w:t>岛理工大学，2014.</w:t>
      </w:r>
    </w:p>
    <w:p>
      <w:pPr>
        <w:autoSpaceDN w:val="0"/>
        <w:autoSpaceDE w:val="0"/>
        <w:widowControl/>
        <w:spacing w:line="245" w:lineRule="auto" w:before="74" w:after="582"/>
        <w:ind w:left="142" w:right="0" w:firstLine="0"/>
        <w:jc w:val="left"/>
      </w:pPr>
      <w:r>
        <w:rPr>
          <w:rFonts w:ascii="FZKTK" w:hAnsi="FZKTK" w:eastAsia="FZKTK"/>
          <w:b w:val="0"/>
          <w:i w:val="0"/>
          <w:color w:val="221F1F"/>
          <w:sz w:val="18"/>
        </w:rPr>
        <w:t>[8] 赵萌，李刚，陈凯. 基于熵的多属性决策方法及在区域经</w:t>
      </w:r>
      <w:r>
        <w:rPr>
          <w:rFonts w:ascii="FZKTK" w:hAnsi="FZKTK" w:eastAsia="FZKTK"/>
          <w:b w:val="0"/>
          <w:i w:val="0"/>
          <w:color w:val="221F1F"/>
          <w:sz w:val="18"/>
        </w:rPr>
        <w:t>济评价中的应用[M]. 北京：经济科学出版社，2013 ：65-68.</w:t>
      </w:r>
    </w:p>
    <w:p>
      <w:pPr>
        <w:sectPr>
          <w:type w:val="nextColumn"/>
          <w:pgSz w:w="11906" w:h="16838"/>
          <w:pgMar w:top="370" w:right="1024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4"/>
        <w:ind w:left="0" w:right="4150" w:firstLine="0"/>
        <w:jc w:val="right"/>
      </w:pPr>
      <w:r>
        <w:rPr>
          <w:rFonts w:ascii="FZSSK" w:hAnsi="FZSSK" w:eastAsia="FZSSK"/>
          <w:b w:val="0"/>
          <w:i w:val="0"/>
          <w:color w:val="221F1F"/>
          <w:sz w:val="16"/>
        </w:rPr>
        <w:t>表4  风险评估结果表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6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194"/>
        </w:trPr>
        <w:tc>
          <w:tcPr>
            <w:tcW w:type="dxa" w:w="748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2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类别</w:t>
            </w:r>
          </w:p>
        </w:tc>
        <w:tc>
          <w:tcPr>
            <w:tcW w:type="dxa" w:w="5992"/>
            <w:gridSpan w:val="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兰州地铁1号线奥世区间盾构施工风险评估</w:t>
            </w:r>
          </w:p>
        </w:tc>
        <w:tc>
          <w:tcPr>
            <w:tcW w:type="dxa" w:w="2894"/>
            <w:vMerge w:val="restart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奥世区间盾构施工总风险值（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总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</w:tr>
      <w:tr>
        <w:trPr>
          <w:trHeight w:hRule="exact" w:val="198"/>
        </w:trPr>
        <w:tc>
          <w:tcPr>
            <w:tcW w:type="dxa" w:w="1747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  <w:tc>
          <w:tcPr>
            <w:tcW w:type="dxa" w:w="143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施工技术风险（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5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周边环境风（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2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64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水文及地质风险（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38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组织管理风险（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w w:val="102.02499628067017"/>
                <w:rFonts w:ascii="FZSSK" w:hAnsi="FZSSK" w:eastAsia="FZSSK"/>
                <w:b w:val="0"/>
                <w:i w:val="0"/>
                <w:color w:val="221F1F"/>
                <w:sz w:val="8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747"/>
            <w:vMerge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</w:tcPr>
          <w:p/>
        </w:tc>
      </w:tr>
      <w:tr>
        <w:trPr>
          <w:trHeight w:hRule="exact" w:val="198"/>
        </w:trPr>
        <w:tc>
          <w:tcPr>
            <w:tcW w:type="dxa" w:w="74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风险值</w:t>
            </w:r>
          </w:p>
        </w:tc>
        <w:tc>
          <w:tcPr>
            <w:tcW w:type="dxa" w:w="143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0.8599</w:t>
            </w:r>
          </w:p>
        </w:tc>
        <w:tc>
          <w:tcPr>
            <w:tcW w:type="dxa" w:w="15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0.5272</w:t>
            </w:r>
          </w:p>
        </w:tc>
        <w:tc>
          <w:tcPr>
            <w:tcW w:type="dxa" w:w="164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0.7856</w:t>
            </w:r>
          </w:p>
        </w:tc>
        <w:tc>
          <w:tcPr>
            <w:tcW w:type="dxa" w:w="138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 0.4826</w:t>
            </w:r>
          </w:p>
        </w:tc>
        <w:tc>
          <w:tcPr>
            <w:tcW w:type="dxa" w:w="289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0.3360</w:t>
            </w:r>
          </w:p>
        </w:tc>
      </w:tr>
      <w:tr>
        <w:trPr>
          <w:trHeight w:hRule="exact" w:val="194"/>
        </w:trPr>
        <w:tc>
          <w:tcPr>
            <w:tcW w:type="dxa" w:w="748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风险等级</w:t>
            </w:r>
          </w:p>
        </w:tc>
        <w:tc>
          <w:tcPr>
            <w:tcW w:type="dxa" w:w="1432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4级</w:t>
            </w:r>
          </w:p>
        </w:tc>
        <w:tc>
          <w:tcPr>
            <w:tcW w:type="dxa" w:w="1530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3级 </w:t>
            </w:r>
          </w:p>
        </w:tc>
        <w:tc>
          <w:tcPr>
            <w:tcW w:type="dxa" w:w="1646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 4级</w:t>
            </w:r>
          </w:p>
        </w:tc>
        <w:tc>
          <w:tcPr>
            <w:tcW w:type="dxa" w:w="138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 3级</w:t>
            </w:r>
          </w:p>
        </w:tc>
        <w:tc>
          <w:tcPr>
            <w:tcW w:type="dxa" w:w="2894"/>
            <w:tcBorders>
              <w:start w:sz="0.800000011920929" w:val="single" w:color="#221F1F"/>
              <w:top w:sz="0.800000011920929" w:val="single" w:color="#221F1F"/>
              <w:end w:sz="0.800000011920929" w:val="single" w:color="#221F1F"/>
              <w:bottom w:sz="0.80000001192092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2级</w:t>
            </w:r>
          </w:p>
        </w:tc>
      </w:tr>
    </w:tbl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1"/>
        <w:gridCol w:w="5241"/>
      </w:tblGrid>
      <w:tr>
        <w:trPr>
          <w:trHeight w:hRule="exact" w:val="306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FZY3K" w:hAnsi="FZY3K" w:eastAsia="FZY3K"/>
                <w:b w:val="0"/>
                <w:i w:val="0"/>
                <w:color w:val="221F1F"/>
                <w:sz w:val="18"/>
              </w:rPr>
              <w:t>- 87 -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370" w:right="102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