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469900</wp:posOffset>
            </wp:positionV>
            <wp:extent cx="6299200" cy="3302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30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282"/>
        <w:gridCol w:w="5282"/>
      </w:tblGrid>
      <w:tr>
        <w:trPr>
          <w:trHeight w:hRule="exact" w:val="2498"/>
        </w:trPr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94" w:lineRule="exact" w:before="150" w:after="0"/>
              <w:ind w:left="374" w:right="0" w:firstLine="0"/>
              <w:jc w:val="left"/>
            </w:pPr>
            <w:r>
              <w:rPr>
                <w:rFonts w:ascii="NotoSansHans" w:hAnsi="NotoSansHans" w:eastAsia="NotoSansHans"/>
                <w:b/>
                <w:i w:val="0"/>
                <w:color w:val="221F1F"/>
                <w:sz w:val="44"/>
              </w:rPr>
              <w:t>淤泥质土中微风化花岗岩侵入段</w:t>
            </w:r>
            <w:r>
              <w:rPr>
                <w:rFonts w:ascii="NotoSansHans" w:hAnsi="NotoSansHans" w:eastAsia="NotoSansHans"/>
                <w:b/>
                <w:i w:val="0"/>
                <w:color w:val="221F1F"/>
                <w:sz w:val="44"/>
              </w:rPr>
              <w:t>超大直径盾构掘进分析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6" w:lineRule="exact" w:before="0" w:after="0"/>
              <w:ind w:left="736" w:right="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color w:val="57585A"/>
                <w:sz w:val="16"/>
              </w:rPr>
              <w:t xml:space="preserve">PROJECT MANAGEMENT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20"/>
              </w:rPr>
              <w:t>工程技术交流</w:t>
            </w:r>
          </w:p>
        </w:tc>
      </w:tr>
    </w:tbl>
    <w:p>
      <w:pPr>
        <w:autoSpaceDN w:val="0"/>
        <w:autoSpaceDE w:val="0"/>
        <w:widowControl/>
        <w:spacing w:line="630" w:lineRule="exact" w:before="14" w:after="0"/>
        <w:ind w:left="714" w:right="0" w:firstLine="0"/>
        <w:jc w:val="left"/>
      </w:pPr>
      <w:r>
        <w:rPr>
          <w:rFonts w:ascii="NotoSansHans" w:hAnsi="NotoSansHans" w:eastAsia="NotoSansHans"/>
          <w:b w:val="0"/>
          <w:i w:val="0"/>
          <w:color w:val="221F1F"/>
          <w:sz w:val="22"/>
        </w:rPr>
        <w:t>廖文江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（广州地铁工程咨询有限公司,    广东    广州    511400）</w:t>
      </w:r>
    </w:p>
    <w:p>
      <w:pPr>
        <w:autoSpaceDN w:val="0"/>
        <w:autoSpaceDE w:val="0"/>
        <w:widowControl/>
        <w:spacing w:line="260" w:lineRule="exact" w:before="198" w:after="0"/>
        <w:ind w:left="714" w:right="0" w:firstLine="0"/>
        <w:jc w:val="left"/>
      </w:pPr>
      <w:r>
        <w:rPr>
          <w:rFonts w:ascii="NotoSansHans" w:hAnsi="NotoSansHans" w:eastAsia="NotoSansHans"/>
          <w:b/>
          <w:i w:val="0"/>
          <w:color w:val="221F1F"/>
          <w:sz w:val="16"/>
        </w:rPr>
        <w:t>摘    要：</w:t>
      </w:r>
      <w:r>
        <w:rPr>
          <w:rFonts w:ascii="NotoSansHans" w:hAnsi="NotoSansHans" w:eastAsia="NotoSansHans"/>
          <w:b w:val="0"/>
          <w:i w:val="0"/>
          <w:color w:val="221F1F"/>
          <w:sz w:val="16"/>
        </w:rPr>
        <w:t>以珠海隧道项目为研究对象,对盾构掘进过程中通过基岩地层侵入段时会面临的风险进行了分析,并且针对不同的情况提出了应对</w:t>
      </w:r>
      <w:r>
        <w:rPr>
          <w:rFonts w:ascii="NotoSansHans" w:hAnsi="NotoSansHans" w:eastAsia="NotoSansHans"/>
          <w:b w:val="0"/>
          <w:i w:val="0"/>
          <w:color w:val="221F1F"/>
          <w:sz w:val="16"/>
        </w:rPr>
        <w:t>措施并对其实施效果进行了对比。结果表明：为了防范地质风险,应当采用地质研判技术对盾构声音、参数变化、渣样分析三个方面进行</w:t>
      </w:r>
      <w:r>
        <w:rPr>
          <w:rFonts w:ascii="NotoSansHans" w:hAnsi="NotoSansHans" w:eastAsia="NotoSansHans"/>
          <w:b w:val="0"/>
          <w:i w:val="0"/>
          <w:color w:val="221F1F"/>
          <w:sz w:val="16"/>
        </w:rPr>
        <w:t>综合分析,以达到提前预判的效果;应加强对刀具的管理,根据刀具消耗情况制定合理的抽检、更换标准,以保障超大直径盾构的开挖能力;</w:t>
      </w:r>
      <w:r>
        <w:rPr>
          <w:rFonts w:ascii="NotoSansHans" w:hAnsi="NotoSansHans" w:eastAsia="NotoSansHans"/>
          <w:b w:val="0"/>
          <w:i w:val="0"/>
          <w:color w:val="221F1F"/>
          <w:sz w:val="16"/>
        </w:rPr>
        <w:t>应重点控制泥水压力及环流系统,加大环流冲刷以减少泥水仓内滞排,进一步保障泥水压力的稳定性。</w:t>
      </w:r>
    </w:p>
    <w:p>
      <w:pPr>
        <w:autoSpaceDN w:val="0"/>
        <w:autoSpaceDE w:val="0"/>
        <w:widowControl/>
        <w:spacing w:line="458" w:lineRule="exact" w:before="62" w:after="0"/>
        <w:ind w:left="714" w:right="0" w:firstLine="0"/>
        <w:jc w:val="left"/>
      </w:pPr>
      <w:r>
        <w:rPr>
          <w:rFonts w:ascii="NotoSansHans" w:hAnsi="NotoSansHans" w:eastAsia="NotoSansHans"/>
          <w:b/>
          <w:i w:val="0"/>
          <w:color w:val="221F1F"/>
          <w:sz w:val="16"/>
        </w:rPr>
        <w:t>关键词：</w:t>
      </w:r>
      <w:r>
        <w:rPr>
          <w:rFonts w:ascii="NotoSansHans" w:hAnsi="NotoSansHans" w:eastAsia="NotoSansHans"/>
          <w:b w:val="0"/>
          <w:i w:val="0"/>
          <w:color w:val="221F1F"/>
          <w:sz w:val="16"/>
        </w:rPr>
        <w:t>淤泥质土;基岩侵入;超大直径;盾构施工;掘进分析</w:t>
      </w:r>
    </w:p>
    <w:p>
      <w:pPr>
        <w:autoSpaceDN w:val="0"/>
        <w:autoSpaceDE w:val="0"/>
        <w:widowControl/>
        <w:spacing w:line="240" w:lineRule="exact" w:before="0" w:after="0"/>
        <w:ind w:left="71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>DOI:10.15968/j.cnki.jsjl.2024.11.004</w:t>
      </w:r>
    </w:p>
    <w:p>
      <w:pPr>
        <w:autoSpaceDN w:val="0"/>
        <w:autoSpaceDE w:val="0"/>
        <w:widowControl/>
        <w:spacing w:line="514" w:lineRule="exact" w:before="0" w:after="1960"/>
        <w:ind w:left="714" w:right="0" w:firstLine="0"/>
        <w:jc w:val="left"/>
      </w:pPr>
      <w:r>
        <w:rPr>
          <w:rFonts w:ascii="NotoSansHans" w:hAnsi="NotoSansHans" w:eastAsia="NotoSansHans"/>
          <w:b/>
          <w:i w:val="0"/>
          <w:color w:val="221F1F"/>
          <w:sz w:val="16"/>
        </w:rPr>
        <w:t>中图分类号：</w:t>
      </w:r>
      <w:r>
        <w:rPr>
          <w:rFonts w:ascii="NotoSansHans" w:hAnsi="NotoSansHans" w:eastAsia="NotoSansHans"/>
          <w:b w:val="0"/>
          <w:i w:val="0"/>
          <w:color w:val="221F1F"/>
          <w:sz w:val="16"/>
        </w:rPr>
        <w:t>TU712</w:t>
      </w:r>
      <w:r>
        <w:rPr>
          <w:rFonts w:ascii="NotoSansHans" w:hAnsi="NotoSansHans" w:eastAsia="NotoSansHans"/>
          <w:b/>
          <w:i w:val="0"/>
          <w:color w:val="221F1F"/>
          <w:sz w:val="16"/>
        </w:rPr>
        <w:t xml:space="preserve">         文献标识码： 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B</w:t>
      </w:r>
      <w:r>
        <w:rPr>
          <w:rFonts w:ascii="NotoSansHans" w:hAnsi="NotoSansHans" w:eastAsia="NotoSansHans"/>
          <w:b/>
          <w:i w:val="0"/>
          <w:color w:val="221F1F"/>
          <w:sz w:val="16"/>
        </w:rPr>
        <w:t xml:space="preserve">          文章编号：</w:t>
      </w:r>
      <w:r>
        <w:rPr>
          <w:rFonts w:ascii="NotoSansHans" w:hAnsi="NotoSansHans" w:eastAsia="NotoSansHans"/>
          <w:b w:val="0"/>
          <w:i w:val="0"/>
          <w:color w:val="221F1F"/>
          <w:sz w:val="16"/>
        </w:rPr>
        <w:t>1007-4104（2024）11-0091-05</w:t>
      </w:r>
    </w:p>
    <w:p>
      <w:pPr>
        <w:sectPr>
          <w:pgSz w:w="11906" w:h="16441"/>
          <w:pgMar w:top="302" w:right="922" w:bottom="170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6" w:lineRule="exact" w:before="0" w:after="0"/>
        <w:ind w:left="714" w:right="0" w:firstLine="0"/>
        <w:jc w:val="left"/>
      </w:pPr>
      <w:r>
        <w:rPr>
          <w:rFonts w:ascii="NotoSansHans" w:hAnsi="NotoSansHans" w:eastAsia="NotoSansHans"/>
          <w:b/>
          <w:i w:val="0"/>
          <w:color w:val="221F1F"/>
          <w:sz w:val="22"/>
        </w:rPr>
        <w:t>0    引    言</w:t>
      </w:r>
    </w:p>
    <w:p>
      <w:pPr>
        <w:autoSpaceDN w:val="0"/>
        <w:autoSpaceDE w:val="0"/>
        <w:widowControl/>
        <w:spacing w:line="310" w:lineRule="exact" w:before="234" w:after="0"/>
        <w:ind w:left="714" w:right="226" w:firstLine="368"/>
        <w:jc w:val="both"/>
      </w:pPr>
      <w:r>
        <w:rPr>
          <w:rFonts w:ascii="NotoSansHans" w:hAnsi="NotoSansHans" w:eastAsia="NotoSansHans"/>
          <w:b w:val="0"/>
          <w:i w:val="0"/>
          <w:color w:val="221F1F"/>
          <w:sz w:val="18"/>
        </w:rPr>
        <w:t>我国南部沿海地区分布有花岗岩地层,沿海区隧道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修建范围内通常会遇到淤泥质土中侵入的微风化花岗岩地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层。在低强度的淤泥、上软下硬的复合地层、高硬度的基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岩等复杂地质和水文地质条件下,盾构设备及盾构掘进施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工参数均需具有较强的地层适应性</w:t>
      </w:r>
      <w:r>
        <w:rPr>
          <w:w w:val="104.94000434875488"/>
          <w:rFonts w:ascii="NotoSansHans" w:hAnsi="NotoSansHans" w:eastAsia="NotoSansHans"/>
          <w:b w:val="0"/>
          <w:i w:val="0"/>
          <w:color w:val="221F1F"/>
          <w:sz w:val="10"/>
        </w:rPr>
        <w:t>[1]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。隧道断面上部与下部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地层有极大的工程性质差异,给盾构施工带来了很大的阻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碍与困难。</w:t>
      </w:r>
    </w:p>
    <w:p>
      <w:pPr>
        <w:autoSpaceDN w:val="0"/>
        <w:autoSpaceDE w:val="0"/>
        <w:widowControl/>
        <w:spacing w:line="310" w:lineRule="exact" w:before="204" w:after="0"/>
        <w:ind w:left="714" w:right="226" w:firstLine="368"/>
        <w:jc w:val="both"/>
      </w:pPr>
      <w:r>
        <w:rPr>
          <w:rFonts w:ascii="NotoSansHans" w:hAnsi="NotoSansHans" w:eastAsia="NotoSansHans"/>
          <w:b w:val="0"/>
          <w:i w:val="0"/>
          <w:color w:val="221F1F"/>
          <w:sz w:val="18"/>
        </w:rPr>
        <w:t>冯晓燕等</w:t>
      </w:r>
      <w:r>
        <w:rPr>
          <w:w w:val="104.94000434875488"/>
          <w:rFonts w:ascii="NotoSansHans" w:hAnsi="NotoSansHans" w:eastAsia="NotoSansHans"/>
          <w:b w:val="0"/>
          <w:i w:val="0"/>
          <w:color w:val="221F1F"/>
          <w:sz w:val="10"/>
        </w:rPr>
        <w:t>[2]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以台山核电站取水隧道为依托,对比孤石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和基岩爆破处理前后盾构参数变化情况,掘进速度有效提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高,平均掘进推力降低,保证了盾构施工的顺利开展;沈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翔等</w:t>
      </w:r>
      <w:r>
        <w:rPr>
          <w:w w:val="104.94000434875488"/>
          <w:rFonts w:ascii="NotoSansHans" w:hAnsi="NotoSansHans" w:eastAsia="NotoSansHans"/>
          <w:b w:val="0"/>
          <w:i w:val="0"/>
          <w:color w:val="221F1F"/>
          <w:sz w:val="10"/>
        </w:rPr>
        <w:t>[3]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依托大连地铁港湾广场站—中山广场站区间隧道工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程,分析了穿越全断面硬岩等复杂地层条件时的盾构掘进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参数控制技术及其变化规律,并且基于灰色理论GM模型对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掘进总推力进行了实例预测,验证其准确性;陈建福等</w:t>
      </w:r>
      <w:r>
        <w:rPr>
          <w:w w:val="104.94000434875488"/>
          <w:rFonts w:ascii="NotoSansHans" w:hAnsi="NotoSansHans" w:eastAsia="NotoSansHans"/>
          <w:b w:val="0"/>
          <w:i w:val="0"/>
          <w:color w:val="221F1F"/>
          <w:sz w:val="10"/>
        </w:rPr>
        <w:t>[4]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对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厦门地铁2号线海东区间多处穿越孤石密集及基岩凸起段时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的盾构掘进参数进行了深入研究,对刀盘转速、盾构顶推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力、掘进速度、刀盘扭矩进行了经验总结。</w:t>
      </w:r>
    </w:p>
    <w:p>
      <w:pPr>
        <w:autoSpaceDN w:val="0"/>
        <w:autoSpaceDE w:val="0"/>
        <w:widowControl/>
        <w:spacing w:line="310" w:lineRule="exact" w:before="204" w:after="0"/>
        <w:ind w:left="714" w:right="230" w:firstLine="368"/>
        <w:jc w:val="both"/>
      </w:pPr>
      <w:r>
        <w:rPr>
          <w:rFonts w:ascii="NotoSansHans" w:hAnsi="NotoSansHans" w:eastAsia="NotoSansHans"/>
          <w:b w:val="0"/>
          <w:i w:val="0"/>
          <w:color w:val="221F1F"/>
          <w:sz w:val="18"/>
        </w:rPr>
        <w:t>基于上述研究成果,本文依托珠海隧道工程,针对施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工中的淤泥质土中侵入微风化花岗岩地层引起的大直径盾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构掘进情况进行分析总结,并提出相应的施工控制措施,</w:t>
      </w:r>
    </w:p>
    <w:p>
      <w:pPr>
        <w:autoSpaceDN w:val="0"/>
        <w:tabs>
          <w:tab w:pos="1240" w:val="left"/>
        </w:tabs>
        <w:autoSpaceDE w:val="0"/>
        <w:widowControl/>
        <w:spacing w:line="240" w:lineRule="auto" w:before="79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" cy="165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371600" cy="15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441"/>
          <w:pgMar w:top="302" w:right="922" w:bottom="170" w:left="420" w:header="720" w:footer="720" w:gutter="0"/>
          <w:cols w:num="2" w:equalWidth="0">
            <w:col w:w="5590" w:space="0"/>
            <w:col w:w="4974" w:space="0"/>
          </w:cols>
          <w:docGrid w:linePitch="360"/>
        </w:sectPr>
      </w:pPr>
    </w:p>
    <w:p>
      <w:pPr>
        <w:autoSpaceDN w:val="0"/>
        <w:autoSpaceDE w:val="0"/>
        <w:widowControl/>
        <w:spacing w:line="514" w:lineRule="exact" w:before="0" w:after="0"/>
        <w:ind w:left="226" w:right="0" w:firstLine="0"/>
        <w:jc w:val="left"/>
      </w:pPr>
      <w:r>
        <w:rPr>
          <w:rFonts w:ascii="NotoSansHans" w:hAnsi="NotoSansHans" w:eastAsia="NotoSansHans"/>
          <w:b w:val="0"/>
          <w:i w:val="0"/>
          <w:color w:val="221F1F"/>
          <w:sz w:val="18"/>
        </w:rPr>
        <w:t>以供类似工程借鉴。</w:t>
      </w:r>
    </w:p>
    <w:p>
      <w:pPr>
        <w:autoSpaceDN w:val="0"/>
        <w:autoSpaceDE w:val="0"/>
        <w:widowControl/>
        <w:spacing w:line="626" w:lineRule="exact" w:before="70" w:after="0"/>
        <w:ind w:left="226" w:right="0" w:firstLine="0"/>
        <w:jc w:val="left"/>
      </w:pPr>
      <w:r>
        <w:rPr>
          <w:rFonts w:ascii="NotoSansHans" w:hAnsi="NotoSansHans" w:eastAsia="NotoSansHans"/>
          <w:b/>
          <w:i w:val="0"/>
          <w:color w:val="221F1F"/>
          <w:sz w:val="22"/>
        </w:rPr>
        <w:t>1    工程简介</w:t>
      </w:r>
    </w:p>
    <w:p>
      <w:pPr>
        <w:autoSpaceDN w:val="0"/>
        <w:tabs>
          <w:tab w:pos="594" w:val="left"/>
        </w:tabs>
        <w:autoSpaceDE w:val="0"/>
        <w:widowControl/>
        <w:spacing w:line="304" w:lineRule="exact" w:before="278" w:after="0"/>
        <w:ind w:left="226" w:right="0" w:firstLine="0"/>
        <w:jc w:val="left"/>
      </w:pPr>
      <w:r>
        <w:rPr>
          <w:rFonts w:ascii="NotoSansHans" w:hAnsi="NotoSansHans" w:eastAsia="NotoSansHans"/>
          <w:b/>
          <w:i w:val="0"/>
          <w:color w:val="221F1F"/>
          <w:sz w:val="20"/>
        </w:rPr>
        <w:t>1.1    工程概况</w:t>
      </w:r>
      <w:r>
        <w:br/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珠海隧道工程盾构始发井位于磨刀门水道西岸珠海大桥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南侧,盾构接收井位于磨刀门水道东岸珠海大桥南侧,盾构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隧道由盾构始发井（左线里程LK0＋871.800、右线里程RK0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＋870.000）。盾构隧道为双管单层隧道结构,双向6车道,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时速80 km/h,采用2台超大直径（直径为15.01 m）泥水平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衡盾构机施工,刀盘采用可常压更换刀刀盘。</w:t>
      </w:r>
    </w:p>
    <w:p>
      <w:pPr>
        <w:autoSpaceDN w:val="0"/>
        <w:autoSpaceDE w:val="0"/>
        <w:widowControl/>
        <w:spacing w:line="310" w:lineRule="exact" w:before="204" w:after="0"/>
        <w:ind w:left="226" w:right="98" w:firstLine="368"/>
        <w:jc w:val="both"/>
      </w:pPr>
      <w:r>
        <w:rPr>
          <w:rFonts w:ascii="NotoSansHans" w:hAnsi="NotoSansHans" w:eastAsia="NotoSansHans"/>
          <w:b w:val="0"/>
          <w:i w:val="0"/>
          <w:color w:val="221F1F"/>
          <w:sz w:val="18"/>
        </w:rPr>
        <w:t>隧道范围内地层主要包括②</w:t>
      </w:r>
      <w:r>
        <w:rPr>
          <w:w w:val="104.94000434875488"/>
          <w:rFonts w:ascii="NotoSansHans" w:hAnsi="NotoSansHans" w:eastAsia="NotoSansHans"/>
          <w:b w:val="0"/>
          <w:i w:val="0"/>
          <w:color w:val="221F1F"/>
          <w:sz w:val="10"/>
        </w:rPr>
        <w:t>1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淤泥、②</w:t>
      </w:r>
      <w:r>
        <w:rPr>
          <w:w w:val="104.94000434875488"/>
          <w:rFonts w:ascii="NotoSansHans" w:hAnsi="NotoSansHans" w:eastAsia="NotoSansHans"/>
          <w:b w:val="0"/>
          <w:i w:val="0"/>
          <w:color w:val="221F1F"/>
          <w:sz w:val="10"/>
        </w:rPr>
        <w:t>2-1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淤泥质粉质黏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土、②</w:t>
      </w:r>
      <w:r>
        <w:rPr>
          <w:w w:val="104.94000434875488"/>
          <w:rFonts w:ascii="NotoSansHans" w:hAnsi="NotoSansHans" w:eastAsia="NotoSansHans"/>
          <w:b w:val="0"/>
          <w:i w:val="0"/>
          <w:color w:val="221F1F"/>
          <w:sz w:val="10"/>
        </w:rPr>
        <w:t>5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细中砂、②</w:t>
      </w:r>
      <w:r>
        <w:rPr>
          <w:w w:val="104.94000434875488"/>
          <w:rFonts w:ascii="NotoSansHans" w:hAnsi="NotoSansHans" w:eastAsia="NotoSansHans"/>
          <w:b w:val="0"/>
          <w:i w:val="0"/>
          <w:color w:val="221F1F"/>
          <w:sz w:val="10"/>
        </w:rPr>
        <w:t>6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粉质黏土、⑤</w:t>
      </w:r>
      <w:r>
        <w:rPr>
          <w:w w:val="104.94000434875488"/>
          <w:rFonts w:ascii="NotoSansHans" w:hAnsi="NotoSansHans" w:eastAsia="NotoSansHans"/>
          <w:b w:val="0"/>
          <w:i w:val="0"/>
          <w:color w:val="221F1F"/>
          <w:sz w:val="10"/>
        </w:rPr>
        <w:t>3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砂质黏性土、⑥</w:t>
      </w:r>
      <w:r>
        <w:rPr>
          <w:w w:val="104.94000434875488"/>
          <w:rFonts w:ascii="NotoSansHans" w:hAnsi="NotoSansHans" w:eastAsia="NotoSansHans"/>
          <w:b w:val="0"/>
          <w:i w:val="0"/>
          <w:color w:val="221F1F"/>
          <w:sz w:val="10"/>
        </w:rPr>
        <w:t>1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全风化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花岗岩、⑥</w:t>
      </w:r>
      <w:r>
        <w:rPr>
          <w:w w:val="104.94000434875488"/>
          <w:rFonts w:ascii="NotoSansHans" w:hAnsi="NotoSansHans" w:eastAsia="NotoSansHans"/>
          <w:b w:val="0"/>
          <w:i w:val="0"/>
          <w:color w:val="221F1F"/>
          <w:sz w:val="10"/>
        </w:rPr>
        <w:t>2-1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强风化花岗岩、⑥</w:t>
      </w:r>
      <w:r>
        <w:rPr>
          <w:w w:val="104.94000434875488"/>
          <w:rFonts w:ascii="NotoSansHans" w:hAnsi="NotoSansHans" w:eastAsia="NotoSansHans"/>
          <w:b w:val="0"/>
          <w:i w:val="0"/>
          <w:color w:val="221F1F"/>
          <w:sz w:val="10"/>
        </w:rPr>
        <w:t>2-2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强风化花岗岩、⑥</w:t>
      </w:r>
      <w:r>
        <w:rPr>
          <w:w w:val="104.94000434875488"/>
          <w:rFonts w:ascii="NotoSansHans" w:hAnsi="NotoSansHans" w:eastAsia="NotoSansHans"/>
          <w:b w:val="0"/>
          <w:i w:val="0"/>
          <w:color w:val="221F1F"/>
          <w:sz w:val="10"/>
        </w:rPr>
        <w:t>3-1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中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风化花岗岩、⑥</w:t>
      </w:r>
      <w:r>
        <w:rPr>
          <w:w w:val="104.94000434875488"/>
          <w:rFonts w:ascii="NotoSansHans" w:hAnsi="NotoSansHans" w:eastAsia="NotoSansHans"/>
          <w:b w:val="0"/>
          <w:i w:val="0"/>
          <w:color w:val="221F1F"/>
          <w:sz w:val="10"/>
        </w:rPr>
        <w:t>3-2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中风化花岗岩、⑥</w:t>
      </w:r>
      <w:r>
        <w:rPr>
          <w:w w:val="104.94000434875488"/>
          <w:rFonts w:ascii="NotoSansHans" w:hAnsi="NotoSansHans" w:eastAsia="NotoSansHans"/>
          <w:b w:val="0"/>
          <w:i w:val="0"/>
          <w:color w:val="221F1F"/>
          <w:sz w:val="10"/>
        </w:rPr>
        <w:t>4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微风化花岗岩。工程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平、剖面,如图1所示。</w:t>
      </w:r>
    </w:p>
    <w:p>
      <w:pPr>
        <w:autoSpaceDN w:val="0"/>
        <w:tabs>
          <w:tab w:pos="594" w:val="left"/>
        </w:tabs>
        <w:autoSpaceDE w:val="0"/>
        <w:widowControl/>
        <w:spacing w:line="300" w:lineRule="exact" w:before="358" w:after="0"/>
        <w:ind w:left="226" w:right="0" w:firstLine="0"/>
        <w:jc w:val="left"/>
      </w:pPr>
      <w:r>
        <w:rPr>
          <w:rFonts w:ascii="NotoSansHans" w:hAnsi="NotoSansHans" w:eastAsia="NotoSansHans"/>
          <w:b/>
          <w:i w:val="0"/>
          <w:color w:val="221F1F"/>
          <w:sz w:val="20"/>
        </w:rPr>
        <w:t>1.2    基岩凸起分布</w:t>
      </w:r>
      <w:r>
        <w:br/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根据地质勘察钻孔揭露,盾构隧道北线存在⑥</w:t>
      </w:r>
      <w:r>
        <w:rPr>
          <w:w w:val="104.94000434875488"/>
          <w:rFonts w:ascii="NotoSansHans" w:hAnsi="NotoSansHans" w:eastAsia="NotoSansHans"/>
          <w:b w:val="0"/>
          <w:i w:val="0"/>
          <w:color w:val="221F1F"/>
          <w:sz w:val="10"/>
        </w:rPr>
        <w:t>3-1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中风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化花岗岩、⑥</w:t>
      </w:r>
      <w:r>
        <w:rPr>
          <w:w w:val="104.94000434875488"/>
          <w:rFonts w:ascii="NotoSansHans" w:hAnsi="NotoSansHans" w:eastAsia="NotoSansHans"/>
          <w:b w:val="0"/>
          <w:i w:val="0"/>
          <w:color w:val="221F1F"/>
          <w:sz w:val="10"/>
        </w:rPr>
        <w:t>3-2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中风化花岗岩及少量⑥</w:t>
      </w:r>
      <w:r>
        <w:rPr>
          <w:w w:val="104.94000434875488"/>
          <w:rFonts w:ascii="NotoSansHans" w:hAnsi="NotoSansHans" w:eastAsia="NotoSansHans"/>
          <w:b w:val="0"/>
          <w:i w:val="0"/>
          <w:color w:val="221F1F"/>
          <w:sz w:val="10"/>
        </w:rPr>
        <w:t>4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微风化花岗岩基岩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凸起侵入隧道掘进范围,侵入高度为0.53～9.13 m,侵入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长度为355.655 m,详见基岩凸起统计表（如表1所示）。</w:t>
      </w:r>
    </w:p>
    <w:p>
      <w:pPr>
        <w:autoSpaceDN w:val="0"/>
        <w:autoSpaceDE w:val="0"/>
        <w:widowControl/>
        <w:spacing w:line="456" w:lineRule="exact" w:before="236" w:after="0"/>
        <w:ind w:left="0" w:right="264" w:firstLine="0"/>
        <w:jc w:val="right"/>
      </w:pPr>
      <w:r>
        <w:rPr>
          <w:rFonts w:ascii="SourceHanSerifCN" w:hAnsi="SourceHanSerifCN" w:eastAsia="SourceHanSerifCN"/>
          <w:b w:val="0"/>
          <w:i w:val="0"/>
          <w:color w:val="221F1F"/>
          <w:sz w:val="16"/>
        </w:rPr>
        <w:t>91</w:t>
      </w:r>
    </w:p>
    <w:p>
      <w:pPr>
        <w:sectPr>
          <w:type w:val="nextColumn"/>
          <w:pgSz w:w="11906" w:h="16441"/>
          <w:pgMar w:top="302" w:right="922" w:bottom="170" w:left="420" w:header="720" w:footer="720" w:gutter="0"/>
          <w:cols w:num="2" w:equalWidth="0">
            <w:col w:w="5590" w:space="0"/>
            <w:col w:w="497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469900</wp:posOffset>
            </wp:positionV>
            <wp:extent cx="6286500" cy="3302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0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1592580</wp:posOffset>
            </wp:positionH>
            <wp:positionV relativeFrom="page">
              <wp:posOffset>1681480</wp:posOffset>
            </wp:positionV>
            <wp:extent cx="4320540" cy="21418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1418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1676400</wp:posOffset>
            </wp:positionV>
            <wp:extent cx="4318000" cy="19812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198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2" w:lineRule="exact" w:before="0" w:after="136"/>
        <w:ind w:left="1096" w:right="0" w:firstLine="0"/>
        <w:jc w:val="left"/>
      </w:pPr>
      <w:r>
        <w:rPr>
          <w:rFonts w:ascii="NotoSansHans" w:hAnsi="NotoSansHans" w:eastAsia="NotoSansHans"/>
          <w:b w:val="0"/>
          <w:i w:val="0"/>
          <w:color w:val="221F1F"/>
          <w:sz w:val="20"/>
        </w:rPr>
        <w:t>工程技术交流</w:t>
      </w:r>
      <w:r>
        <w:rPr>
          <w:rFonts w:ascii="NotoSansHans" w:hAnsi="NotoSansHans" w:eastAsia="NotoSansHans"/>
          <w:b w:val="0"/>
          <w:i w:val="0"/>
          <w:color w:val="57585A"/>
          <w:sz w:val="16"/>
        </w:rPr>
        <w:t xml:space="preserve">PROJECT MANAGEMENT </w:t>
      </w:r>
    </w:p>
    <w:p>
      <w:pPr>
        <w:sectPr>
          <w:pgSz w:w="11906" w:h="16441"/>
          <w:pgMar w:top="302" w:right="1108" w:bottom="170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204" w:after="0"/>
        <w:ind w:left="600" w:right="326" w:firstLine="0"/>
        <w:jc w:val="both"/>
      </w:pPr>
      <w:r>
        <w:rPr>
          <w:rFonts w:ascii="NotoSansHans" w:hAnsi="NotoSansHans" w:eastAsia="NotoSansHans"/>
          <w:b w:val="0"/>
          <w:i w:val="0"/>
          <w:color w:val="221F1F"/>
          <w:sz w:val="18"/>
        </w:rPr>
        <w:t>基岩凸起段岩石最大抗压强度为108.5 MPa,基岩突起段地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勘探孔间距约10 m,在探孔间距范围内基岩可能存在起伏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变化。本工程与既有珠海大桥（Ⅱ类桥）并行,且珠海大</w:t>
      </w:r>
    </w:p>
    <w:p>
      <w:pPr>
        <w:autoSpaceDN w:val="0"/>
        <w:autoSpaceDE w:val="0"/>
        <w:widowControl/>
        <w:spacing w:line="398" w:lineRule="exact" w:before="0" w:after="0"/>
        <w:ind w:left="0" w:right="2670" w:firstLine="0"/>
        <w:jc w:val="right"/>
      </w:pPr>
      <w:r>
        <w:rPr>
          <w:rFonts w:ascii="NotoSansHans" w:hAnsi="NotoSansHans" w:eastAsia="NotoSansHans"/>
          <w:b w:val="0"/>
          <w:i w:val="0"/>
          <w:color w:val="221F1F"/>
          <w:sz w:val="14"/>
        </w:rPr>
        <w:t>始发井</w:t>
      </w:r>
    </w:p>
    <w:p>
      <w:pPr>
        <w:autoSpaceDN w:val="0"/>
        <w:tabs>
          <w:tab w:pos="2632" w:val="left"/>
          <w:tab w:pos="4844" w:val="left"/>
        </w:tabs>
        <w:autoSpaceDE w:val="0"/>
        <w:widowControl/>
        <w:spacing w:line="286" w:lineRule="exact" w:before="0" w:after="0"/>
        <w:ind w:left="2082" w:right="0" w:firstLine="0"/>
        <w:jc w:val="left"/>
      </w:pPr>
      <w:r>
        <w:rPr>
          <w:rFonts w:ascii="NotoSansHans" w:hAnsi="NotoSansHans" w:eastAsia="NotoSansHans"/>
          <w:b w:val="0"/>
          <w:i w:val="0"/>
          <w:color w:val="221F1F"/>
          <w:sz w:val="10"/>
        </w:rPr>
        <w:t>线</w:t>
      </w:r>
      <w:r>
        <w:rPr>
          <w:rFonts w:ascii="NotoSansHans" w:hAnsi="NotoSansHans" w:eastAsia="NotoSansHans"/>
          <w:b w:val="0"/>
          <w:i w:val="0"/>
          <w:color w:val="221F1F"/>
          <w:sz w:val="10"/>
        </w:rPr>
        <w:t>路</w:t>
      </w:r>
      <w:r>
        <w:rPr>
          <w:rFonts w:ascii="NotoSansHans" w:hAnsi="NotoSansHans" w:eastAsia="NotoSansHans"/>
          <w:b w:val="0"/>
          <w:i w:val="0"/>
          <w:color w:val="221F1F"/>
          <w:sz w:val="10"/>
        </w:rPr>
        <w:t>平</w:t>
      </w:r>
      <w:r>
        <w:rPr>
          <w:rFonts w:ascii="NotoSansHans" w:hAnsi="NotoSansHans" w:eastAsia="NotoSansHans"/>
          <w:b w:val="0"/>
          <w:i w:val="0"/>
          <w:color w:val="221F1F"/>
          <w:sz w:val="10"/>
        </w:rPr>
        <w:t>面</w:t>
      </w:r>
      <w:r>
        <w:rPr>
          <w:rFonts w:ascii="NotoSansHans" w:hAnsi="NotoSansHans" w:eastAsia="NotoSansHans"/>
          <w:b w:val="0"/>
          <w:i w:val="0"/>
          <w:color w:val="221F1F"/>
          <w:sz w:val="10"/>
        </w:rPr>
        <w:t>图</w:t>
      </w:r>
      <w:r>
        <w:tab/>
      </w:r>
      <w:r>
        <w:rPr>
          <w:rFonts w:ascii="NotoSansHans" w:hAnsi="NotoSansHans" w:eastAsia="NotoSansHans"/>
          <w:b w:val="0"/>
          <w:i w:val="0"/>
          <w:color w:val="221F1F"/>
          <w:sz w:val="14"/>
        </w:rPr>
        <w:t>避风塘堤岸</w:t>
      </w:r>
      <w:r>
        <w:tab/>
      </w:r>
      <w:r>
        <w:rPr>
          <w:rFonts w:ascii="NotoSansHans" w:hAnsi="NotoSansHans" w:eastAsia="NotoSansHans"/>
          <w:b w:val="0"/>
          <w:i w:val="0"/>
          <w:color w:val="221F1F"/>
          <w:sz w:val="14"/>
        </w:rPr>
        <w:t>左线盾构</w:t>
      </w:r>
    </w:p>
    <w:p>
      <w:pPr>
        <w:autoSpaceDN w:val="0"/>
        <w:tabs>
          <w:tab w:pos="4930" w:val="left"/>
        </w:tabs>
        <w:autoSpaceDE w:val="0"/>
        <w:widowControl/>
        <w:spacing w:line="400" w:lineRule="exact" w:before="0" w:after="0"/>
        <w:ind w:left="3906" w:right="0" w:firstLine="0"/>
        <w:jc w:val="left"/>
      </w:pPr>
      <w:r>
        <w:rPr>
          <w:rFonts w:ascii="NotoSansHans" w:hAnsi="NotoSansHans" w:eastAsia="NotoSansHans"/>
          <w:b w:val="0"/>
          <w:i w:val="0"/>
          <w:color w:val="221F1F"/>
          <w:sz w:val="14"/>
        </w:rPr>
        <w:t>副航道</w:t>
      </w:r>
      <w:r>
        <w:rPr>
          <w:rFonts w:ascii="NotoSansHans" w:hAnsi="NotoSansHans" w:eastAsia="NotoSansHans"/>
          <w:b w:val="0"/>
          <w:i w:val="0"/>
          <w:color w:val="221F1F"/>
          <w:sz w:val="14"/>
        </w:rPr>
        <w:t>右线盾构</w:t>
      </w:r>
    </w:p>
    <w:p>
      <w:pPr>
        <w:autoSpaceDN w:val="0"/>
        <w:tabs>
          <w:tab w:pos="4778" w:val="left"/>
        </w:tabs>
        <w:autoSpaceDE w:val="0"/>
        <w:widowControl/>
        <w:spacing w:line="286" w:lineRule="exact" w:before="0" w:after="0"/>
        <w:ind w:left="2238" w:right="0" w:firstLine="0"/>
        <w:jc w:val="left"/>
      </w:pPr>
      <w:r>
        <w:rPr>
          <w:rFonts w:ascii="NotoSansHans" w:hAnsi="NotoSansHans" w:eastAsia="NotoSansHans"/>
          <w:b w:val="0"/>
          <w:i w:val="0"/>
          <w:color w:val="221F1F"/>
          <w:sz w:val="10"/>
        </w:rPr>
        <w:t>地</w:t>
      </w:r>
      <w:r>
        <w:rPr>
          <w:rFonts w:ascii="NotoSansHans" w:hAnsi="NotoSansHans" w:eastAsia="NotoSansHans"/>
          <w:b w:val="0"/>
          <w:i w:val="0"/>
          <w:color w:val="221F1F"/>
          <w:sz w:val="10"/>
        </w:rPr>
        <w:t>质</w:t>
      </w:r>
      <w:r>
        <w:rPr>
          <w:rFonts w:ascii="NotoSansHans" w:hAnsi="NotoSansHans" w:eastAsia="NotoSansHans"/>
          <w:b w:val="0"/>
          <w:i w:val="0"/>
          <w:color w:val="221F1F"/>
          <w:sz w:val="10"/>
        </w:rPr>
        <w:t>纵</w:t>
      </w:r>
      <w:r>
        <w:rPr>
          <w:rFonts w:ascii="NotoSansHans" w:hAnsi="NotoSansHans" w:eastAsia="NotoSansHans"/>
          <w:b w:val="0"/>
          <w:i w:val="0"/>
          <w:color w:val="221F1F"/>
          <w:sz w:val="10"/>
        </w:rPr>
        <w:t>断</w:t>
      </w:r>
      <w:r>
        <w:rPr>
          <w:rFonts w:ascii="NotoSansHans" w:hAnsi="NotoSansHans" w:eastAsia="NotoSansHans"/>
          <w:b w:val="0"/>
          <w:i w:val="0"/>
          <w:color w:val="221F1F"/>
          <w:sz w:val="10"/>
        </w:rPr>
        <w:t>面</w:t>
      </w:r>
      <w:r>
        <w:rPr>
          <w:rFonts w:ascii="NotoSansHans" w:hAnsi="NotoSansHans" w:eastAsia="NotoSansHans"/>
          <w:b w:val="0"/>
          <w:i w:val="0"/>
          <w:color w:val="221F1F"/>
          <w:sz w:val="10"/>
        </w:rPr>
        <w:t>图</w:t>
      </w:r>
      <w:r>
        <w:rPr>
          <w:rFonts w:ascii="NotoSansHans" w:hAnsi="NotoSansHans" w:eastAsia="NotoSansHans"/>
          <w:b w:val="0"/>
          <w:i w:val="0"/>
          <w:color w:val="221F1F"/>
          <w:sz w:val="14"/>
        </w:rPr>
        <w:t>珠海隧道</w:t>
      </w:r>
    </w:p>
    <w:p>
      <w:pPr>
        <w:sectPr>
          <w:type w:val="continuous"/>
          <w:pgSz w:w="11906" w:h="16441"/>
          <w:pgMar w:top="302" w:right="1108" w:bottom="170" w:left="420" w:header="720" w:footer="720" w:gutter="0"/>
          <w:cols w:num="2" w:equalWidth="0">
            <w:col w:w="5576" w:space="0"/>
            <w:col w:w="4801" w:space="0"/>
          </w:cols>
          <w:docGrid w:linePitch="360"/>
        </w:sectPr>
      </w:pPr>
    </w:p>
    <w:p>
      <w:pPr>
        <w:autoSpaceDN w:val="0"/>
        <w:autoSpaceDE w:val="0"/>
        <w:widowControl/>
        <w:spacing w:line="310" w:lineRule="exact" w:before="204" w:after="176"/>
        <w:ind w:left="126" w:right="0" w:firstLine="0"/>
        <w:jc w:val="left"/>
      </w:pPr>
      <w:r>
        <w:rPr>
          <w:rFonts w:ascii="NotoSansHans" w:hAnsi="NotoSansHans" w:eastAsia="NotoSansHans"/>
          <w:b w:val="0"/>
          <w:i w:val="0"/>
          <w:color w:val="221F1F"/>
          <w:sz w:val="18"/>
        </w:rPr>
        <w:t>桥交通量较大,无法采用原设计方案海上爆破预处理基岩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的方式,因此决定采用盾构直接掘进通过。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.99999999999977" w:type="dxa"/>
      </w:tblPr>
      <w:tblGrid>
        <w:gridCol w:w="2594"/>
        <w:gridCol w:w="2594"/>
        <w:gridCol w:w="2594"/>
        <w:gridCol w:w="2594"/>
      </w:tblGrid>
      <w:tr>
        <w:trPr>
          <w:trHeight w:hRule="exact" w:val="906"/>
        </w:trPr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138" w:after="0"/>
              <w:ind w:left="84" w:right="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4"/>
              </w:rPr>
              <w:t>既有珠海大桥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1356" w:after="0"/>
              <w:ind w:left="0" w:right="0" w:firstLine="0"/>
              <w:jc w:val="center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4"/>
              </w:rPr>
              <w:t>主航道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186" w:after="0"/>
              <w:ind w:left="190" w:right="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4"/>
              </w:rPr>
              <w:t>东岸海堤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60" w:after="0"/>
              <w:ind w:left="84" w:right="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4"/>
              </w:rPr>
              <w:t>接收井</w:t>
            </w:r>
          </w:p>
        </w:tc>
      </w:tr>
      <w:tr>
        <w:trPr>
          <w:trHeight w:hRule="exact" w:val="830"/>
        </w:trPr>
        <w:tc>
          <w:tcPr>
            <w:tcW w:type="dxa" w:w="2594"/>
            <w:vMerge/>
            <w:tcBorders/>
          </w:tcPr>
          <w:p/>
        </w:tc>
        <w:tc>
          <w:tcPr>
            <w:tcW w:type="dxa" w:w="2594"/>
            <w:vMerge/>
            <w:tcBorders/>
          </w:tcPr>
          <w:p/>
        </w:tc>
        <w:tc>
          <w:tcPr>
            <w:tcW w:type="dxa" w:w="2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348" w:after="0"/>
              <w:ind w:left="270" w:right="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4"/>
              </w:rPr>
              <w:t>对澳供水管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26"/>
        <w:ind w:left="0" w:right="0"/>
      </w:pPr>
    </w:p>
    <w:p>
      <w:pPr>
        <w:sectPr>
          <w:type w:val="nextColumn"/>
          <w:pgSz w:w="11906" w:h="16441"/>
          <w:pgMar w:top="302" w:right="1108" w:bottom="170" w:left="420" w:header="720" w:footer="720" w:gutter="0"/>
          <w:cols w:num="2" w:equalWidth="0">
            <w:col w:w="5576" w:space="0"/>
            <w:col w:w="480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378"/>
      </w:tblGrid>
      <w:tr>
        <w:trPr>
          <w:trHeight w:hRule="exact" w:val="2114"/>
        </w:trPr>
        <w:tc>
          <w:tcPr>
            <w:tcW w:type="dxa" w:w="10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6" w:lineRule="exact" w:before="0" w:after="0"/>
              <w:ind w:left="0" w:right="4106" w:firstLine="0"/>
              <w:jc w:val="right"/>
            </w:pPr>
            <w:r>
              <w:rPr>
                <w:rFonts w:ascii="NotoSansHans" w:hAnsi="NotoSansHans" w:eastAsia="NotoSansHans"/>
                <w:b/>
                <w:i w:val="0"/>
                <w:color w:val="221F1F"/>
                <w:sz w:val="16"/>
              </w:rPr>
              <w:t>图 1    工程平、剖面图</w:t>
            </w:r>
          </w:p>
          <w:p>
            <w:pPr>
              <w:autoSpaceDN w:val="0"/>
              <w:autoSpaceDE w:val="0"/>
              <w:widowControl/>
              <w:spacing w:line="456" w:lineRule="exact" w:before="0" w:after="0"/>
              <w:ind w:left="0" w:right="3786" w:firstLine="0"/>
              <w:jc w:val="right"/>
            </w:pPr>
            <w:r>
              <w:rPr>
                <w:rFonts w:ascii="NotoSansHans" w:hAnsi="NotoSansHans" w:eastAsia="NotoSansHans"/>
                <w:b/>
                <w:i w:val="0"/>
                <w:color w:val="221F1F"/>
                <w:sz w:val="16"/>
              </w:rPr>
              <w:t>表</w:t>
            </w:r>
            <w:r>
              <w:rPr>
                <w:rFonts w:ascii="NotoSansHans" w:hAnsi="NotoSansHans" w:eastAsia="NotoSansHans"/>
                <w:b/>
                <w:i w:val="0"/>
                <w:color w:val="221F1F"/>
                <w:sz w:val="16"/>
                <w:u w:val="single"/>
              </w:rPr>
              <w:t xml:space="preserve"> 1    北线盾构基岩凸起统计</w:t>
            </w:r>
            <w:r>
              <w:rPr>
                <w:rFonts w:ascii="NotoSansHans" w:hAnsi="NotoSansHans" w:eastAsia="NotoSansHans"/>
                <w:b/>
                <w:i w:val="0"/>
                <w:color w:val="221F1F"/>
                <w:sz w:val="16"/>
              </w:rPr>
              <w:t>表</w:t>
            </w:r>
          </w:p>
          <w:p>
            <w:pPr>
              <w:autoSpaceDN w:val="0"/>
              <w:tabs>
                <w:tab w:pos="2996" w:val="left"/>
                <w:tab w:pos="4974" w:val="left"/>
                <w:tab w:pos="6752" w:val="left"/>
              </w:tabs>
              <w:autoSpaceDE w:val="0"/>
              <w:widowControl/>
              <w:spacing w:line="400" w:lineRule="exact" w:before="0" w:after="0"/>
              <w:ind w:left="1078" w:right="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4"/>
              </w:rPr>
              <w:t>里    程</w:t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4"/>
              </w:rPr>
              <w:t>长度/m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4"/>
              </w:rPr>
              <w:t>环    号</w:t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4"/>
              </w:rPr>
              <w:t>侵入高度/m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8.0" w:type="dxa"/>
            </w:tblPr>
            <w:tblGrid>
              <w:gridCol w:w="2012"/>
              <w:gridCol w:w="2012"/>
              <w:gridCol w:w="2012"/>
              <w:gridCol w:w="2012"/>
              <w:gridCol w:w="2012"/>
            </w:tblGrid>
            <w:tr>
              <w:trPr>
                <w:trHeight w:hRule="exact" w:val="198"/>
              </w:trPr>
              <w:tc>
                <w:tcPr>
                  <w:tcW w:type="dxa" w:w="194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4"/>
                  <w:tcBorders>
                    <w:start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50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6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96"/>
              </w:trPr>
              <w:tc>
                <w:tcPr>
                  <w:tcW w:type="dxa" w:w="194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4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50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6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96"/>
              </w:trPr>
              <w:tc>
                <w:tcPr>
                  <w:tcW w:type="dxa" w:w="194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4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50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6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96"/>
              </w:trPr>
              <w:tc>
                <w:tcPr>
                  <w:tcW w:type="dxa" w:w="194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4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50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6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98"/>
              </w:trPr>
              <w:tc>
                <w:tcPr>
                  <w:tcW w:type="dxa" w:w="194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4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50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6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96"/>
              </w:trPr>
              <w:tc>
                <w:tcPr>
                  <w:tcW w:type="dxa" w:w="194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4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50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6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8"/>
              </w:trPr>
              <w:tc>
                <w:tcPr>
                  <w:tcW w:type="dxa" w:w="194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4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50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6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108"/>
        <w:ind w:left="0" w:right="0"/>
      </w:pPr>
    </w:p>
    <w:p>
      <w:pPr>
        <w:sectPr>
          <w:type w:val="continuous"/>
          <w:pgSz w:w="11906" w:h="16441"/>
          <w:pgMar w:top="302" w:right="1108" w:bottom="170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8" w:lineRule="exact" w:before="0" w:after="0"/>
        <w:ind w:left="600" w:right="0" w:firstLine="0"/>
        <w:jc w:val="left"/>
      </w:pPr>
      <w:r>
        <w:rPr>
          <w:rFonts w:ascii="NotoSansHans" w:hAnsi="NotoSansHans" w:eastAsia="NotoSansHans"/>
          <w:b/>
          <w:i w:val="0"/>
          <w:color w:val="221F1F"/>
          <w:sz w:val="22"/>
        </w:rPr>
        <w:t>2    风险分析</w:t>
      </w:r>
    </w:p>
    <w:p>
      <w:pPr>
        <w:autoSpaceDN w:val="0"/>
        <w:tabs>
          <w:tab w:pos="968" w:val="left"/>
        </w:tabs>
        <w:autoSpaceDE w:val="0"/>
        <w:widowControl/>
        <w:spacing w:line="306" w:lineRule="exact" w:before="276" w:after="0"/>
        <w:ind w:left="600" w:right="144" w:firstLine="0"/>
        <w:jc w:val="left"/>
      </w:pPr>
      <w:r>
        <w:rPr>
          <w:rFonts w:ascii="NotoSansHans" w:hAnsi="NotoSansHans" w:eastAsia="NotoSansHans"/>
          <w:b/>
          <w:i w:val="0"/>
          <w:color w:val="221F1F"/>
          <w:sz w:val="20"/>
        </w:rPr>
        <w:t>2.1    地质风险</w:t>
      </w:r>
      <w:r>
        <w:br/>
      </w:r>
      <w:r>
        <w:tab/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隧道顶部为流塑、高压缩性、高灵敏度的淤泥和淤泥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质土,地层力学性能差,掘进过程中若出现建压不合理、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压力波动、气垫仓气体进入泥仓,易引起开挖面土体坍塌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风险;前期详勘及补勘地质钻孔孔位封孔若不密实,掘进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过程中易发生泥浆泄漏、污染海水的情况;上软下硬地层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中,盾构掘进过程刀具破岩扰动大,上部软土地层容易受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扰动发生变形,造成地层沉降大甚至坍塌的风险;在进行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常压滚刀及切刀更换时需回退刀盘,掌子面上部软弱地层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易失稳。</w:t>
      </w:r>
    </w:p>
    <w:p>
      <w:pPr>
        <w:autoSpaceDN w:val="0"/>
        <w:tabs>
          <w:tab w:pos="968" w:val="left"/>
        </w:tabs>
        <w:autoSpaceDE w:val="0"/>
        <w:widowControl/>
        <w:spacing w:line="304" w:lineRule="exact" w:before="356" w:after="0"/>
        <w:ind w:left="600" w:right="144" w:firstLine="0"/>
        <w:jc w:val="left"/>
      </w:pPr>
      <w:r>
        <w:rPr>
          <w:rFonts w:ascii="NotoSansHans" w:hAnsi="NotoSansHans" w:eastAsia="NotoSansHans"/>
          <w:b/>
          <w:i w:val="0"/>
          <w:color w:val="221F1F"/>
          <w:sz w:val="20"/>
        </w:rPr>
        <w:t>2.2    设备风险</w:t>
      </w:r>
      <w:r>
        <w:br/>
      </w:r>
      <w:r>
        <w:tab/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基岩凸起段基岩的抗压强度最大达到了108.5 MPa,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刀盘转动切削过程中刀具由软土地层进入硬岩地层,会有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很高的瞬间冲击荷载,导致滚刀刀圈崩角、断裂,甚至脱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落,脱落后未及时发现也会造成刀体的磨损;也可能会导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致用于避免刀圈沿轴线方向平移的挡圈断裂或脱落,造成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刀圈的移位,使所有滚刀不处于同一平面,引起部分滚刀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荷载增加,以致刀盘受力不平衡,受力集中区域容易发生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损坏。</w:t>
      </w:r>
    </w:p>
    <w:p>
      <w:pPr>
        <w:autoSpaceDN w:val="0"/>
        <w:autoSpaceDE w:val="0"/>
        <w:widowControl/>
        <w:spacing w:line="456" w:lineRule="exact" w:before="200" w:after="0"/>
        <w:ind w:left="764" w:right="0" w:firstLine="0"/>
        <w:jc w:val="left"/>
      </w:pPr>
      <w:r>
        <w:rPr>
          <w:rFonts w:ascii="SourceHanSerifCN" w:hAnsi="SourceHanSerifCN" w:eastAsia="SourceHanSerifCN"/>
          <w:b w:val="0"/>
          <w:i w:val="0"/>
          <w:color w:val="221F1F"/>
          <w:sz w:val="16"/>
        </w:rPr>
        <w:t>92</w:t>
      </w:r>
    </w:p>
    <w:p>
      <w:pPr>
        <w:autoSpaceDN w:val="0"/>
        <w:tabs>
          <w:tab w:pos="1240" w:val="left"/>
        </w:tabs>
        <w:autoSpaceDE w:val="0"/>
        <w:widowControl/>
        <w:spacing w:line="240" w:lineRule="auto" w:before="1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" cy="165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371600" cy="15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441"/>
          <w:pgMar w:top="302" w:right="1108" w:bottom="170" w:left="420" w:header="720" w:footer="720" w:gutter="0"/>
          <w:cols w:num="2" w:equalWidth="0">
            <w:col w:w="5476" w:space="0"/>
            <w:col w:w="4901" w:space="0"/>
          </w:cols>
          <w:docGrid w:linePitch="360"/>
        </w:sectPr>
      </w:pPr>
    </w:p>
    <w:p>
      <w:pPr>
        <w:autoSpaceDN w:val="0"/>
        <w:tabs>
          <w:tab w:pos="596" w:val="left"/>
        </w:tabs>
        <w:autoSpaceDE w:val="0"/>
        <w:widowControl/>
        <w:spacing w:line="302" w:lineRule="exact" w:before="270" w:after="0"/>
        <w:ind w:left="226" w:right="0" w:firstLine="0"/>
        <w:jc w:val="left"/>
      </w:pPr>
      <w:r>
        <w:rPr>
          <w:rFonts w:ascii="NotoSansHans" w:hAnsi="NotoSansHans" w:eastAsia="NotoSansHans"/>
          <w:b/>
          <w:i w:val="0"/>
          <w:color w:val="221F1F"/>
          <w:sz w:val="20"/>
        </w:rPr>
        <w:t>2.3    施工风险</w:t>
      </w:r>
      <w:r>
        <w:br/>
      </w:r>
      <w:r>
        <w:tab/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盾构掘进参数控制是盾构能否顺利通过基岩凸起段的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重要影响因素。由于掌子面上软下硬,岩性强度差异大,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盾构机掘进过程中容易出现参数波动大的问题,进而影响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开挖面的稳定性。同时,由于处于上软下硬地层,还容易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出现姿态难以控制的问题,盾构往地层软的方向偏离。</w:t>
      </w:r>
    </w:p>
    <w:p>
      <w:pPr>
        <w:autoSpaceDN w:val="0"/>
        <w:autoSpaceDE w:val="0"/>
        <w:widowControl/>
        <w:spacing w:line="628" w:lineRule="exact" w:before="70" w:after="0"/>
        <w:ind w:left="226" w:right="0" w:firstLine="0"/>
        <w:jc w:val="left"/>
      </w:pPr>
      <w:r>
        <w:rPr>
          <w:rFonts w:ascii="NotoSansHans" w:hAnsi="NotoSansHans" w:eastAsia="NotoSansHans"/>
          <w:b/>
          <w:i w:val="0"/>
          <w:color w:val="221F1F"/>
          <w:sz w:val="22"/>
        </w:rPr>
        <w:t>3    风险应对措施及效果</w:t>
      </w:r>
    </w:p>
    <w:p>
      <w:pPr>
        <w:autoSpaceDN w:val="0"/>
        <w:tabs>
          <w:tab w:pos="596" w:val="left"/>
          <w:tab w:pos="2566" w:val="left"/>
        </w:tabs>
        <w:autoSpaceDE w:val="0"/>
        <w:widowControl/>
        <w:spacing w:line="302" w:lineRule="exact" w:before="280" w:after="0"/>
        <w:ind w:left="226" w:right="0" w:firstLine="0"/>
        <w:jc w:val="left"/>
      </w:pPr>
      <w:r>
        <w:rPr>
          <w:rFonts w:ascii="NotoSansHans" w:hAnsi="NotoSansHans" w:eastAsia="NotoSansHans"/>
          <w:b/>
          <w:i w:val="0"/>
          <w:color w:val="221F1F"/>
          <w:sz w:val="20"/>
        </w:rPr>
        <w:t>3.1    地质风险应对措施及效果</w:t>
      </w:r>
      <w:r>
        <w:br/>
      </w:r>
      <w:r>
        <w:tab/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由于按照勘察规范要求的钻探钻孔距离,难以准确反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映完全真实的基岩凸起情况,实际施工过程应以勘察报告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作为预判依据。当盾构接近掘进至基岩凸起段时,结合以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下多种方式,进行综合地质研判分析,并结合掘进参数变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化情况,进一步分析地质变化</w:t>
      </w:r>
      <w:r>
        <w:rPr>
          <w:w w:val="104.94000434875488"/>
          <w:rFonts w:ascii="NotoSansHans" w:hAnsi="NotoSansHans" w:eastAsia="NotoSansHans"/>
          <w:b w:val="0"/>
          <w:i w:val="0"/>
          <w:color w:val="221F1F"/>
          <w:sz w:val="10"/>
        </w:rPr>
        <w:t>[5]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,总体方式如下。</w:t>
      </w:r>
    </w:p>
    <w:p>
      <w:pPr>
        <w:autoSpaceDN w:val="0"/>
        <w:autoSpaceDE w:val="0"/>
        <w:widowControl/>
        <w:spacing w:line="310" w:lineRule="exact" w:before="204" w:after="0"/>
        <w:ind w:left="226" w:right="26" w:firstLine="370"/>
        <w:jc w:val="both"/>
      </w:pPr>
      <w:r>
        <w:rPr>
          <w:rFonts w:ascii="NotoSansHans" w:hAnsi="NotoSansHans" w:eastAsia="NotoSansHans"/>
          <w:b w:val="0"/>
          <w:i w:val="0"/>
          <w:color w:val="221F1F"/>
          <w:sz w:val="18"/>
        </w:rPr>
        <w:t>（1）刀具磨岩声音分析。本工程盾构掘进过程中,在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刀盘中心锥内安装了收音设备,连接至盾构主控室,盾构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司机根据刀盘转速、单次磨岩声音时间、磨岩声音范围初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步判断基岩分布范围（主要是对小基岩的判断）。</w:t>
      </w:r>
    </w:p>
    <w:p>
      <w:pPr>
        <w:autoSpaceDN w:val="0"/>
        <w:autoSpaceDE w:val="0"/>
        <w:widowControl/>
        <w:spacing w:line="310" w:lineRule="exact" w:before="204" w:after="0"/>
        <w:ind w:left="226" w:right="26" w:firstLine="370"/>
        <w:jc w:val="both"/>
      </w:pPr>
      <w:r>
        <w:rPr>
          <w:rFonts w:ascii="NotoSansHans" w:hAnsi="NotoSansHans" w:eastAsia="NotoSansHans"/>
          <w:b w:val="0"/>
          <w:i w:val="0"/>
          <w:color w:val="221F1F"/>
          <w:sz w:val="18"/>
        </w:rPr>
        <w:t>（2）参数波动分析。结合滚刀分布情况、挤压力波动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规律、刀具旋转情况、刀具温度情况,综合判断基岩分布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范围。</w:t>
      </w:r>
    </w:p>
    <w:p>
      <w:pPr>
        <w:sectPr>
          <w:type w:val="nextColumn"/>
          <w:pgSz w:w="11906" w:h="16441"/>
          <w:pgMar w:top="302" w:right="1108" w:bottom="170" w:left="420" w:header="720" w:footer="720" w:gutter="0"/>
          <w:cols w:num="2" w:equalWidth="0">
            <w:col w:w="5476" w:space="0"/>
            <w:col w:w="4901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469900</wp:posOffset>
            </wp:positionV>
            <wp:extent cx="6299200" cy="3302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30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0514"/>
      </w:tblGrid>
      <w:tr>
        <w:trPr>
          <w:trHeight w:hRule="exact" w:val="14492"/>
        </w:trPr>
        <w:tc>
          <w:tcPr>
            <w:tcW w:type="dxa" w:w="10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6" w:lineRule="exact" w:before="0" w:after="0"/>
              <w:ind w:left="0" w:right="464" w:firstLine="0"/>
              <w:jc w:val="right"/>
            </w:pPr>
            <w:r>
              <w:rPr>
                <w:rFonts w:ascii="NotoSansHans" w:hAnsi="NotoSansHans" w:eastAsia="NotoSansHans"/>
                <w:b w:val="0"/>
                <w:i w:val="0"/>
                <w:color w:val="000000"/>
                <w:sz w:val="16"/>
              </w:rPr>
              <w:t xml:space="preserve">PROJECT MANAGEMENT </w:t>
            </w:r>
            <w:r>
              <w:rPr>
                <w:rFonts w:ascii="NotoSansHans" w:hAnsi="NotoSansHans" w:eastAsia="NotoSansHans"/>
                <w:b w:val="0"/>
                <w:i w:val="0"/>
                <w:color w:val="000000"/>
                <w:sz w:val="20"/>
              </w:rPr>
              <w:t>工程技术交流</w:t>
            </w:r>
          </w:p>
          <w:p>
            <w:pPr>
              <w:autoSpaceDN w:val="0"/>
              <w:tabs>
                <w:tab w:pos="742" w:val="left"/>
                <w:tab w:pos="5476" w:val="left"/>
                <w:tab w:pos="5844" w:val="left"/>
              </w:tabs>
              <w:autoSpaceDE w:val="0"/>
              <w:widowControl/>
              <w:spacing w:line="310" w:lineRule="exact" w:before="340" w:after="0"/>
              <w:ind w:left="374" w:right="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（3）渣样分析。可进一步判断掌子面岩石破碎程度、</w:t>
            </w:r>
            <w:r>
              <w:br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节理发育程度、岩石风化程度、岩石石英含量、岩石强度</w:t>
            </w:r>
            <w:r>
              <w:tab/>
            </w:r>
            <w:r>
              <w:rPr>
                <w:rFonts w:ascii="NotoSansHans" w:hAnsi="NotoSansHans" w:eastAsia="NotoSansHans"/>
                <w:b/>
                <w:i w:val="0"/>
                <w:color w:val="221F1F"/>
                <w:sz w:val="20"/>
              </w:rPr>
              <w:t>3.2    设备风险应对措施及效果</w:t>
            </w:r>
            <w:r>
              <w:br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等情况。</w:t>
            </w:r>
            <w:r>
              <w:tab/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本工程基岩凸起距离长、强度高,易出现刀具偏磨、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以北线盾构第一段基岩突起为例,通过刀盘破岩声</w:t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刀圈崩裂、刀圈断裂等刀具异常损坏和刀盘异常磨损情</w:t>
            </w:r>
            <w:r>
              <w:tab/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况。同时,考虑到镶齿滚刀应力相对集中,在较硬地层中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音、参数的变化等判断,实际从1 155环刀盘开始入岩,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比勘察阶段划分的1 162环早;根据地质研判技术,通过</w:t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容易出现崩角,因此在进入基岩凸起地层前,将镶齿滚刀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刀具旋转监测（半径和转速）、单次破岩声音时间、破岩</w:t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全部更换为光刃滚刀（如图2所示）。</w:t>
            </w:r>
          </w:p>
          <w:p>
            <w:pPr>
              <w:autoSpaceDN w:val="0"/>
              <w:autoSpaceDE w:val="0"/>
              <w:widowControl/>
              <w:spacing w:line="514" w:lineRule="exact" w:before="0" w:after="0"/>
              <w:ind w:left="374" w:right="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声音范围、刀具温度监测、挤压力波动规律、出渣量等因</w:t>
            </w:r>
          </w:p>
          <w:p>
            <w:pPr>
              <w:autoSpaceDN w:val="0"/>
              <w:tabs>
                <w:tab w:pos="5536" w:val="left"/>
              </w:tabs>
              <w:autoSpaceDE w:val="0"/>
              <w:widowControl/>
              <w:spacing w:line="240" w:lineRule="auto" w:before="0" w:after="0"/>
              <w:ind w:left="374" w:right="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描绘,模拟岩面与地勘内岩面基本吻合。同时,根据渣样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分析,第一段基岩可分三个阶段：第一阶段,岩块尺寸偏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小,多数集中为3～5 cm,岩石形态以块状为主,主要为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2876549" cy="99059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49" cy="990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514" w:lineRule="exact" w:before="0" w:after="0"/>
              <w:ind w:left="374" w:right="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素,对基岩掘进过程的各个阶段进行了岩面侵入隧道范围</w:t>
            </w:r>
          </w:p>
          <w:p>
            <w:pPr>
              <w:autoSpaceDN w:val="0"/>
              <w:tabs>
                <w:tab w:pos="6542" w:val="left"/>
              </w:tabs>
              <w:autoSpaceDE w:val="0"/>
              <w:widowControl/>
              <w:spacing w:line="514" w:lineRule="exact" w:before="726" w:after="0"/>
              <w:ind w:left="374" w:right="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石英岩,岩石坚硬,风化程度低;第二阶段,岩量急剧增</w:t>
            </w:r>
            <w:r>
              <w:tab/>
            </w:r>
            <w:r>
              <w:rPr>
                <w:rFonts w:ascii="NotoSansHans" w:hAnsi="NotoSansHans" w:eastAsia="NotoSansHans"/>
                <w:b/>
                <w:i w:val="0"/>
                <w:color w:val="221F1F"/>
                <w:sz w:val="16"/>
              </w:rPr>
              <w:t>图 2    镶齿滚刀换为光刃滚刀示意图</w:t>
            </w:r>
          </w:p>
          <w:p>
            <w:pPr>
              <w:autoSpaceDN w:val="0"/>
              <w:tabs>
                <w:tab w:pos="5476" w:val="left"/>
                <w:tab w:pos="5844" w:val="left"/>
              </w:tabs>
              <w:autoSpaceDE w:val="0"/>
              <w:widowControl/>
              <w:spacing w:line="312" w:lineRule="exact" w:before="202" w:after="0"/>
              <w:ind w:left="374" w:right="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加,岩块尺寸主要集中为5～10 cm,岩石形态以块状为</w:t>
            </w:r>
            <w:r>
              <w:tab/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北线基岩突起段刀具更换统计,如表2所示。该段共计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主,岩石石英含量高,坚硬,偶尔出现石英岩,风化程度</w:t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换刀135把,其中刀具刀圈崩角、断裂、脱落、偏磨以及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低;第三阶段,岩量逐步减少,岩块尺寸减小,普遍集中</w:t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刀桶磨损等异常磨损共计40把,异常磨损率达到29.6%,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为3～5 cm,岩石风化程度增大,岩石被水侵蚀痕迹明显,</w:t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时常出现刀圈磕碰掉块,导致刀具不旋转、温度异常等现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节理裂隙发育。</w:t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象,并且普遍存在刀具使用寿命短的情况。</w:t>
            </w:r>
          </w:p>
          <w:p>
            <w:pPr>
              <w:autoSpaceDN w:val="0"/>
              <w:tabs>
                <w:tab w:pos="4072" w:val="left"/>
                <w:tab w:pos="5934" w:val="left"/>
              </w:tabs>
              <w:autoSpaceDE w:val="0"/>
              <w:widowControl/>
              <w:spacing w:line="214" w:lineRule="exact" w:before="242" w:after="0"/>
              <w:ind w:left="1138" w:right="3600" w:firstLine="0"/>
              <w:jc w:val="left"/>
            </w:pPr>
            <w:r>
              <w:tab/>
            </w:r>
            <w:r>
              <w:rPr>
                <w:rFonts w:ascii="NotoSansHans" w:hAnsi="NotoSansHans" w:eastAsia="NotoSansHans"/>
                <w:b/>
                <w:i w:val="0"/>
                <w:color w:val="221F1F"/>
                <w:sz w:val="16"/>
              </w:rPr>
              <w:t>表 2    基岩</w:t>
            </w:r>
            <w:r>
              <w:rPr>
                <w:rFonts w:ascii="NotoSansHans" w:hAnsi="NotoSansHans" w:eastAsia="NotoSansHans"/>
                <w:b/>
                <w:i w:val="0"/>
                <w:color w:val="221F1F"/>
                <w:sz w:val="16"/>
                <w:u w:val="single"/>
              </w:rPr>
              <w:t>凸起地层刀具更换统</w:t>
            </w:r>
            <w:r>
              <w:rPr>
                <w:rFonts w:ascii="NotoSansHans" w:hAnsi="NotoSansHans" w:eastAsia="NotoSansHans"/>
                <w:b/>
                <w:i w:val="0"/>
                <w:color w:val="221F1F"/>
                <w:sz w:val="16"/>
              </w:rPr>
              <w:t>计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4"/>
              </w:rPr>
              <w:t>地    层</w:t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4"/>
                <w:u w:val="single"/>
              </w:rPr>
              <w:t>基岩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4"/>
              </w:rPr>
              <w:t>突起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2.0" w:type="dxa"/>
            </w:tblPr>
            <w:tblGrid>
              <w:gridCol w:w="1449"/>
              <w:gridCol w:w="1449"/>
              <w:gridCol w:w="1449"/>
              <w:gridCol w:w="1449"/>
              <w:gridCol w:w="1449"/>
              <w:gridCol w:w="1449"/>
              <w:gridCol w:w="1449"/>
            </w:tblGrid>
            <w:tr>
              <w:trPr>
                <w:trHeight w:hRule="exact" w:val="198"/>
              </w:trPr>
              <w:tc>
                <w:tcPr>
                  <w:tcW w:type="dxa" w:w="191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824"/>
                  <w:gridSpan w:val="6"/>
                  <w:tcBorders>
                    <w:start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96"/>
              </w:trPr>
              <w:tc>
                <w:tcPr>
                  <w:tcW w:type="dxa" w:w="191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4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4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4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6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4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2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96"/>
              </w:trPr>
              <w:tc>
                <w:tcPr>
                  <w:tcW w:type="dxa" w:w="191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4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4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4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6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4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2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96"/>
              </w:trPr>
              <w:tc>
                <w:tcPr>
                  <w:tcW w:type="dxa" w:w="191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4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4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4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6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4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2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98"/>
              </w:trPr>
              <w:tc>
                <w:tcPr>
                  <w:tcW w:type="dxa" w:w="191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4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4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4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6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4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2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684" w:val="left"/>
                <w:tab w:pos="742" w:val="left"/>
                <w:tab w:pos="4180" w:val="left"/>
                <w:tab w:pos="5476" w:val="left"/>
                <w:tab w:pos="5522" w:val="left"/>
                <w:tab w:pos="8130" w:val="left"/>
                <w:tab w:pos="9434" w:val="left"/>
              </w:tabs>
              <w:autoSpaceDE w:val="0"/>
              <w:widowControl/>
              <w:spacing w:line="314" w:lineRule="exact" w:before="86" w:after="0"/>
              <w:ind w:left="374" w:right="0" w:firstLine="0"/>
              <w:jc w:val="left"/>
            </w:pP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4"/>
              </w:rPr>
              <w:t>刀具异常磨损量数/把</w:t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4"/>
              </w:rPr>
              <w:t xml:space="preserve">27 </w:t>
            </w:r>
            <w:r>
              <w:tab/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4"/>
              </w:rPr>
              <w:t xml:space="preserve">3 </w:t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4"/>
              </w:rPr>
              <w:t xml:space="preserve">0 </w:t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4"/>
              </w:rPr>
              <w:t>7</w:t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综上,掘进过程中必须做好刀具管理。结合盾构掘进</w:t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换,将导致刀盘异常磨损,因此基岩凸起地层掘进过程中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必须做好刀具管理,及时研判并及时抽检。本工程根据刀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参数变化情况,利用刀具旋转监测装置、刀具温度监测装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置、刀具磨损量检测装置,实时掌握刀具情况;刀具管理</w:t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具的消耗情况并结合旋转、温度检测系统,制定了常压滚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以“掘前检查、掘时监控、有疑必检、有损必换”为基本</w:t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刀抽检标准及常压切刀更换标准,分别如表3、表4所示。</w:t>
            </w:r>
          </w:p>
          <w:p>
            <w:pPr>
              <w:autoSpaceDN w:val="0"/>
              <w:autoSpaceDE w:val="0"/>
              <w:widowControl/>
              <w:spacing w:line="514" w:lineRule="exact" w:before="0" w:after="0"/>
              <w:ind w:left="374" w:right="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原则,切忌盲目施工。若刀具磨损量过大,未及时进行更</w:t>
            </w:r>
          </w:p>
          <w:p>
            <w:pPr>
              <w:autoSpaceDN w:val="0"/>
              <w:autoSpaceDE w:val="0"/>
              <w:widowControl/>
              <w:spacing w:line="456" w:lineRule="exact" w:before="0" w:after="0"/>
              <w:ind w:left="0" w:right="4032" w:firstLine="0"/>
              <w:jc w:val="right"/>
            </w:pPr>
            <w:r>
              <w:rPr>
                <w:rFonts w:ascii="NotoSansHans" w:hAnsi="NotoSansHans" w:eastAsia="NotoSansHans"/>
                <w:b/>
                <w:i w:val="0"/>
                <w:color w:val="221F1F"/>
                <w:sz w:val="16"/>
              </w:rPr>
              <w:t>表 3    常压滚刀抽检标准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" w:type="dxa"/>
            </w:tblPr>
            <w:tblGrid>
              <w:gridCol w:w="2535"/>
              <w:gridCol w:w="2535"/>
              <w:gridCol w:w="2535"/>
              <w:gridCol w:w="2535"/>
            </w:tblGrid>
            <w:tr>
              <w:trPr>
                <w:trHeight w:hRule="exact" w:val="200"/>
              </w:trPr>
              <w:tc>
                <w:tcPr>
                  <w:tcW w:type="dxa" w:w="56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0" w:after="0"/>
                    <w:ind w:left="0" w:right="74" w:firstLine="0"/>
                    <w:jc w:val="right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 xml:space="preserve">   号</w:t>
                  </w:r>
                </w:p>
              </w:tc>
              <w:tc>
                <w:tcPr>
                  <w:tcW w:type="dxa" w:w="1550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抽刀紧急程度</w:t>
                  </w:r>
                </w:p>
              </w:tc>
              <w:tc>
                <w:tcPr>
                  <w:tcW w:type="dxa" w:w="538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评估标准</w:t>
                  </w:r>
                </w:p>
              </w:tc>
              <w:tc>
                <w:tcPr>
                  <w:tcW w:type="dxa" w:w="2250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备    注</w:t>
                  </w:r>
                </w:p>
              </w:tc>
            </w:tr>
            <w:tr>
              <w:trPr>
                <w:trHeight w:hRule="exact" w:val="530"/>
              </w:trPr>
              <w:tc>
                <w:tcPr>
                  <w:tcW w:type="dxa" w:w="56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1</w:t>
                  </w:r>
                </w:p>
              </w:tc>
              <w:tc>
                <w:tcPr>
                  <w:tcW w:type="dxa" w:w="1550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立即停止推进抽检</w:t>
                  </w:r>
                </w:p>
              </w:tc>
              <w:tc>
                <w:tcPr>
                  <w:tcW w:type="dxa" w:w="538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（1）持续不旋转超过20 min,且更换刀盘转向仍持续20 min不旋转;</w:t>
                  </w: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（2）持续出现温度高于相邻轨迹滚刀温度3 ℃超过10 min,经处理温度仍然没有明显</w:t>
                  </w: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改善</w:t>
                  </w:r>
                </w:p>
              </w:tc>
              <w:tc>
                <w:tcPr>
                  <w:tcW w:type="dxa" w:w="2250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出现任何一种情况立即抽检</w:t>
                  </w:r>
                </w:p>
              </w:tc>
            </w:tr>
            <w:tr>
              <w:trPr>
                <w:trHeight w:hRule="exact" w:val="700"/>
              </w:trPr>
              <w:tc>
                <w:tcPr>
                  <w:tcW w:type="dxa" w:w="56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144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2</w:t>
                  </w:r>
                </w:p>
              </w:tc>
              <w:tc>
                <w:tcPr>
                  <w:tcW w:type="dxa" w:w="1550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144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当环掘进完成后抽检</w:t>
                  </w:r>
                </w:p>
              </w:tc>
              <w:tc>
                <w:tcPr>
                  <w:tcW w:type="dxa" w:w="538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（1）持续出现温度高于邻轨迹滚刀温度2 ℃超过10 min,经处理温度仍然没有明显改</w:t>
                  </w: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善;</w:t>
                  </w: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（2）刀具磨损监测压力应不低于80 bar,若出现液压检测泄压现象,排查确认是否为</w:t>
                  </w: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刀具磨损压力装置破坏</w:t>
                  </w:r>
                </w:p>
              </w:tc>
              <w:tc>
                <w:tcPr>
                  <w:tcW w:type="dxa" w:w="2250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出现任何一种情况,当环掘进完</w:t>
                  </w: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成后抽查</w:t>
                  </w:r>
                </w:p>
              </w:tc>
            </w:tr>
            <w:tr>
              <w:trPr>
                <w:trHeight w:hRule="exact" w:val="536"/>
              </w:trPr>
              <w:tc>
                <w:tcPr>
                  <w:tcW w:type="dxa" w:w="56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3</w:t>
                  </w:r>
                </w:p>
              </w:tc>
              <w:tc>
                <w:tcPr>
                  <w:tcW w:type="dxa" w:w="1550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其他需要抽检刀具情况</w:t>
                  </w:r>
                </w:p>
              </w:tc>
              <w:tc>
                <w:tcPr>
                  <w:tcW w:type="dxa" w:w="538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0" w:after="0"/>
                    <w:ind w:left="20" w:right="0" w:firstLine="0"/>
                    <w:jc w:val="left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（1）掘进过程中发生（刀盘异响、扭矩波动过大等）一切不同平常的异常情况;</w:t>
                  </w: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（2）根据刀具系统检测超过磨损指标,对工序三环内进行抽检;</w:t>
                  </w: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（3）更换新刀后,相邻轨迹刀具高差不得超过15 mm</w:t>
                  </w:r>
                </w:p>
              </w:tc>
              <w:tc>
                <w:tcPr>
                  <w:tcW w:type="dxa" w:w="2250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刀具工程师报告机械总工程师,</w:t>
                  </w: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下达处理指令</w:t>
                  </w:r>
                </w:p>
              </w:tc>
            </w:tr>
            <w:tr>
              <w:trPr>
                <w:trHeight w:hRule="exact" w:val="700"/>
              </w:trPr>
              <w:tc>
                <w:tcPr>
                  <w:tcW w:type="dxa" w:w="9756"/>
                  <w:gridSpan w:val="4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0" w:after="0"/>
                    <w:ind w:left="20" w:right="0" w:firstLine="0"/>
                    <w:jc w:val="left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更换原则：</w:t>
                  </w: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（1）起弧区滚刀更换刀具须使用新刀,其他刀位更换刀具优先使用高（同）刀位更换下来状况较好的刀具,低刀位更换下来的刀具不能安装到高刀位使用;</w:t>
                  </w: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（2）必须安装旋转/温度传感器和液压磨损装置,且状态均完好;</w:t>
                  </w: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（3）若检查发现某一刀位刀具磨损严重,必须检查更换相邻轨迹刀具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56" w:lineRule="exact" w:before="0" w:after="0"/>
              <w:ind w:left="0" w:right="4032" w:firstLine="0"/>
              <w:jc w:val="right"/>
            </w:pPr>
            <w:r>
              <w:rPr>
                <w:rFonts w:ascii="NotoSansHans" w:hAnsi="NotoSansHans" w:eastAsia="NotoSansHans"/>
                <w:b/>
                <w:i w:val="0"/>
                <w:color w:val="221F1F"/>
                <w:sz w:val="16"/>
              </w:rPr>
              <w:t>表 4    常压切刀更换标准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2.0" w:type="dxa"/>
            </w:tblPr>
            <w:tblGrid>
              <w:gridCol w:w="2028"/>
              <w:gridCol w:w="2028"/>
              <w:gridCol w:w="2028"/>
              <w:gridCol w:w="2028"/>
              <w:gridCol w:w="2028"/>
            </w:tblGrid>
            <w:tr>
              <w:trPr>
                <w:trHeight w:hRule="exact" w:val="260"/>
              </w:trPr>
              <w:tc>
                <w:tcPr>
                  <w:tcW w:type="dxa" w:w="674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序    号</w:t>
                  </w:r>
                </w:p>
              </w:tc>
              <w:tc>
                <w:tcPr>
                  <w:tcW w:type="dxa" w:w="118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常压切刀类型</w:t>
                  </w:r>
                </w:p>
              </w:tc>
              <w:tc>
                <w:tcPr>
                  <w:tcW w:type="dxa" w:w="1196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掘进环数/环</w:t>
                  </w:r>
                </w:p>
              </w:tc>
              <w:tc>
                <w:tcPr>
                  <w:tcW w:type="dxa" w:w="424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情况说明</w:t>
                  </w:r>
                </w:p>
              </w:tc>
              <w:tc>
                <w:tcPr>
                  <w:tcW w:type="dxa" w:w="2454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备    注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674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1</w:t>
                  </w:r>
                </w:p>
              </w:tc>
              <w:tc>
                <w:tcPr>
                  <w:tcW w:type="dxa" w:w="118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正面切刀</w:t>
                  </w:r>
                </w:p>
              </w:tc>
              <w:tc>
                <w:tcPr>
                  <w:tcW w:type="dxa" w:w="1196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80～120</w:t>
                  </w:r>
                </w:p>
              </w:tc>
              <w:tc>
                <w:tcPr>
                  <w:tcW w:type="dxa" w:w="4248"/>
                  <w:vMerge w:val="restart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（1）根据当时施工情况进行更换;</w:t>
                  </w: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（2）对应编号的刀具须在开始更换环数至结束更换环数内全部更</w:t>
                  </w: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换完成;</w:t>
                  </w: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（3）地层发生变化时,将根据刀具实际检查情况调整掘进环数指标</w:t>
                  </w:r>
                </w:p>
              </w:tc>
              <w:tc>
                <w:tcPr>
                  <w:tcW w:type="dxa" w:w="2454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如有异常情况,立即停机更换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674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2</w:t>
                  </w:r>
                </w:p>
              </w:tc>
              <w:tc>
                <w:tcPr>
                  <w:tcW w:type="dxa" w:w="118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起弧区切刀</w:t>
                  </w:r>
                </w:p>
              </w:tc>
              <w:tc>
                <w:tcPr>
                  <w:tcW w:type="dxa" w:w="1196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60～80</w:t>
                  </w:r>
                </w:p>
              </w:tc>
              <w:tc>
                <w:tcPr>
                  <w:tcW w:type="dxa" w:w="2028"/>
                  <w:vMerge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</w:tcPr>
                <w:p/>
              </w:tc>
              <w:tc>
                <w:tcPr>
                  <w:tcW w:type="dxa" w:w="2454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达到强制性要求更换环数,必须更换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674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3</w:t>
                  </w:r>
                </w:p>
              </w:tc>
              <w:tc>
                <w:tcPr>
                  <w:tcW w:type="dxa" w:w="1188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边缘切刀</w:t>
                  </w:r>
                </w:p>
              </w:tc>
              <w:tc>
                <w:tcPr>
                  <w:tcW w:type="dxa" w:w="1196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40～60</w:t>
                  </w:r>
                </w:p>
              </w:tc>
              <w:tc>
                <w:tcPr>
                  <w:tcW w:type="dxa" w:w="2028"/>
                  <w:vMerge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</w:tcPr>
                <w:p/>
              </w:tc>
              <w:tc>
                <w:tcPr>
                  <w:tcW w:type="dxa" w:w="2454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  <w:bottom w:sz="5.671999931335449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达到强制性要求更换环数,必须更换</w:t>
                  </w:r>
                </w:p>
              </w:tc>
            </w:tr>
            <w:tr>
              <w:trPr>
                <w:trHeight w:hRule="exact" w:val="680"/>
              </w:trPr>
              <w:tc>
                <w:tcPr>
                  <w:tcW w:type="dxa" w:w="9760"/>
                  <w:gridSpan w:val="5"/>
                  <w:tcBorders>
                    <w:start w:sz="5.671999931335449" w:val="single" w:color="#221F1F"/>
                    <w:top w:sz="5.671999931335449" w:val="single" w:color="#221F1F"/>
                    <w:end w:sz="5.671999931335449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0" w:after="0"/>
                    <w:ind w:left="20" w:right="0" w:firstLine="0"/>
                    <w:jc w:val="left"/>
                  </w:pP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更换原则：</w:t>
                  </w: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（1）当班必须完成同刀位一对刀具更换;</w:t>
                  </w: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（2）起弧区滚刀更换刀具须使用新刀,其他刀位更换刀具优先使用高（同）刀位更换下来状况较好的刀具,低刀位更换下来的刀具不能安装到高刀位使用由</w:t>
                  </w:r>
                  <w:r>
                    <w:rPr>
                      <w:rFonts w:ascii="NotoSansHans" w:hAnsi="NotoSansHans" w:eastAsia="NotoSansHans"/>
                      <w:b w:val="0"/>
                      <w:i w:val="0"/>
                      <w:color w:val="221F1F"/>
                      <w:sz w:val="14"/>
                    </w:rPr>
                    <w:t>刀具工程师报机械总工程师进行停机更换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456" w:lineRule="exact" w:before="168" w:after="0"/>
        <w:ind w:left="0" w:right="214" w:firstLine="0"/>
        <w:jc w:val="right"/>
      </w:pPr>
      <w:r>
        <w:rPr>
          <w:rFonts w:ascii="SourceHanSerifCN" w:hAnsi="SourceHanSerifCN" w:eastAsia="SourceHanSerifCN"/>
          <w:b w:val="0"/>
          <w:i w:val="0"/>
          <w:color w:val="221F1F"/>
          <w:sz w:val="16"/>
        </w:rPr>
        <w:t>93</w:t>
      </w:r>
    </w:p>
    <w:p>
      <w:pPr>
        <w:autoSpaceDN w:val="0"/>
        <w:tabs>
          <w:tab w:pos="1240" w:val="left"/>
        </w:tabs>
        <w:autoSpaceDE w:val="0"/>
        <w:widowControl/>
        <w:spacing w:line="240" w:lineRule="auto" w:before="1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" cy="165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371600" cy="152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441"/>
          <w:pgMar w:top="302" w:right="972" w:bottom="170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469900</wp:posOffset>
            </wp:positionV>
            <wp:extent cx="6286500" cy="3302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0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648970</wp:posOffset>
            </wp:positionH>
            <wp:positionV relativeFrom="page">
              <wp:posOffset>3343910</wp:posOffset>
            </wp:positionV>
            <wp:extent cx="2943860" cy="1265311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3860" cy="126531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4089400</wp:posOffset>
            </wp:positionV>
            <wp:extent cx="381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4000500</wp:posOffset>
            </wp:positionV>
            <wp:extent cx="381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3975100</wp:posOffset>
            </wp:positionV>
            <wp:extent cx="88900" cy="508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4038600</wp:posOffset>
            </wp:positionV>
            <wp:extent cx="381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4025900</wp:posOffset>
            </wp:positionV>
            <wp:extent cx="50800" cy="38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3987800</wp:posOffset>
            </wp:positionV>
            <wp:extent cx="88900" cy="508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3975100</wp:posOffset>
            </wp:positionV>
            <wp:extent cx="508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3175000</wp:posOffset>
            </wp:positionH>
            <wp:positionV relativeFrom="page">
              <wp:posOffset>3924300</wp:posOffset>
            </wp:positionV>
            <wp:extent cx="38100" cy="381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3924300</wp:posOffset>
            </wp:positionV>
            <wp:extent cx="38100" cy="381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3911600</wp:posOffset>
            </wp:positionV>
            <wp:extent cx="38100" cy="38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3860800</wp:posOffset>
            </wp:positionV>
            <wp:extent cx="38100" cy="38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3822700</wp:posOffset>
            </wp:positionV>
            <wp:extent cx="38100" cy="381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3632200</wp:posOffset>
            </wp:positionV>
            <wp:extent cx="88900" cy="38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3632200</wp:posOffset>
            </wp:positionV>
            <wp:extent cx="63500" cy="38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3632200</wp:posOffset>
            </wp:positionV>
            <wp:extent cx="139700" cy="381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3746500</wp:posOffset>
            </wp:positionV>
            <wp:extent cx="50800" cy="381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3632200</wp:posOffset>
            </wp:positionV>
            <wp:extent cx="76200" cy="50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3632200</wp:posOffset>
            </wp:positionV>
            <wp:extent cx="38100" cy="38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3632200</wp:posOffset>
            </wp:positionV>
            <wp:extent cx="177800" cy="508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5036820</wp:posOffset>
            </wp:positionV>
            <wp:extent cx="2943860" cy="1316509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43860" cy="131650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5803900</wp:posOffset>
            </wp:positionV>
            <wp:extent cx="38100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5727700</wp:posOffset>
            </wp:positionV>
            <wp:extent cx="381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5626100</wp:posOffset>
            </wp:positionV>
            <wp:extent cx="381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5511800</wp:posOffset>
            </wp:positionV>
            <wp:extent cx="508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5549900</wp:posOffset>
            </wp:positionV>
            <wp:extent cx="5080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5346700</wp:posOffset>
            </wp:positionV>
            <wp:extent cx="38100" cy="38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5295900</wp:posOffset>
            </wp:positionV>
            <wp:extent cx="38100" cy="381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5245100</wp:posOffset>
            </wp:positionV>
            <wp:extent cx="38100" cy="381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5245100</wp:posOffset>
            </wp:positionV>
            <wp:extent cx="38100" cy="381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5232400</wp:posOffset>
            </wp:positionV>
            <wp:extent cx="38100" cy="381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5651500</wp:posOffset>
            </wp:positionV>
            <wp:extent cx="25400" cy="254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5651500</wp:posOffset>
            </wp:positionV>
            <wp:extent cx="25400" cy="254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5626100</wp:posOffset>
            </wp:positionV>
            <wp:extent cx="25400" cy="254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5613400</wp:posOffset>
            </wp:positionV>
            <wp:extent cx="38100" cy="508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5486400</wp:posOffset>
            </wp:positionV>
            <wp:extent cx="25400" cy="254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5486400</wp:posOffset>
            </wp:positionV>
            <wp:extent cx="25400" cy="254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5232400</wp:posOffset>
            </wp:positionV>
            <wp:extent cx="38100" cy="254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2" w:lineRule="exact" w:before="0" w:after="428"/>
        <w:ind w:left="1096" w:right="0" w:firstLine="0"/>
        <w:jc w:val="left"/>
      </w:pPr>
      <w:r>
        <w:rPr>
          <w:rFonts w:ascii="NotoSansHans" w:hAnsi="NotoSansHans" w:eastAsia="NotoSansHans"/>
          <w:b w:val="0"/>
          <w:i w:val="0"/>
          <w:color w:val="000000"/>
          <w:sz w:val="20"/>
        </w:rPr>
        <w:t>工程技术交流</w:t>
      </w:r>
      <w:r>
        <w:rPr>
          <w:rFonts w:ascii="NotoSansHans" w:hAnsi="NotoSansHans" w:eastAsia="NotoSansHans"/>
          <w:b w:val="0"/>
          <w:i w:val="0"/>
          <w:color w:val="000000"/>
          <w:sz w:val="16"/>
        </w:rPr>
        <w:t xml:space="preserve">PROJECT MANAGEMENT </w:t>
      </w:r>
    </w:p>
    <w:p>
      <w:pPr>
        <w:sectPr>
          <w:pgSz w:w="11906" w:h="16441"/>
          <w:pgMar w:top="302" w:right="1066" w:bottom="170" w:left="420" w:header="720" w:footer="720" w:gutter="0"/>
          <w:cols/>
          <w:docGrid w:linePitch="360"/>
        </w:sectPr>
      </w:pPr>
    </w:p>
    <w:p>
      <w:pPr>
        <w:autoSpaceDN w:val="0"/>
        <w:tabs>
          <w:tab w:pos="968" w:val="left"/>
        </w:tabs>
        <w:autoSpaceDE w:val="0"/>
        <w:widowControl/>
        <w:spacing w:line="306" w:lineRule="exact" w:before="264" w:after="48"/>
        <w:ind w:left="600" w:right="144" w:firstLine="0"/>
        <w:jc w:val="left"/>
      </w:pPr>
      <w:r>
        <w:rPr>
          <w:rFonts w:ascii="NotoSansHans" w:hAnsi="NotoSansHans" w:eastAsia="NotoSansHans"/>
          <w:b/>
          <w:i w:val="0"/>
          <w:color w:val="221F1F"/>
          <w:sz w:val="20"/>
        </w:rPr>
        <w:t>3.3    施工风险应对措施及效果</w:t>
      </w:r>
      <w:r>
        <w:br/>
      </w:r>
      <w:r>
        <w:tab/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超大直径盾构掘进过程中主控掘进参数。以北线基岩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凸起1 165～1 185环与1 119～1 281环为例,掘进长度为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209.79 m,施工总耗时为64 d。对基岩凸起段的掘进参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数进行分析,如图3、图4所示。盾构机,掘进过程中,掘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进参数主要以刀盘转速为1.0～1.3 r/min、扭矩波动不大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于1 000 kN·m进行控制,但掘进过程中发现在推力控制较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稳的基础上,挤压力、扭矩波动较大,分析是由基岩岩面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高度及硬度变化引起的。因此,为保证开挖面稳定,需要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对泥浆循环参数进行控制管理。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473"/>
        <w:gridCol w:w="3473"/>
        <w:gridCol w:w="3473"/>
      </w:tblGrid>
      <w:tr>
        <w:trPr>
          <w:trHeight w:hRule="exact" w:val="2004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6" w:after="0"/>
              <w:ind w:left="564" w:right="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>9 000</w:t>
            </w:r>
          </w:p>
          <w:p>
            <w:pPr>
              <w:autoSpaceDN w:val="0"/>
              <w:autoSpaceDE w:val="0"/>
              <w:widowControl/>
              <w:spacing w:line="230" w:lineRule="exact" w:before="0" w:after="0"/>
              <w:ind w:left="564" w:right="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>8 000</w:t>
            </w:r>
          </w:p>
          <w:p>
            <w:pPr>
              <w:autoSpaceDN w:val="0"/>
              <w:tabs>
                <w:tab w:pos="564" w:val="left"/>
              </w:tabs>
              <w:autoSpaceDE w:val="0"/>
              <w:widowControl/>
              <w:spacing w:line="324" w:lineRule="exact" w:before="0" w:after="0"/>
              <w:ind w:left="348" w:right="3600" w:firstLine="0"/>
              <w:jc w:val="left"/>
            </w:pP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>7 000</w:t>
            </w:r>
            <w:r>
              <w:br/>
            </w:r>
            <w:r>
              <w:rPr>
                <w:rFonts w:ascii="NotoSansHans" w:hAnsi="NotoSansHans" w:eastAsia="NotoSansHans"/>
                <w:b w:val="0"/>
                <w:i w:val="0"/>
                <w:strike/>
                <w:color w:val="221F1F"/>
                <w:sz w:val="8"/>
              </w:rPr>
              <w:t>推力（t）/扭矩（kN·m）</w:t>
            </w:r>
            <w:r>
              <w:br/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>6 000</w:t>
            </w:r>
          </w:p>
          <w:p>
            <w:pPr>
              <w:autoSpaceDN w:val="0"/>
              <w:autoSpaceDE w:val="0"/>
              <w:widowControl/>
              <w:spacing w:line="230" w:lineRule="exact" w:before="0" w:after="0"/>
              <w:ind w:left="564" w:right="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>5 000</w:t>
            </w:r>
          </w:p>
          <w:p>
            <w:pPr>
              <w:autoSpaceDN w:val="0"/>
              <w:autoSpaceDE w:val="0"/>
              <w:widowControl/>
              <w:spacing w:line="230" w:lineRule="exact" w:before="0" w:after="0"/>
              <w:ind w:left="564" w:right="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>4 000</w:t>
            </w:r>
          </w:p>
          <w:p>
            <w:pPr>
              <w:autoSpaceDN w:val="0"/>
              <w:autoSpaceDE w:val="0"/>
              <w:widowControl/>
              <w:spacing w:line="230" w:lineRule="exact" w:before="0" w:after="0"/>
              <w:ind w:left="564" w:right="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>3 000</w:t>
            </w:r>
          </w:p>
          <w:p>
            <w:pPr>
              <w:autoSpaceDN w:val="0"/>
              <w:autoSpaceDE w:val="0"/>
              <w:widowControl/>
              <w:spacing w:line="230" w:lineRule="exact" w:before="0" w:after="0"/>
              <w:ind w:left="564" w:right="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>2 000</w:t>
            </w:r>
          </w:p>
          <w:p>
            <w:pPr>
              <w:autoSpaceDN w:val="0"/>
              <w:autoSpaceDE w:val="0"/>
              <w:widowControl/>
              <w:spacing w:line="230" w:lineRule="exact" w:before="0" w:after="0"/>
              <w:ind w:left="564" w:right="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>1 000</w:t>
            </w:r>
          </w:p>
          <w:p>
            <w:pPr>
              <w:autoSpaceDN w:val="0"/>
              <w:autoSpaceDE w:val="0"/>
              <w:widowControl/>
              <w:spacing w:line="230" w:lineRule="exact" w:before="0" w:after="0"/>
              <w:ind w:left="714" w:right="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>0</w:t>
            </w:r>
          </w:p>
          <w:p>
            <w:pPr>
              <w:autoSpaceDN w:val="0"/>
              <w:autoSpaceDE w:val="0"/>
              <w:widowControl/>
              <w:spacing w:line="162" w:lineRule="exact" w:before="66" w:after="0"/>
              <w:ind w:left="0" w:right="1816" w:firstLine="0"/>
              <w:jc w:val="both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1 162 </w:t>
            </w:r>
            <w:r>
              <w:br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116 3 </w:t>
            </w:r>
            <w:r>
              <w:br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1 164 </w:t>
            </w:r>
            <w:r>
              <w:br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1 165 </w:t>
            </w:r>
            <w:r>
              <w:br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1 166 </w:t>
            </w:r>
            <w:r>
              <w:br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1 167 </w:t>
            </w:r>
            <w:r>
              <w:br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1 168 </w:t>
            </w:r>
            <w:r>
              <w:br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1 169 </w:t>
            </w:r>
            <w:r>
              <w:br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1 170 </w:t>
            </w:r>
            <w:r>
              <w:br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1 171 </w:t>
            </w:r>
            <w:r>
              <w:br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1 172 </w:t>
            </w:r>
            <w:r>
              <w:br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1 173 </w:t>
            </w:r>
            <w:r>
              <w:br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1 174 </w:t>
            </w:r>
            <w:r>
              <w:br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1 175 </w:t>
            </w:r>
            <w:r>
              <w:br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1 176 </w:t>
            </w:r>
            <w:r>
              <w:br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1 177 </w:t>
            </w:r>
            <w:r>
              <w:br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1 178 </w:t>
            </w:r>
            <w:r>
              <w:br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1 179 </w:t>
            </w:r>
            <w:r>
              <w:br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1 180 </w:t>
            </w:r>
            <w:r>
              <w:br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1 181 </w:t>
            </w:r>
            <w:r>
              <w:br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1 183 </w:t>
            </w:r>
            <w:r>
              <w:br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1 184 </w:t>
            </w:r>
            <w:r>
              <w:br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>1 185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6" w:after="0"/>
              <w:ind w:left="22" w:right="8" w:firstLine="0"/>
              <w:jc w:val="both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800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700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600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500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400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300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200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100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>0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28" w:lineRule="exact" w:before="8" w:after="0"/>
              <w:ind w:left="0" w:right="712" w:firstLine="0"/>
              <w:jc w:val="righ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>挤压力（t）</w:t>
            </w:r>
          </w:p>
        </w:tc>
      </w:tr>
      <w:tr>
        <w:trPr>
          <w:trHeight w:hRule="exact" w:val="7930"/>
        </w:trPr>
        <w:tc>
          <w:tcPr>
            <w:tcW w:type="dxa" w:w="5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30" w:val="left"/>
                <w:tab w:pos="1798" w:val="left"/>
                <w:tab w:pos="2566" w:val="left"/>
              </w:tabs>
              <w:autoSpaceDE w:val="0"/>
              <w:widowControl/>
              <w:spacing w:line="238" w:lineRule="exact" w:before="0" w:after="0"/>
              <w:ind w:left="1056" w:right="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strike/>
                <w:color w:val="221F1F"/>
                <w:sz w:val="8"/>
              </w:rPr>
              <w:t>推力</w:t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strike/>
                <w:color w:val="221F1F"/>
                <w:sz w:val="8"/>
              </w:rPr>
              <w:t>扭矩</w:t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strike/>
                <w:color w:val="221F1F"/>
                <w:sz w:val="8"/>
              </w:rPr>
              <w:t>挤压力</w:t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strike/>
                <w:color w:val="221F1F"/>
                <w:sz w:val="8"/>
              </w:rPr>
              <w:t>环号</w:t>
            </w:r>
          </w:p>
          <w:p>
            <w:pPr>
              <w:autoSpaceDN w:val="0"/>
              <w:autoSpaceDE w:val="0"/>
              <w:widowControl/>
              <w:spacing w:line="456" w:lineRule="exact" w:before="0" w:after="0"/>
              <w:ind w:left="972" w:right="0" w:firstLine="0"/>
              <w:jc w:val="left"/>
            </w:pPr>
            <w:r>
              <w:rPr>
                <w:rFonts w:ascii="NotoSansHans" w:hAnsi="NotoSansHans" w:eastAsia="NotoSansHans"/>
                <w:b/>
                <w:i w:val="0"/>
                <w:color w:val="221F1F"/>
                <w:sz w:val="16"/>
              </w:rPr>
              <w:t>图 3    1 165～1 185环段基岩凸起地层掘进参数</w:t>
            </w:r>
          </w:p>
          <w:p>
            <w:pPr>
              <w:autoSpaceDN w:val="0"/>
              <w:tabs>
                <w:tab w:pos="4620" w:val="left"/>
              </w:tabs>
              <w:autoSpaceDE w:val="0"/>
              <w:widowControl/>
              <w:spacing w:line="228" w:lineRule="exact" w:before="60" w:after="0"/>
              <w:ind w:left="468" w:right="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8 000 </w:t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>900</w:t>
            </w:r>
          </w:p>
          <w:p>
            <w:pPr>
              <w:autoSpaceDN w:val="0"/>
              <w:tabs>
                <w:tab w:pos="4620" w:val="left"/>
              </w:tabs>
              <w:autoSpaceDE w:val="0"/>
              <w:widowControl/>
              <w:spacing w:line="228" w:lineRule="exact" w:before="0" w:after="0"/>
              <w:ind w:left="468" w:right="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7 000 </w:t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>800</w:t>
            </w:r>
          </w:p>
          <w:p>
            <w:pPr>
              <w:autoSpaceDN w:val="0"/>
              <w:tabs>
                <w:tab w:pos="4620" w:val="left"/>
              </w:tabs>
              <w:autoSpaceDE w:val="0"/>
              <w:widowControl/>
              <w:spacing w:line="228" w:lineRule="exact" w:before="0" w:after="0"/>
              <w:ind w:left="468" w:right="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6 000 </w:t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>700</w:t>
            </w:r>
          </w:p>
          <w:p>
            <w:pPr>
              <w:autoSpaceDN w:val="0"/>
              <w:tabs>
                <w:tab w:pos="468" w:val="left"/>
              </w:tabs>
              <w:autoSpaceDE w:val="0"/>
              <w:widowControl/>
              <w:spacing w:line="0" w:lineRule="exact" w:before="920" w:after="0"/>
              <w:ind w:left="298" w:right="432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strike/>
                <w:color w:val="221F1F"/>
                <w:sz w:val="8"/>
              </w:rPr>
              <w:t>推力（t）/扭矩（kN·m）</w:t>
            </w:r>
            <w:r>
              <w:br/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>5 000</w:t>
            </w:r>
          </w:p>
          <w:p>
            <w:pPr>
              <w:autoSpaceDN w:val="0"/>
              <w:autoSpaceDE w:val="0"/>
              <w:widowControl/>
              <w:spacing w:line="228" w:lineRule="exact" w:before="0" w:after="0"/>
              <w:ind w:left="468" w:right="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>4 000</w:t>
            </w:r>
          </w:p>
          <w:p>
            <w:pPr>
              <w:autoSpaceDN w:val="0"/>
              <w:tabs>
                <w:tab w:pos="4620" w:val="left"/>
              </w:tabs>
              <w:autoSpaceDE w:val="0"/>
              <w:widowControl/>
              <w:spacing w:line="344" w:lineRule="exact" w:before="0" w:after="0"/>
              <w:ind w:left="468" w:right="288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3 000 </w:t>
            </w:r>
            <w:r>
              <w:br/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>600</w:t>
            </w:r>
          </w:p>
          <w:p>
            <w:pPr>
              <w:autoSpaceDN w:val="0"/>
              <w:autoSpaceDE w:val="0"/>
              <w:widowControl/>
              <w:spacing w:line="228" w:lineRule="exact" w:before="0" w:after="0"/>
              <w:ind w:left="0" w:right="328" w:firstLine="0"/>
              <w:jc w:val="righ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>500</w:t>
            </w:r>
          </w:p>
          <w:p>
            <w:pPr>
              <w:autoSpaceDN w:val="0"/>
              <w:autoSpaceDE w:val="0"/>
              <w:widowControl/>
              <w:spacing w:line="228" w:lineRule="exact" w:before="0" w:after="0"/>
              <w:ind w:left="0" w:right="328" w:firstLine="0"/>
              <w:jc w:val="righ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>400</w:t>
            </w:r>
          </w:p>
          <w:p>
            <w:pPr>
              <w:autoSpaceDN w:val="0"/>
              <w:tabs>
                <w:tab w:pos="4720" w:val="left"/>
              </w:tabs>
              <w:autoSpaceDE w:val="0"/>
              <w:widowControl/>
              <w:spacing w:line="336" w:lineRule="exact" w:before="0" w:after="0"/>
              <w:ind w:left="4620" w:right="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>300</w:t>
            </w:r>
            <w:r>
              <w:br/>
            </w:r>
            <w:r>
              <w:rPr>
                <w:rFonts w:ascii="NotoSansHans" w:hAnsi="NotoSansHans" w:eastAsia="NotoSansHans"/>
                <w:b w:val="0"/>
                <w:i w:val="0"/>
                <w:strike/>
                <w:color w:val="221F1F"/>
                <w:sz w:val="8"/>
              </w:rPr>
              <w:t>挤压力（t）</w:t>
            </w:r>
          </w:p>
          <w:p>
            <w:pPr>
              <w:autoSpaceDN w:val="0"/>
              <w:tabs>
                <w:tab w:pos="4620" w:val="left"/>
              </w:tabs>
              <w:autoSpaceDE w:val="0"/>
              <w:widowControl/>
              <w:spacing w:line="228" w:lineRule="exact" w:before="0" w:after="0"/>
              <w:ind w:left="468" w:right="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2 000 </w:t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>200</w:t>
            </w:r>
          </w:p>
          <w:p>
            <w:pPr>
              <w:autoSpaceDN w:val="0"/>
              <w:tabs>
                <w:tab w:pos="4620" w:val="left"/>
              </w:tabs>
              <w:autoSpaceDE w:val="0"/>
              <w:widowControl/>
              <w:spacing w:line="228" w:lineRule="exact" w:before="0" w:after="0"/>
              <w:ind w:left="468" w:right="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1 000 </w:t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>100</w:t>
            </w:r>
          </w:p>
          <w:p>
            <w:pPr>
              <w:autoSpaceDN w:val="0"/>
              <w:tabs>
                <w:tab w:pos="4620" w:val="left"/>
              </w:tabs>
              <w:autoSpaceDE w:val="0"/>
              <w:widowControl/>
              <w:spacing w:line="228" w:lineRule="exact" w:before="0" w:after="0"/>
              <w:ind w:left="618" w:right="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0 </w:t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>0</w:t>
            </w:r>
          </w:p>
          <w:p>
            <w:pPr>
              <w:autoSpaceDN w:val="0"/>
              <w:autoSpaceDE w:val="0"/>
              <w:widowControl/>
              <w:spacing w:line="228" w:lineRule="exact" w:before="0" w:after="0"/>
              <w:ind w:left="0" w:right="2412" w:firstLine="0"/>
              <w:jc w:val="right"/>
            </w:pP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>1 19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9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1 201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1 203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1 205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1 207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1 209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1 211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1 213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1 215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1 217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1 219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1 221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1 223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1 225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1 227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1 229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1 231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1 233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1 235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1 237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1 239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1 241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1 243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1 245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1 247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1 249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1 251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1 253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1 255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1 257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1 259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1 261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1 263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1 265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1 267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1 269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1 271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1 273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1 275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1 277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 xml:space="preserve">1 279 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>1 2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8"/>
              </w:rPr>
              <w:t>81</w:t>
            </w:r>
          </w:p>
          <w:p>
            <w:pPr>
              <w:autoSpaceDN w:val="0"/>
              <w:tabs>
                <w:tab w:pos="1260" w:val="left"/>
                <w:tab w:pos="1536" w:val="left"/>
                <w:tab w:pos="2572" w:val="left"/>
              </w:tabs>
              <w:autoSpaceDE w:val="0"/>
              <w:widowControl/>
              <w:spacing w:line="228" w:lineRule="exact" w:before="0" w:after="0"/>
              <w:ind w:left="990" w:right="0" w:firstLine="0"/>
              <w:jc w:val="left"/>
            </w:pPr>
            <w:r>
              <w:rPr>
                <w:rFonts w:ascii="NotoSansHans" w:hAnsi="NotoSansHans" w:eastAsia="NotoSansHans"/>
                <w:b w:val="0"/>
                <w:i w:val="0"/>
                <w:strike/>
                <w:color w:val="221F1F"/>
                <w:sz w:val="8"/>
              </w:rPr>
              <w:t>推力</w:t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strike/>
                <w:color w:val="221F1F"/>
                <w:sz w:val="8"/>
              </w:rPr>
              <w:t>扭矩</w:t>
            </w:r>
            <w:r>
              <w:rPr>
                <w:rFonts w:ascii="NotoSansHans" w:hAnsi="NotoSansHans" w:eastAsia="NotoSansHans"/>
                <w:b w:val="0"/>
                <w:i w:val="0"/>
                <w:strike/>
                <w:color w:val="221F1F"/>
                <w:sz w:val="8"/>
              </w:rPr>
              <w:t>挤压力</w:t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strike/>
                <w:color w:val="221F1F"/>
                <w:sz w:val="8"/>
              </w:rPr>
              <w:t>环号</w:t>
            </w:r>
          </w:p>
          <w:p>
            <w:pPr>
              <w:autoSpaceDN w:val="0"/>
              <w:autoSpaceDE w:val="0"/>
              <w:widowControl/>
              <w:spacing w:line="456" w:lineRule="exact" w:before="0" w:after="0"/>
              <w:ind w:left="974" w:right="0" w:firstLine="0"/>
              <w:jc w:val="left"/>
            </w:pPr>
            <w:r>
              <w:rPr>
                <w:rFonts w:ascii="NotoSansHans" w:hAnsi="NotoSansHans" w:eastAsia="NotoSansHans"/>
                <w:b/>
                <w:i w:val="0"/>
                <w:color w:val="221F1F"/>
                <w:sz w:val="16"/>
              </w:rPr>
              <w:t>图 4    1 119～1 281环段基岩凸起地层掘进参数</w:t>
            </w:r>
          </w:p>
          <w:p>
            <w:pPr>
              <w:autoSpaceDN w:val="0"/>
              <w:tabs>
                <w:tab w:pos="688" w:val="left"/>
              </w:tabs>
              <w:autoSpaceDE w:val="0"/>
              <w:widowControl/>
              <w:spacing w:line="310" w:lineRule="exact" w:before="204" w:after="0"/>
              <w:ind w:left="320" w:right="0" w:firstLine="0"/>
              <w:jc w:val="left"/>
            </w:pPr>
            <w:r>
              <w:rPr>
                <w:rFonts w:ascii="NotoSansHans" w:hAnsi="NotoSansHans" w:eastAsia="NotoSansHans"/>
                <w:b/>
                <w:i w:val="0"/>
                <w:color w:val="221F1F"/>
                <w:sz w:val="18"/>
              </w:rPr>
              <w:t>3.3.1    泥水压力控制</w:t>
            </w:r>
            <w:r>
              <w:br/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在压力控制方面,基岩段理论压力计算是在进入基岩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段前总结优化不同地层的理论建压计算公式上进行的。建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压计算采用每层地质的容重与对应高度乘积之和再乘以隧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道轮廓线顶部地层侧压力系数。淤泥、淤泥质土、黏土地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层采用水土合算,砂土、细砂中粗砂地层采用水土分算。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水土合算分别计算被动土压力及静止土压力,作为压力设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定的上下限,最终还需根据巡视情况、停机液位变化情况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适当调整理论计算压力</w:t>
            </w:r>
            <w:r>
              <w:br/>
            </w:r>
            <w:r>
              <w:tab/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（1）压力的设定。根据地质条件、埋深、计算公式,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淤泥、淤泥质土、黏土地层采用水土合算;砂土、细砂中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粗砂地层采用水土分算。基岩段掘进泥水仓压力按照静止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土压力P</w:t>
            </w:r>
            <w:r>
              <w:rPr>
                <w:w w:val="104.94000434875488"/>
                <w:rFonts w:ascii="NotoSansHans" w:hAnsi="NotoSansHans" w:eastAsia="NotoSansHans"/>
                <w:b w:val="0"/>
                <w:i w:val="0"/>
                <w:color w:val="221F1F"/>
                <w:sz w:val="10"/>
              </w:rPr>
              <w:t xml:space="preserve"> 0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进行设定,并且计算压力设定上下限,下限为主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动土压力P</w:t>
            </w:r>
            <w:r>
              <w:rPr>
                <w:w w:val="104.94000434875488"/>
                <w:rFonts w:ascii="NotoSansHans" w:hAnsi="NotoSansHans" w:eastAsia="NotoSansHans"/>
                <w:b w:val="0"/>
                <w:i w:val="0"/>
                <w:color w:val="221F1F"/>
                <w:sz w:val="10"/>
              </w:rPr>
              <w:t>a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,为最小压力;上限为劈裂压力P</w:t>
            </w:r>
            <w:r>
              <w:rPr>
                <w:w w:val="104.94000434875488"/>
                <w:rFonts w:ascii="NotoSansHans" w:hAnsi="NotoSansHans" w:eastAsia="NotoSansHans"/>
                <w:b w:val="0"/>
                <w:i w:val="0"/>
                <w:color w:val="221F1F"/>
                <w:sz w:val="10"/>
              </w:rPr>
              <w:t>f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,为最大设定</w:t>
            </w:r>
            <w:r>
              <w:rPr>
                <w:rFonts w:ascii="NotoSansHans" w:hAnsi="NotoSansHans" w:eastAsia="NotoSansHans"/>
                <w:b w:val="0"/>
                <w:i w:val="0"/>
                <w:color w:val="221F1F"/>
                <w:sz w:val="18"/>
              </w:rPr>
              <w:t>压力。由于基岩段地层类型较多,计算静止土压力时选取</w:t>
            </w:r>
          </w:p>
        </w:tc>
      </w:tr>
    </w:tbl>
    <w:p>
      <w:pPr>
        <w:autoSpaceDN w:val="0"/>
        <w:autoSpaceDE w:val="0"/>
        <w:widowControl/>
        <w:spacing w:line="456" w:lineRule="exact" w:before="134" w:after="0"/>
        <w:ind w:left="764" w:right="0" w:firstLine="0"/>
        <w:jc w:val="left"/>
      </w:pPr>
      <w:r>
        <w:rPr>
          <w:rFonts w:ascii="SourceHanSerifCN" w:hAnsi="SourceHanSerifCN" w:eastAsia="SourceHanSerifCN"/>
          <w:b w:val="0"/>
          <w:i w:val="0"/>
          <w:color w:val="221F1F"/>
          <w:sz w:val="16"/>
        </w:rPr>
        <w:t>94</w:t>
      </w:r>
    </w:p>
    <w:p>
      <w:pPr>
        <w:autoSpaceDN w:val="0"/>
        <w:tabs>
          <w:tab w:pos="1240" w:val="left"/>
        </w:tabs>
        <w:autoSpaceDE w:val="0"/>
        <w:widowControl/>
        <w:spacing w:line="240" w:lineRule="auto" w:before="1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" cy="165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371600" cy="152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441"/>
          <w:pgMar w:top="302" w:right="1066" w:bottom="170" w:left="420" w:header="720" w:footer="720" w:gutter="0"/>
          <w:cols w:num="2" w:equalWidth="0">
            <w:col w:w="5476" w:space="0"/>
            <w:col w:w="4944" w:space="0"/>
          </w:cols>
          <w:docGrid w:linePitch="360"/>
        </w:sectPr>
      </w:pPr>
    </w:p>
    <w:p>
      <w:pPr>
        <w:autoSpaceDN w:val="0"/>
        <w:autoSpaceDE w:val="0"/>
        <w:widowControl/>
        <w:spacing w:line="310" w:lineRule="exact" w:before="204" w:after="0"/>
        <w:ind w:left="226" w:right="0" w:firstLine="0"/>
        <w:jc w:val="left"/>
      </w:pPr>
      <w:r>
        <w:rPr>
          <w:rFonts w:ascii="NotoSansHans" w:hAnsi="NotoSansHans" w:eastAsia="NotoSansHans"/>
          <w:b w:val="0"/>
          <w:i w:val="0"/>
          <w:color w:val="221F1F"/>
          <w:sz w:val="18"/>
        </w:rPr>
        <w:t>不同侧压力系数对泥水压力设定值影响较大,综合考虑,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 xml:space="preserve">泥水压力设定选取当前位置静止土压力及埋深×0.1＋ 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0.2 bar中的较大值,确保泥水压力设定更加合理。</w:t>
      </w:r>
    </w:p>
    <w:p>
      <w:pPr>
        <w:autoSpaceDN w:val="0"/>
        <w:autoSpaceDE w:val="0"/>
        <w:widowControl/>
        <w:spacing w:line="310" w:lineRule="exact" w:before="204" w:after="0"/>
        <w:ind w:left="226" w:right="68" w:firstLine="370"/>
        <w:jc w:val="both"/>
      </w:pPr>
      <w:r>
        <w:rPr>
          <w:rFonts w:ascii="NotoSansHans" w:hAnsi="NotoSansHans" w:eastAsia="NotoSansHans"/>
          <w:b w:val="0"/>
          <w:i w:val="0"/>
          <w:color w:val="221F1F"/>
          <w:sz w:val="18"/>
        </w:rPr>
        <w:t>（2）压力的调整。根据土体埋深、覆水深度的变化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进行压力调整属正常情况下的压力调整,规定每次调整值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为±0.05 bar,即覆土或覆水深度变化引起0.05 bar（增大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或减小）的压力变化时进行一次压力调整。另外,根据停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机期间液位变化情况核对所设定的准确性,如液位发生变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化,则压力调整为液位稳定时的压力。</w:t>
      </w:r>
    </w:p>
    <w:p>
      <w:pPr>
        <w:autoSpaceDN w:val="0"/>
        <w:autoSpaceDE w:val="0"/>
        <w:widowControl/>
        <w:spacing w:line="310" w:lineRule="exact" w:before="204" w:after="0"/>
        <w:ind w:left="226" w:right="68" w:firstLine="370"/>
        <w:jc w:val="both"/>
      </w:pPr>
      <w:r>
        <w:rPr>
          <w:rFonts w:ascii="NotoSansHans" w:hAnsi="NotoSansHans" w:eastAsia="NotoSansHans"/>
          <w:b w:val="0"/>
          <w:i w:val="0"/>
          <w:color w:val="221F1F"/>
          <w:sz w:val="18"/>
        </w:rPr>
        <w:t>（3）压力的控制。掘进过程中严格控制液位波动,尽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量保持仓内环流顺畅,液位波动值控制在±0.5 m以内,液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位尽量保持在中部;如液位波动超出±0.5 m,立即开启旁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通循环模式并确认波动原因。</w:t>
      </w:r>
    </w:p>
    <w:p>
      <w:pPr>
        <w:autoSpaceDN w:val="0"/>
        <w:tabs>
          <w:tab w:pos="596" w:val="left"/>
        </w:tabs>
        <w:autoSpaceDE w:val="0"/>
        <w:widowControl/>
        <w:spacing w:line="310" w:lineRule="exact" w:before="204" w:after="0"/>
        <w:ind w:left="226" w:right="0" w:firstLine="0"/>
        <w:jc w:val="left"/>
      </w:pPr>
      <w:r>
        <w:tab/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（4）异常工况。掘进过程中或者长时间停机后出现浆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液逃逸（如上覆土被击穿）情况,则在满足切削面稳定的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前提下进行逐级降压,降压梯度为0.2 bar/次,直到浆液基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本无逃逸为止,最低不能小于对应位置的主动水土压力。</w:t>
      </w:r>
      <w:r>
        <w:tab/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通过相应泥水压力控制措施及停机过程泥水压力波动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情况分析,可判断泥水压力计算方式及设定值比较合理,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泥水压力波动较小。</w:t>
      </w:r>
    </w:p>
    <w:p>
      <w:pPr>
        <w:autoSpaceDN w:val="0"/>
        <w:tabs>
          <w:tab w:pos="596" w:val="left"/>
        </w:tabs>
        <w:autoSpaceDE w:val="0"/>
        <w:widowControl/>
        <w:spacing w:line="310" w:lineRule="exact" w:before="202" w:after="0"/>
        <w:ind w:left="226" w:right="0" w:firstLine="0"/>
        <w:jc w:val="left"/>
      </w:pPr>
      <w:r>
        <w:rPr>
          <w:rFonts w:ascii="NotoSansHans" w:hAnsi="NotoSansHans" w:eastAsia="NotoSansHans"/>
          <w:b/>
          <w:i w:val="0"/>
          <w:color w:val="221F1F"/>
          <w:sz w:val="18"/>
        </w:rPr>
        <w:t>3.3.2    泥水环流控制</w:t>
      </w:r>
      <w:r>
        <w:br/>
      </w:r>
      <w:r>
        <w:tab/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刚进入基岩段时刀盘转矩和泥水舱压力波动值较大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且频率相对较高,判断存在渣土滞排问题。为降低结泥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饼风险、提高出渣效率,将进浆流量由2 400 m3/h提高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 xml:space="preserve">到2 600 m3/h,其中P0.2泵刀盘中心冲刷约1 200 m3/h, 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P0.1泵约800 m3/h,其他区域约600 m3/h。同时,每掘进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30 cm停机循环1次,先后对气垫舱底部碎石机两侧和泥水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舱底部各冲刷15 min（或预筛筛板无岩块为止）,并充分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利用碎石机的二次破碎及搅拌作用,减少舱底大粒径岩块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堆积。</w:t>
      </w:r>
    </w:p>
    <w:p>
      <w:pPr>
        <w:autoSpaceDN w:val="0"/>
        <w:autoSpaceDE w:val="0"/>
        <w:widowControl/>
        <w:spacing w:line="310" w:lineRule="exact" w:before="204" w:after="0"/>
        <w:ind w:left="226" w:right="68" w:firstLine="370"/>
        <w:jc w:val="both"/>
      </w:pPr>
      <w:r>
        <w:rPr>
          <w:rFonts w:ascii="NotoSansHans" w:hAnsi="NotoSansHans" w:eastAsia="NotoSansHans"/>
          <w:b w:val="0"/>
          <w:i w:val="0"/>
          <w:color w:val="221F1F"/>
          <w:sz w:val="18"/>
        </w:rPr>
        <w:t>在环流控制方面,基岩段掘进时进排浆采用大流量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循环,并开启仓内小循环,提高仓内泥浆流速,增强环流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携渣能力,减少仓内积渣,减少因仓底岩块的大量堆积而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造成刀具二次撞击损坏及液位波动;充分利用仓内冲刷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系统对泥浆门、碎石机位置进行重点冲刷,并观察P2.1、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P2.2泵进口压力,若出现排浆泵进口压力异常增大或循环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不畅,需及时暂停掘进,启动破碎机对滞渣破碎或将其搅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动,并对仓内进行冲刷循环,将大量的积渣排出,避免滞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排堵仓。</w:t>
      </w:r>
    </w:p>
    <w:p>
      <w:pPr>
        <w:autoSpaceDN w:val="0"/>
        <w:autoSpaceDE w:val="0"/>
        <w:widowControl/>
        <w:spacing w:line="310" w:lineRule="exact" w:before="204" w:after="0"/>
        <w:ind w:left="226" w:right="70" w:firstLine="370"/>
        <w:jc w:val="both"/>
      </w:pPr>
      <w:r>
        <w:rPr>
          <w:rFonts w:ascii="NotoSansHans" w:hAnsi="NotoSansHans" w:eastAsia="NotoSansHans"/>
          <w:b w:val="0"/>
          <w:i w:val="0"/>
          <w:color w:val="221F1F"/>
          <w:sz w:val="18"/>
        </w:rPr>
        <w:t>以1 313～1 359环与1 424～1 449环为例,对泥浆循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环参数进行控制,使得盾构机穿过基岩凸起段过程中的速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度、贯入度及挤压力波动平稳,整体掘进参数以速度、贯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入度的变化而规律性变化。</w:t>
      </w:r>
    </w:p>
    <w:p>
      <w:pPr>
        <w:sectPr>
          <w:type w:val="nextColumn"/>
          <w:pgSz w:w="11906" w:h="16441"/>
          <w:pgMar w:top="302" w:right="1066" w:bottom="170" w:left="420" w:header="720" w:footer="720" w:gutter="0"/>
          <w:cols w:num="2" w:equalWidth="0">
            <w:col w:w="5476" w:space="0"/>
            <w:col w:w="494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469900</wp:posOffset>
            </wp:positionV>
            <wp:extent cx="6299200" cy="3302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3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56" w:lineRule="exact" w:before="0" w:after="410"/>
        <w:ind w:left="0" w:right="506" w:firstLine="0"/>
        <w:jc w:val="right"/>
      </w:pPr>
      <w:r>
        <w:rPr>
          <w:rFonts w:ascii="NotoSansHans" w:hAnsi="NotoSansHans" w:eastAsia="NotoSansHans"/>
          <w:b w:val="0"/>
          <w:i w:val="0"/>
          <w:color w:val="000000"/>
          <w:sz w:val="16"/>
        </w:rPr>
        <w:t xml:space="preserve">PROJECT MANAGEMENT </w:t>
      </w:r>
      <w:r>
        <w:rPr>
          <w:rFonts w:ascii="NotoSansHans" w:hAnsi="NotoSansHans" w:eastAsia="NotoSansHans"/>
          <w:b w:val="0"/>
          <w:i w:val="0"/>
          <w:color w:val="000000"/>
          <w:sz w:val="20"/>
        </w:rPr>
        <w:t>工程技术交流</w:t>
      </w:r>
    </w:p>
    <w:p>
      <w:pPr>
        <w:sectPr>
          <w:pgSz w:w="11906" w:h="16441"/>
          <w:pgMar w:top="302" w:right="964" w:bottom="170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6" w:lineRule="exact" w:before="0" w:after="0"/>
        <w:ind w:left="714" w:right="0" w:firstLine="0"/>
        <w:jc w:val="left"/>
      </w:pPr>
      <w:r>
        <w:rPr>
          <w:rFonts w:ascii="NotoSansHans" w:hAnsi="NotoSansHans" w:eastAsia="NotoSansHans"/>
          <w:b/>
          <w:i w:val="0"/>
          <w:color w:val="221F1F"/>
          <w:sz w:val="22"/>
        </w:rPr>
        <w:t>4    结    论</w:t>
      </w:r>
    </w:p>
    <w:p>
      <w:pPr>
        <w:autoSpaceDN w:val="0"/>
        <w:autoSpaceDE w:val="0"/>
        <w:widowControl/>
        <w:spacing w:line="310" w:lineRule="exact" w:before="234" w:after="0"/>
        <w:ind w:left="714" w:right="228" w:firstLine="368"/>
        <w:jc w:val="both"/>
      </w:pPr>
      <w:r>
        <w:rPr>
          <w:rFonts w:ascii="NotoSansHans" w:hAnsi="NotoSansHans" w:eastAsia="NotoSansHans"/>
          <w:b w:val="0"/>
          <w:i w:val="0"/>
          <w:color w:val="221F1F"/>
          <w:sz w:val="18"/>
        </w:rPr>
        <w:t>（1）地质是盾构掘进的基础,地质研判技术是调整分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析掘进参数的基础。盾构直接掘进过基岩凸起段可通过盾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构声音、参数变化、渣样分析三个方面综合分析判断基岩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的高度、范围,更加准确地为盾构掘进参数分析和调整提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供依据。</w:t>
      </w:r>
    </w:p>
    <w:p>
      <w:pPr>
        <w:autoSpaceDN w:val="0"/>
        <w:tabs>
          <w:tab w:pos="1082" w:val="left"/>
        </w:tabs>
        <w:autoSpaceDE w:val="0"/>
        <w:widowControl/>
        <w:spacing w:line="310" w:lineRule="exact" w:before="204" w:after="0"/>
        <w:ind w:left="714" w:right="144" w:firstLine="0"/>
        <w:jc w:val="left"/>
      </w:pPr>
      <w:r>
        <w:rPr>
          <w:rFonts w:ascii="NotoSansHans" w:hAnsi="NotoSansHans" w:eastAsia="NotoSansHans"/>
          <w:b w:val="0"/>
          <w:i w:val="0"/>
          <w:color w:val="221F1F"/>
          <w:sz w:val="18"/>
        </w:rPr>
        <w:t>（2）基岩凸起段对刀具的冲击大,刀具非正常损坏严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重,需加强对刀具的管理,需根据刀具消耗情况制定合理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的抽检、更换标准,以保障超大直径盾构的开挖能力。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（3）盾构直接基岩凸起段地层盾构掘进时,为降低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盾构掘进对开挖面的扰动,需重点控制泥水压力及环流系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统,建议加大环流冲刷、减小泥水仓内滞排,进一步保障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泥水压力的稳定性。</w:t>
      </w:r>
    </w:p>
    <w:p>
      <w:pPr>
        <w:autoSpaceDN w:val="0"/>
        <w:autoSpaceDE w:val="0"/>
        <w:widowControl/>
        <w:spacing w:line="458" w:lineRule="exact" w:before="0" w:after="0"/>
        <w:ind w:left="714" w:right="0" w:firstLine="0"/>
        <w:jc w:val="left"/>
      </w:pPr>
      <w:r>
        <w:rPr>
          <w:rFonts w:ascii="NotoSansHans" w:hAnsi="NotoSansHans" w:eastAsia="NotoSansHans"/>
          <w:b/>
          <w:i w:val="0"/>
          <w:color w:val="221F1F"/>
          <w:sz w:val="16"/>
        </w:rPr>
        <w:t>参考文献：</w:t>
      </w:r>
    </w:p>
    <w:p>
      <w:pPr>
        <w:autoSpaceDN w:val="0"/>
        <w:autoSpaceDE w:val="0"/>
        <w:widowControl/>
        <w:spacing w:line="212" w:lineRule="exact" w:before="0" w:after="0"/>
        <w:ind w:left="7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[1]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王国安，王超峰，陈桥，等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. 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海底隧道极软极硬复合地层超大直</w:t>
      </w:r>
    </w:p>
    <w:p>
      <w:pPr>
        <w:sectPr>
          <w:type w:val="continuous"/>
          <w:pgSz w:w="11906" w:h="16441"/>
          <w:pgMar w:top="302" w:right="964" w:bottom="170" w:left="420" w:header="720" w:footer="720" w:gutter="0"/>
          <w:cols w:num="2" w:equalWidth="0">
            <w:col w:w="5590" w:space="0"/>
            <w:col w:w="4932" w:space="0"/>
          </w:cols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226" w:right="0" w:firstLine="0"/>
        <w:jc w:val="left"/>
      </w:pPr>
      <w:r>
        <w:rPr>
          <w:rFonts w:ascii="KaiTi_GB2312" w:hAnsi="KaiTi_GB2312" w:eastAsia="KaiTi_GB2312"/>
          <w:b w:val="0"/>
          <w:i w:val="0"/>
          <w:color w:val="221F1F"/>
          <w:sz w:val="16"/>
        </w:rPr>
        <w:t>径盾构掘进方法研究：以汕头海湾隧道工程为例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[J]. 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隧道建设（中</w:t>
      </w:r>
    </w:p>
    <w:p>
      <w:pPr>
        <w:autoSpaceDN w:val="0"/>
        <w:autoSpaceDE w:val="0"/>
        <w:widowControl/>
        <w:spacing w:line="212" w:lineRule="exact" w:before="98" w:after="0"/>
        <w:ind w:left="226" w:right="0" w:firstLine="0"/>
        <w:jc w:val="left"/>
      </w:pPr>
      <w:r>
        <w:rPr>
          <w:rFonts w:ascii="KaiTi_GB2312" w:hAnsi="KaiTi_GB2312" w:eastAsia="KaiTi_GB2312"/>
          <w:b w:val="0"/>
          <w:i w:val="0"/>
          <w:color w:val="221F1F"/>
          <w:sz w:val="16"/>
        </w:rPr>
        <w:t>英文），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2022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5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892-899.</w:t>
      </w:r>
    </w:p>
    <w:p>
      <w:pPr>
        <w:autoSpaceDN w:val="0"/>
        <w:autoSpaceDE w:val="0"/>
        <w:widowControl/>
        <w:spacing w:line="458" w:lineRule="exact" w:before="0" w:after="0"/>
        <w:ind w:left="2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[2]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冯晓燕，张文新，邹</w:t>
      </w:r>
      <w:r>
        <w:rPr>
          <w:rFonts w:ascii="NotoSansHans" w:hAnsi="NotoSansHans" w:eastAsia="NotoSansHans"/>
          <w:b w:val="0"/>
          <w:i w:val="0"/>
          <w:color w:val="221F1F"/>
          <w:sz w:val="16"/>
        </w:rPr>
        <w:t>翀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. 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孤石与基岩爆破处理对泥水盾构掘进参</w:t>
      </w:r>
    </w:p>
    <w:p>
      <w:pPr>
        <w:autoSpaceDN w:val="0"/>
        <w:autoSpaceDE w:val="0"/>
        <w:widowControl/>
        <w:spacing w:line="212" w:lineRule="exact" w:before="0" w:after="0"/>
        <w:ind w:left="0" w:right="0" w:firstLine="0"/>
        <w:jc w:val="center"/>
      </w:pPr>
      <w:r>
        <w:rPr>
          <w:rFonts w:ascii="KaiTi_GB2312" w:hAnsi="KaiTi_GB2312" w:eastAsia="KaiTi_GB2312"/>
          <w:b w:val="0"/>
          <w:i w:val="0"/>
          <w:color w:val="221F1F"/>
          <w:sz w:val="16"/>
        </w:rPr>
        <w:t>数的影响分析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[J]. 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隧道建设（中英文），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2018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9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1546-1553.</w:t>
      </w:r>
    </w:p>
    <w:p>
      <w:pPr>
        <w:autoSpaceDN w:val="0"/>
        <w:autoSpaceDE w:val="0"/>
        <w:widowControl/>
        <w:spacing w:line="212" w:lineRule="exact" w:before="98" w:after="0"/>
        <w:ind w:left="2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[3]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沈翔，袁大军，吴俊，等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. 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复杂地层条件下盾构掘进参数分析及</w:t>
      </w:r>
    </w:p>
    <w:p>
      <w:pPr>
        <w:autoSpaceDN w:val="0"/>
        <w:autoSpaceDE w:val="0"/>
        <w:widowControl/>
        <w:spacing w:line="212" w:lineRule="exact" w:before="98" w:after="0"/>
        <w:ind w:left="226" w:right="0" w:firstLine="0"/>
        <w:jc w:val="left"/>
      </w:pPr>
      <w:r>
        <w:rPr>
          <w:rFonts w:ascii="KaiTi_GB2312" w:hAnsi="KaiTi_GB2312" w:eastAsia="KaiTi_GB2312"/>
          <w:b w:val="0"/>
          <w:i w:val="0"/>
          <w:color w:val="221F1F"/>
          <w:sz w:val="16"/>
        </w:rPr>
        <w:t>预测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[J]. 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现代隧道技术，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2020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5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160-166.</w:t>
      </w:r>
    </w:p>
    <w:p>
      <w:pPr>
        <w:autoSpaceDN w:val="0"/>
        <w:autoSpaceDE w:val="0"/>
        <w:widowControl/>
        <w:spacing w:line="214" w:lineRule="exact" w:before="96" w:after="0"/>
        <w:ind w:left="2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[4]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陈建福，王凯，陈中天，等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. 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跨海隧道孤石密集及基岩凸起段盾</w:t>
      </w:r>
    </w:p>
    <w:p>
      <w:pPr>
        <w:autoSpaceDN w:val="0"/>
        <w:autoSpaceDE w:val="0"/>
        <w:widowControl/>
        <w:spacing w:line="214" w:lineRule="exact" w:before="96" w:after="0"/>
        <w:ind w:left="226" w:right="0" w:firstLine="0"/>
        <w:jc w:val="left"/>
      </w:pPr>
      <w:r>
        <w:rPr>
          <w:rFonts w:ascii="KaiTi_GB2312" w:hAnsi="KaiTi_GB2312" w:eastAsia="KaiTi_GB2312"/>
          <w:b w:val="0"/>
          <w:i w:val="0"/>
          <w:color w:val="221F1F"/>
          <w:sz w:val="16"/>
        </w:rPr>
        <w:t>构适应性分析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[J]. 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地下空间与工程学报，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2021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3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856-863.</w:t>
      </w:r>
    </w:p>
    <w:p>
      <w:pPr>
        <w:autoSpaceDN w:val="0"/>
        <w:autoSpaceDE w:val="0"/>
        <w:widowControl/>
        <w:spacing w:line="214" w:lineRule="exact" w:before="96" w:after="0"/>
        <w:ind w:left="2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[5]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何华飞，林雪冰，胡朋，等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. 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复合地层中盾构施工掘进参数相关</w:t>
      </w:r>
    </w:p>
    <w:p>
      <w:pPr>
        <w:autoSpaceDN w:val="0"/>
        <w:autoSpaceDE w:val="0"/>
        <w:widowControl/>
        <w:spacing w:line="214" w:lineRule="exact" w:before="106" w:after="0"/>
        <w:ind w:left="226" w:right="0" w:firstLine="0"/>
        <w:jc w:val="left"/>
      </w:pPr>
      <w:r>
        <w:rPr>
          <w:rFonts w:ascii="KaiTi_GB2312" w:hAnsi="KaiTi_GB2312" w:eastAsia="KaiTi_GB2312"/>
          <w:b w:val="0"/>
          <w:i w:val="0"/>
          <w:color w:val="221F1F"/>
          <w:sz w:val="16"/>
        </w:rPr>
        <w:t>性及预测研究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[J]. 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现代城市轨道交通，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2024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5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88-95.</w:t>
      </w:r>
    </w:p>
    <w:p>
      <w:pPr>
        <w:autoSpaceDN w:val="0"/>
        <w:autoSpaceDE w:val="0"/>
        <w:widowControl/>
        <w:spacing w:line="310" w:lineRule="exact" w:before="430" w:after="0"/>
        <w:ind w:left="226" w:right="0" w:firstLine="0"/>
        <w:jc w:val="left"/>
      </w:pPr>
      <w:r>
        <w:rPr>
          <w:rFonts w:ascii="NotoSansHans" w:hAnsi="NotoSansHans" w:eastAsia="NotoSansHans"/>
          <w:b/>
          <w:i w:val="0"/>
          <w:color w:val="221F1F"/>
          <w:sz w:val="16"/>
        </w:rPr>
        <w:t>收稿日期：</w:t>
      </w:r>
      <w:r>
        <w:rPr>
          <w:rFonts w:ascii="NotoSansHans" w:hAnsi="NotoSansHans" w:eastAsia="NotoSansHans"/>
          <w:b w:val="0"/>
          <w:i w:val="0"/>
          <w:color w:val="221F1F"/>
          <w:sz w:val="16"/>
        </w:rPr>
        <w:t>2024-09-10</w:t>
      </w:r>
      <w:r>
        <w:br/>
      </w:r>
      <w:r>
        <w:rPr>
          <w:rFonts w:ascii="NotoSansHans" w:hAnsi="NotoSansHans" w:eastAsia="NotoSansHans"/>
          <w:b/>
          <w:i w:val="0"/>
          <w:color w:val="221F1F"/>
          <w:sz w:val="16"/>
        </w:rPr>
        <w:t>作者简介：</w:t>
      </w:r>
      <w:r>
        <w:rPr>
          <w:rFonts w:ascii="NotoSansHans" w:hAnsi="NotoSansHans" w:eastAsia="NotoSansHans"/>
          <w:b w:val="0"/>
          <w:i w:val="0"/>
          <w:color w:val="221F1F"/>
          <w:sz w:val="16"/>
        </w:rPr>
        <w:t>廖文江,大学本科,高级工程师,任职于广州地铁工程</w:t>
      </w:r>
      <w:r>
        <w:rPr>
          <w:rFonts w:ascii="NotoSansHans" w:hAnsi="NotoSansHans" w:eastAsia="NotoSansHans"/>
          <w:b w:val="0"/>
          <w:i w:val="0"/>
          <w:color w:val="221F1F"/>
          <w:sz w:val="16"/>
        </w:rPr>
        <w:t>咨询有限公司。</w:t>
      </w:r>
    </w:p>
    <w:p>
      <w:pPr>
        <w:autoSpaceDN w:val="0"/>
        <w:autoSpaceDE w:val="0"/>
        <w:widowControl/>
        <w:spacing w:line="310" w:lineRule="exact" w:before="146" w:after="398"/>
        <w:ind w:left="226" w:right="0" w:firstLine="0"/>
        <w:jc w:val="left"/>
      </w:pPr>
      <w:r>
        <w:rPr>
          <w:rFonts w:ascii="NotoSansHans" w:hAnsi="NotoSansHans" w:eastAsia="NotoSansHans"/>
          <w:b/>
          <w:i w:val="0"/>
          <w:color w:val="221F1F"/>
          <w:sz w:val="16"/>
        </w:rPr>
        <w:t>通信地址：</w:t>
      </w:r>
      <w:r>
        <w:rPr>
          <w:rFonts w:ascii="NotoSansHans" w:hAnsi="NotoSansHans" w:eastAsia="NotoSansHans"/>
          <w:b w:val="0"/>
          <w:i w:val="0"/>
          <w:color w:val="221F1F"/>
          <w:sz w:val="16"/>
        </w:rPr>
        <w:t>广东省广州市越秀区环市西路204号地铁大院自编4号</w:t>
      </w:r>
      <w:r>
        <w:rPr>
          <w:rFonts w:ascii="NotoSansHans" w:hAnsi="NotoSansHans" w:eastAsia="NotoSansHans"/>
          <w:b w:val="0"/>
          <w:i w:val="0"/>
          <w:color w:val="221F1F"/>
          <w:sz w:val="16"/>
        </w:rPr>
        <w:t>楼 广州地铁工程咨询有限公司。</w:t>
      </w:r>
    </w:p>
    <w:p>
      <w:pPr>
        <w:spacing w:after="238"/>
        <w:sectPr>
          <w:type w:val="nextColumn"/>
          <w:pgSz w:w="11906" w:h="16441"/>
          <w:pgMar w:top="302" w:right="964" w:bottom="170" w:left="420" w:header="720" w:footer="720" w:gutter="0"/>
          <w:cols w:num="2" w:equalWidth="0">
            <w:col w:w="5590" w:space="0"/>
            <w:col w:w="4932" w:space="0"/>
          </w:cols>
          <w:docGrid w:linePitch="360"/>
        </w:sectPr>
      </w:pPr>
    </w:p>
    <w:p>
      <w:pPr>
        <w:sectPr>
          <w:type w:val="continuous"/>
          <w:pgSz w:w="11906" w:h="16441"/>
          <w:pgMar w:top="302" w:right="964" w:bottom="170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714" w:right="0" w:firstLine="0"/>
        <w:jc w:val="left"/>
      </w:pPr>
      <w:r>
        <w:rPr>
          <w:rFonts w:ascii="KaiTi_GB2312" w:hAnsi="KaiTi_GB2312" w:eastAsia="KaiTi_GB2312"/>
          <w:b w:val="0"/>
          <w:i w:val="0"/>
          <w:color w:val="221F1F"/>
          <w:sz w:val="18"/>
        </w:rPr>
        <w:t>（上接第75页）</w:t>
      </w:r>
    </w:p>
    <w:p>
      <w:pPr>
        <w:autoSpaceDN w:val="0"/>
        <w:autoSpaceDE w:val="0"/>
        <w:widowControl/>
        <w:spacing w:line="310" w:lineRule="exact" w:before="204" w:after="0"/>
        <w:ind w:left="710" w:right="228" w:firstLine="0"/>
        <w:jc w:val="both"/>
      </w:pPr>
      <w:r>
        <w:rPr>
          <w:rFonts w:ascii="NotoSansHans" w:hAnsi="NotoSansHans" w:eastAsia="NotoSansHans"/>
          <w:b w:val="0"/>
          <w:i w:val="0"/>
          <w:color w:val="221F1F"/>
          <w:sz w:val="18"/>
        </w:rPr>
        <w:t>纳出可复制推广的项目组织方式、施工技术方法、质量管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控措施等,为基建人员相互学习管理思路、借鉴技术方法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提供借鉴依据,也避免突出问题或易犯错误在后期项目再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次发生,为更好地指导后期项目建设起到关键的作用。</w:t>
      </w:r>
    </w:p>
    <w:p>
      <w:pPr>
        <w:autoSpaceDN w:val="0"/>
        <w:autoSpaceDE w:val="0"/>
        <w:widowControl/>
        <w:spacing w:line="628" w:lineRule="exact" w:before="70" w:after="0"/>
        <w:ind w:left="710" w:right="0" w:firstLine="0"/>
        <w:jc w:val="left"/>
      </w:pPr>
      <w:r>
        <w:rPr>
          <w:rFonts w:ascii="NotoSansHans" w:hAnsi="NotoSansHans" w:eastAsia="NotoSansHans"/>
          <w:b/>
          <w:i w:val="0"/>
          <w:color w:val="221F1F"/>
          <w:sz w:val="22"/>
        </w:rPr>
        <w:t>3    结    语</w:t>
      </w:r>
    </w:p>
    <w:p>
      <w:pPr>
        <w:autoSpaceDN w:val="0"/>
        <w:autoSpaceDE w:val="0"/>
        <w:widowControl/>
        <w:spacing w:line="310" w:lineRule="exact" w:before="234" w:after="0"/>
        <w:ind w:left="710" w:right="226" w:firstLine="368"/>
        <w:jc w:val="both"/>
      </w:pPr>
      <w:r>
        <w:rPr>
          <w:rFonts w:ascii="NotoSansHans" w:hAnsi="NotoSansHans" w:eastAsia="NotoSansHans"/>
          <w:b w:val="0"/>
          <w:i w:val="0"/>
          <w:color w:val="221F1F"/>
          <w:sz w:val="18"/>
        </w:rPr>
        <w:t>高校基建管理工作具有专业性强、涉及面广、建设周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期长、过程管控复杂等特点。在自管模式下,高校基建管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理人员面临的是一项极具复杂且有挑战的工作。高校基建管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理人员应熟知项目全过程管理过程中每个阶段的工作难点和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重点,力争做到难点工作提前预判并及时制定解决方案,重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点工作有部署、有落实、有反馈,争取每项工作都能够达到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事前预控、事中管控、事后总结的良好管理机制,实现对项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目整体建设的主动控制和动态管理,提高基建项目综合管理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能力,以达到项目精细化管理水平。同时,在项目管理过程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中,要大力弘扬工匠精神和劳模精神,增强精品意识,努力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将每个工程打造成优质工程、安全工程、廉洁工程,为学校</w:t>
      </w:r>
      <w:r>
        <w:rPr>
          <w:rFonts w:ascii="NotoSansHans" w:hAnsi="NotoSansHans" w:eastAsia="NotoSansHans"/>
          <w:b w:val="0"/>
          <w:i w:val="0"/>
          <w:color w:val="221F1F"/>
          <w:sz w:val="18"/>
        </w:rPr>
        <w:t>“双一流”建设提供强有力的基建保障。</w:t>
      </w:r>
    </w:p>
    <w:p>
      <w:pPr>
        <w:autoSpaceDN w:val="0"/>
        <w:tabs>
          <w:tab w:pos="1240" w:val="left"/>
        </w:tabs>
        <w:autoSpaceDE w:val="0"/>
        <w:widowControl/>
        <w:spacing w:line="240" w:lineRule="auto" w:before="224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" cy="1651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371600" cy="152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441"/>
          <w:pgMar w:top="302" w:right="964" w:bottom="170" w:left="420" w:header="720" w:footer="720" w:gutter="0"/>
          <w:cols w:num="2" w:equalWidth="0">
            <w:col w:w="5586" w:space="0"/>
            <w:col w:w="4936" w:space="0"/>
          </w:cols>
          <w:docGrid w:linePitch="360"/>
        </w:sectPr>
      </w:pPr>
    </w:p>
    <w:p>
      <w:pPr>
        <w:autoSpaceDN w:val="0"/>
        <w:autoSpaceDE w:val="0"/>
        <w:widowControl/>
        <w:spacing w:line="244" w:lineRule="exact" w:before="212" w:after="0"/>
        <w:ind w:left="226" w:right="0" w:firstLine="0"/>
        <w:jc w:val="left"/>
      </w:pPr>
      <w:r>
        <w:rPr>
          <w:rFonts w:ascii="NotoSansHans" w:hAnsi="NotoSansHans" w:eastAsia="NotoSansHans"/>
          <w:b/>
          <w:i w:val="0"/>
          <w:color w:val="221F1F"/>
          <w:sz w:val="16"/>
        </w:rPr>
        <w:t>参考文献：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[1]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洪威，杨波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. 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高校基建项目管理模式研究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[J]. 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住宅与房地产，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2023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5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190-192.</w:t>
      </w:r>
    </w:p>
    <w:p>
      <w:pPr>
        <w:autoSpaceDN w:val="0"/>
        <w:autoSpaceDE w:val="0"/>
        <w:widowControl/>
        <w:spacing w:line="310" w:lineRule="exact" w:before="0" w:after="0"/>
        <w:ind w:left="2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[2]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李萍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. 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基于自管模式的高校基建项目管理优化策略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[J]. 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教育现代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化，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2019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54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99-101.</w:t>
      </w:r>
    </w:p>
    <w:p>
      <w:pPr>
        <w:autoSpaceDN w:val="0"/>
        <w:autoSpaceDE w:val="0"/>
        <w:widowControl/>
        <w:spacing w:line="310" w:lineRule="exact" w:before="0" w:after="0"/>
        <w:ind w:left="2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[3]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贺欢欢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. 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自管模式下高校基建项目管理的优化探讨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[J]. 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中国经贸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导刊，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2017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11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71-72.</w:t>
      </w:r>
    </w:p>
    <w:p>
      <w:pPr>
        <w:autoSpaceDN w:val="0"/>
        <w:autoSpaceDE w:val="0"/>
        <w:widowControl/>
        <w:spacing w:line="310" w:lineRule="exact" w:before="0" w:after="0"/>
        <w:ind w:left="2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[4]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李明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. 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高校基建管理效能提升策略研究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[J]. 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建筑经济，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2018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5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102-104.</w:t>
      </w:r>
    </w:p>
    <w:p>
      <w:pPr>
        <w:autoSpaceDN w:val="0"/>
        <w:autoSpaceDE w:val="0"/>
        <w:widowControl/>
        <w:spacing w:line="310" w:lineRule="exact" w:before="0" w:after="0"/>
        <w:ind w:left="2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[5]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陈吕容，王珍，康杰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. 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新时代高校基本建设精细化管理研究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[M]. 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成都：西南交通大学出版社，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2021.</w:t>
      </w:r>
    </w:p>
    <w:p>
      <w:pPr>
        <w:autoSpaceDN w:val="0"/>
        <w:autoSpaceDE w:val="0"/>
        <w:widowControl/>
        <w:spacing w:line="310" w:lineRule="exact" w:before="0" w:after="0"/>
        <w:ind w:left="2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[6]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杨利．自管模式下高校基建项目管控要点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[J]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．建筑与预算，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2023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11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29-30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．</w:t>
      </w:r>
    </w:p>
    <w:p>
      <w:pPr>
        <w:autoSpaceDN w:val="0"/>
        <w:autoSpaceDE w:val="0"/>
        <w:widowControl/>
        <w:spacing w:line="316" w:lineRule="exact" w:before="0" w:after="0"/>
        <w:ind w:left="2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[7]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章莉锋．工程量清单编制的质量控制研究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[J]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．商，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2016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（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12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）：</w:t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>15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．</w:t>
      </w:r>
    </w:p>
    <w:p>
      <w:pPr>
        <w:autoSpaceDN w:val="0"/>
        <w:autoSpaceDE w:val="0"/>
        <w:widowControl/>
        <w:spacing w:line="310" w:lineRule="exact" w:before="430" w:after="0"/>
        <w:ind w:left="226" w:right="0" w:firstLine="0"/>
        <w:jc w:val="left"/>
      </w:pPr>
      <w:r>
        <w:rPr>
          <w:rFonts w:ascii="NotoSansHans" w:hAnsi="NotoSansHans" w:eastAsia="NotoSansHans"/>
          <w:b/>
          <w:i w:val="0"/>
          <w:color w:val="221F1F"/>
          <w:sz w:val="16"/>
        </w:rPr>
        <w:t>收稿日期：</w:t>
      </w:r>
      <w:r>
        <w:rPr>
          <w:rFonts w:ascii="NotoSansHans" w:hAnsi="NotoSansHans" w:eastAsia="NotoSansHans"/>
          <w:b w:val="0"/>
          <w:i w:val="0"/>
          <w:color w:val="221F1F"/>
          <w:sz w:val="16"/>
        </w:rPr>
        <w:t>2024-04-09</w:t>
      </w:r>
      <w:r>
        <w:br/>
      </w:r>
      <w:r>
        <w:rPr>
          <w:rFonts w:ascii="NotoSansHans" w:hAnsi="NotoSansHans" w:eastAsia="NotoSansHans"/>
          <w:b/>
          <w:i w:val="0"/>
          <w:color w:val="221F1F"/>
          <w:sz w:val="16"/>
        </w:rPr>
        <w:t>作者简介：</w:t>
      </w:r>
      <w:r>
        <w:rPr>
          <w:rFonts w:ascii="NotoSansHans" w:hAnsi="NotoSansHans" w:eastAsia="NotoSansHans"/>
          <w:b w:val="0"/>
          <w:i w:val="0"/>
          <w:color w:val="221F1F"/>
          <w:sz w:val="16"/>
        </w:rPr>
        <w:t>李有存,硕士,工程师,任职于兰州大学基本建设处。</w:t>
      </w:r>
      <w:r>
        <w:rPr>
          <w:rFonts w:ascii="NotoSansHans" w:hAnsi="NotoSansHans" w:eastAsia="NotoSansHans"/>
          <w:b/>
          <w:i w:val="0"/>
          <w:color w:val="221F1F"/>
          <w:sz w:val="16"/>
        </w:rPr>
        <w:t>通信地址：</w:t>
      </w:r>
      <w:r>
        <w:rPr>
          <w:rFonts w:ascii="NotoSansHans" w:hAnsi="NotoSansHans" w:eastAsia="NotoSansHans"/>
          <w:b w:val="0"/>
          <w:i w:val="0"/>
          <w:color w:val="221F1F"/>
          <w:sz w:val="16"/>
        </w:rPr>
        <w:t>甘肃省兰州市城关区天水南路222号 兰州大学。</w:t>
      </w:r>
    </w:p>
    <w:p>
      <w:pPr>
        <w:autoSpaceDN w:val="0"/>
        <w:autoSpaceDE w:val="0"/>
        <w:widowControl/>
        <w:spacing w:line="456" w:lineRule="exact" w:before="2024" w:after="0"/>
        <w:ind w:left="0" w:right="222" w:firstLine="0"/>
        <w:jc w:val="right"/>
      </w:pPr>
      <w:r>
        <w:rPr>
          <w:rFonts w:ascii="SourceHanSerifCN" w:hAnsi="SourceHanSerifCN" w:eastAsia="SourceHanSerifCN"/>
          <w:b w:val="0"/>
          <w:i w:val="0"/>
          <w:color w:val="221F1F"/>
          <w:sz w:val="16"/>
        </w:rPr>
        <w:t>95</w:t>
      </w:r>
    </w:p>
    <w:sectPr w:rsidR="00FC693F" w:rsidRPr="0006063C" w:rsidSect="00034616">
      <w:type w:val="nextColumn"/>
      <w:pgSz w:w="11906" w:h="16441"/>
      <w:pgMar w:top="302" w:right="964" w:bottom="170" w:left="420" w:header="720" w:footer="720" w:gutter="0"/>
      <w:cols w:num="2" w:equalWidth="0">
        <w:col w:w="5586" w:space="0"/>
        <w:col w:w="4936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