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80.0" w:type="dxa"/>
      </w:tblPr>
      <w:tblGrid>
        <w:gridCol w:w="5279"/>
        <w:gridCol w:w="5279"/>
      </w:tblGrid>
      <w:tr>
        <w:trPr>
          <w:trHeight w:hRule="exact" w:val="478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７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５</w:t>
            </w:r>
          </w:p>
        </w:tc>
      </w:tr>
    </w:tbl>
    <w:p>
      <w:pPr>
        <w:autoSpaceDN w:val="0"/>
        <w:autoSpaceDE w:val="0"/>
        <w:widowControl/>
        <w:spacing w:line="490" w:lineRule="exact" w:before="448" w:after="0"/>
        <w:ind w:left="2584" w:right="0" w:firstLine="0"/>
        <w:jc w:val="left"/>
      </w:pPr>
      <w:r>
        <w:rPr>
          <w:rFonts w:ascii="FZKTK" w:hAnsi="FZKTK" w:eastAsia="FZKTK"/>
          <w:b w:val="0"/>
          <w:i w:val="0"/>
          <w:color w:val="000000"/>
          <w:sz w:val="42"/>
        </w:rPr>
        <w:t>可拆解盾构施工风险防控措施研究</w:t>
      </w:r>
    </w:p>
    <w:p>
      <w:pPr>
        <w:autoSpaceDN w:val="0"/>
        <w:autoSpaceDE w:val="0"/>
        <w:widowControl/>
        <w:spacing w:line="422" w:lineRule="exact" w:before="110" w:after="0"/>
        <w:ind w:left="0" w:right="2096" w:firstLine="0"/>
        <w:jc w:val="right"/>
      </w:pPr>
      <w:r>
        <w:rPr>
          <w:w w:val="101.8146743774414"/>
          <w:rFonts w:ascii="FZFSK" w:hAnsi="FZFSK" w:eastAsia="FZFSK"/>
          <w:b w:val="0"/>
          <w:i w:val="0"/>
          <w:color w:val="000000"/>
          <w:sz w:val="25"/>
        </w:rPr>
        <w:t>廖韶军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１</w:t>
      </w:r>
      <w:r>
        <w:rPr>
          <w:w w:val="101.8146743774414"/>
          <w:rFonts w:ascii="E" w:hAnsi="E" w:eastAsia="E"/>
          <w:b w:val="0"/>
          <w:i w:val="0"/>
          <w:color w:val="000000"/>
          <w:sz w:val="25"/>
        </w:rPr>
        <w:t>，</w:t>
      </w:r>
      <w:r>
        <w:rPr>
          <w:w w:val="101.8146743774414"/>
          <w:rFonts w:ascii="FZFSK" w:hAnsi="FZFSK" w:eastAsia="FZFSK"/>
          <w:b w:val="0"/>
          <w:i w:val="0"/>
          <w:color w:val="000000"/>
          <w:sz w:val="25"/>
        </w:rPr>
        <w:t>王</w:t>
      </w:r>
      <w:r>
        <w:rPr>
          <w:w w:val="101.8146743774414"/>
          <w:rFonts w:ascii="FZFSK" w:hAnsi="FZFSK" w:eastAsia="FZFSK"/>
          <w:b w:val="0"/>
          <w:i w:val="0"/>
          <w:color w:val="000000"/>
          <w:sz w:val="25"/>
        </w:rPr>
        <w:t>鹏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１</w:t>
      </w:r>
      <w:r>
        <w:rPr>
          <w:w w:val="101.8146743774414"/>
          <w:rFonts w:ascii="E" w:hAnsi="E" w:eastAsia="E"/>
          <w:b w:val="0"/>
          <w:i w:val="0"/>
          <w:color w:val="000000"/>
          <w:sz w:val="25"/>
        </w:rPr>
        <w:t>，</w:t>
      </w:r>
      <w:r>
        <w:rPr>
          <w:w w:val="101.8146743774414"/>
          <w:rFonts w:ascii="FZFSK" w:hAnsi="FZFSK" w:eastAsia="FZFSK"/>
          <w:b w:val="0"/>
          <w:i w:val="0"/>
          <w:color w:val="000000"/>
          <w:sz w:val="25"/>
        </w:rPr>
        <w:t>李发勇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１</w:t>
      </w:r>
      <w:r>
        <w:rPr>
          <w:w w:val="101.8146743774414"/>
          <w:rFonts w:ascii="E" w:hAnsi="E" w:eastAsia="E"/>
          <w:b w:val="0"/>
          <w:i w:val="0"/>
          <w:color w:val="000000"/>
          <w:sz w:val="25"/>
        </w:rPr>
        <w:t>，</w:t>
      </w:r>
      <w:r>
        <w:rPr>
          <w:w w:val="101.8146743774414"/>
          <w:rFonts w:ascii="FZFSK" w:hAnsi="FZFSK" w:eastAsia="FZFSK"/>
          <w:b w:val="0"/>
          <w:i w:val="0"/>
          <w:color w:val="000000"/>
          <w:sz w:val="25"/>
        </w:rPr>
        <w:t>董毓庆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２</w:t>
      </w:r>
      <w:r>
        <w:rPr>
          <w:w w:val="101.8146743774414"/>
          <w:rFonts w:ascii="E" w:hAnsi="E" w:eastAsia="E"/>
          <w:b w:val="0"/>
          <w:i w:val="0"/>
          <w:color w:val="000000"/>
          <w:sz w:val="25"/>
        </w:rPr>
        <w:t>，</w:t>
      </w:r>
      <w:r>
        <w:rPr>
          <w:w w:val="101.8146743774414"/>
          <w:rFonts w:ascii="FZFSK" w:hAnsi="FZFSK" w:eastAsia="FZFSK"/>
          <w:b w:val="0"/>
          <w:i w:val="0"/>
          <w:color w:val="000000"/>
          <w:sz w:val="25"/>
        </w:rPr>
        <w:t>丁</w:t>
      </w:r>
      <w:r>
        <w:rPr>
          <w:w w:val="101.8146743774414"/>
          <w:rFonts w:ascii="FZFSK" w:hAnsi="FZFSK" w:eastAsia="FZFSK"/>
          <w:b w:val="0"/>
          <w:i w:val="0"/>
          <w:color w:val="000000"/>
          <w:sz w:val="25"/>
        </w:rPr>
        <w:t>智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３</w:t>
      </w:r>
      <w:r>
        <w:rPr>
          <w:w w:val="101.8146743774414"/>
          <w:rFonts w:ascii="E" w:hAnsi="E" w:eastAsia="E"/>
          <w:b w:val="0"/>
          <w:i w:val="0"/>
          <w:color w:val="000000"/>
          <w:sz w:val="25"/>
        </w:rPr>
        <w:t>，</w:t>
      </w:r>
      <w:r>
        <w:rPr>
          <w:w w:val="101.8146743774414"/>
          <w:rFonts w:ascii="FZFSK" w:hAnsi="FZFSK" w:eastAsia="FZFSK"/>
          <w:b w:val="0"/>
          <w:i w:val="0"/>
          <w:color w:val="000000"/>
          <w:sz w:val="25"/>
        </w:rPr>
        <w:t>陈乐华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２</w:t>
      </w:r>
    </w:p>
    <w:p>
      <w:pPr>
        <w:autoSpaceDN w:val="0"/>
        <w:autoSpaceDE w:val="0"/>
        <w:widowControl/>
        <w:spacing w:line="286" w:lineRule="exact" w:before="132" w:after="0"/>
        <w:ind w:left="1584" w:right="720" w:firstLine="0"/>
        <w:jc w:val="center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１.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 xml:space="preserve"> 中铁隧道股份有限公司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河南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郑州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 ４５００００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２.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 xml:space="preserve"> 杭州岩通科技有限责任公司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浙江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杭州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 ３１０００５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３.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 xml:space="preserve"> 浙大城市学院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浙江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杭州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 ３１００１５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</w:p>
    <w:p>
      <w:pPr>
        <w:autoSpaceDN w:val="0"/>
        <w:autoSpaceDE w:val="0"/>
        <w:widowControl/>
        <w:spacing w:line="286" w:lineRule="exact" w:before="212" w:after="0"/>
        <w:ind w:left="1318" w:right="444" w:firstLine="0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摘要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］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由于城市地铁施工用地制约因素庞杂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盾构施工过程中车站施工预留条件不够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导致盾构机拆解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吊装空间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受限的问题也愈发明显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而盾构机拆解过站技术很好的解决了这一难题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可拆解盾构作为一种盾构机拆解过站设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在盾构机拆解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吊装的过程中既能保证解体过站又能保证组装后的稳定掘进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但在其过站过程中难点也较为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明显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主要表现为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施工难度大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拆解块体质量大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吊装施工困难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风险系数较高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依托宁波轨道交通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号线柳西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—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兴宁桥西站区间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阐述可拆解盾构在掘进及拆解过站中存在的风险源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并结合实际施工情况提出了相应的预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防控制措施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86" w:lineRule="exact" w:before="132" w:after="330"/>
        <w:ind w:left="1318" w:right="1728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关键词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］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可拆解盾构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安全风险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防控措施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中图分类号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ＴＵ２３１   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文献标识码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Ａ   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文章编号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２０９７⁃０８９７（２０２３）Ｓ１⁃０１７５⁃０４</w:t>
      </w:r>
    </w:p>
    <w:p>
      <w:pPr>
        <w:sectPr>
          <w:pgSz w:w="12246" w:h="17178"/>
          <w:pgMar w:top="582" w:right="1288" w:bottom="170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0558"/>
      </w:tblGrid>
      <w:tr>
        <w:trPr>
          <w:trHeight w:hRule="exact" w:val="8738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454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０ </w:t>
            </w:r>
            <w:r>
              <w:rPr>
                <w:w w:val="102.14737340023643"/>
                <w:rFonts w:ascii="FZHTK" w:hAnsi="FZHTK" w:eastAsia="FZHTK"/>
                <w:b w:val="0"/>
                <w:i w:val="0"/>
                <w:color w:val="000000"/>
                <w:sz w:val="19"/>
              </w:rPr>
              <w:t>引言</w:t>
            </w:r>
          </w:p>
          <w:p>
            <w:pPr>
              <w:autoSpaceDN w:val="0"/>
              <w:autoSpaceDE w:val="0"/>
              <w:widowControl/>
              <w:spacing w:line="304" w:lineRule="exact" w:before="156" w:after="0"/>
              <w:ind w:left="458" w:right="94" w:firstLine="40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随着盾构机制造及施工技术的日益发展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盾构法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施工在城市地下隧道工程中发挥越来越重要的作用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然而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盾构施工过程中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经常会遇到车站预留空间不足</w:t>
            </w:r>
          </w:p>
          <w:p>
            <w:pPr>
              <w:autoSpaceDN w:val="0"/>
              <w:autoSpaceDE w:val="0"/>
              <w:widowControl/>
              <w:spacing w:line="356" w:lineRule="exact" w:before="0" w:after="0"/>
              <w:ind w:left="458" w:right="98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而无法整体过站的情况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［１］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盾构机拆解过站技术应运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而生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既解决了狭窄空间内盾构不能整体过站这一难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题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又可以确保盾构的稳定掘进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304" w:lineRule="exact" w:before="156" w:after="0"/>
              <w:ind w:left="458" w:right="98" w:firstLine="40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目前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盾构机常用的拆解方法有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２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：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一种为硬拆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解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即将盾构机主体切割成小块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以达到施工要求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；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另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一种为可拼装式盾构机结构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其中应用较多的是硬拆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解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但是硬拆解方法存在一定的弊端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拆解后盾构机很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难再次还原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即使能重新组合也很难保证盾构机的密</w:t>
            </w:r>
          </w:p>
          <w:p>
            <w:pPr>
              <w:autoSpaceDN w:val="0"/>
              <w:autoSpaceDE w:val="0"/>
              <w:widowControl/>
              <w:spacing w:line="382" w:lineRule="exact" w:before="0" w:after="0"/>
              <w:ind w:left="458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封性以及椭圆度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［２］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因此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可拼装式盾构亟待研究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针对可拼装式盾构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部分学者已开展相关研究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徐</w:t>
            </w:r>
          </w:p>
          <w:p>
            <w:pPr>
              <w:autoSpaceDN w:val="0"/>
              <w:autoSpaceDE w:val="0"/>
              <w:widowControl/>
              <w:spacing w:line="382" w:lineRule="exact" w:before="0" w:after="0"/>
              <w:ind w:left="458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震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［３］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综合研究并设计了适用于斜井盾构的拆解刀盘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刀盘各构件重量较小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且方便运输和回收利用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；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姚燕明</w:t>
            </w:r>
          </w:p>
          <w:p>
            <w:pPr>
              <w:autoSpaceDN w:val="0"/>
              <w:autoSpaceDE w:val="0"/>
              <w:widowControl/>
              <w:spacing w:line="382" w:lineRule="exact" w:before="0" w:after="0"/>
              <w:ind w:left="458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首次提出了一种可拆式盾构机装备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［４］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并以宁波火车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站为例阐述了可拆解盾构过站技术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基于同一工程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458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李勇发等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［５］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研究了可拆解盾构下穿既有桥桩的影响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；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458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潘建明研究了可拆解盾构小半径侧穿既有建筑物的影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458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响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［６］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及软土地区的盾构施工参数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［７］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；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李广伦等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［８］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研究</w:t>
            </w:r>
          </w:p>
          <w:p>
            <w:pPr>
              <w:autoSpaceDN w:val="0"/>
              <w:autoSpaceDE w:val="0"/>
              <w:widowControl/>
              <w:spacing w:line="304" w:lineRule="exact" w:before="156" w:after="0"/>
              <w:ind w:left="458" w:right="98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了可拆解盾构侧穿铁道的影响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可拆解盾构拆解过站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受控于地面及车站结构的影响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需在洞内完成盾构装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备的拆解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组装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施工难度大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风险较高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拆解和组装的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过程中容易掉块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失稳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盾体磕碰损坏等现象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影响后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期盾构推进过程的安全性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306" w:lineRule="exact" w:before="152" w:after="0"/>
              <w:ind w:left="458" w:right="0" w:firstLine="40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为了保证可拆解盾构的安全过站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本文以宁波轨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道交通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４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号线柳西站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—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兴宁桥西站区间为例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列举出</w:t>
            </w:r>
          </w:p>
        </w:tc>
      </w:tr>
    </w:tbl>
    <w:p>
      <w:pPr>
        <w:autoSpaceDN w:val="0"/>
        <w:autoSpaceDE w:val="0"/>
        <w:widowControl/>
        <w:spacing w:line="200" w:lineRule="exact" w:before="318" w:after="0"/>
        <w:ind w:left="898" w:right="864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</w:t>
      </w: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作者简介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］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廖韶军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工程师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，Ｅ⁃ｍａｉｌ：８４４５００２３９＠ｑｑ. ｃｏｍ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</w:t>
      </w: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收稿日期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］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２０２２⁃１１⁃１１</w:t>
      </w:r>
    </w:p>
    <w:p>
      <w:pPr>
        <w:sectPr>
          <w:type w:val="continuous"/>
          <w:pgSz w:w="12246" w:h="17178"/>
          <w:pgMar w:top="582" w:right="1288" w:bottom="170" w:left="400" w:header="720" w:footer="720" w:gutter="0"/>
          <w:cols w:num="2" w:equalWidth="0">
            <w:col w:w="5714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304" w:lineRule="exact" w:before="156" w:after="0"/>
        <w:ind w:left="214" w:right="28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盾构施工过程中可能存在的风险源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并针对相应风险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源提出应对风险的预防控制措施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为类似工程提供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参考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2" w:lineRule="exact" w:before="0" w:after="0"/>
        <w:ind w:left="208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１ </w:t>
      </w: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工程概况</w:t>
      </w:r>
    </w:p>
    <w:p>
      <w:pPr>
        <w:autoSpaceDN w:val="0"/>
        <w:autoSpaceDE w:val="0"/>
        <w:widowControl/>
        <w:spacing w:line="304" w:lineRule="exact" w:before="156" w:after="0"/>
        <w:ind w:left="214" w:right="28" w:firstLine="40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宁波市轨道交通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号线在柳西站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兴宁桥西站区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间施工过程中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由于宁波火车站未预留盾构吊装孔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既有结构预留空间较小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使盾构机不能吊出或整体过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站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故采用拼装式可拆解盾构装备进行施工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2" w:lineRule="exact" w:before="0" w:after="0"/>
        <w:ind w:left="208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１. 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工程地质</w:t>
      </w:r>
    </w:p>
    <w:p>
      <w:pPr>
        <w:autoSpaceDN w:val="0"/>
        <w:tabs>
          <w:tab w:pos="608" w:val="left"/>
          <w:tab w:pos="614" w:val="left"/>
        </w:tabs>
        <w:autoSpaceDE w:val="0"/>
        <w:widowControl/>
        <w:spacing w:line="304" w:lineRule="exact" w:before="154" w:after="0"/>
        <w:ind w:left="214" w:right="0" w:firstLine="0"/>
        <w:jc w:val="left"/>
      </w:pP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工程地质及水文地质条件</w:t>
      </w:r>
      <w:r>
        <w:br/>
      </w:r>
      <w:r>
        <w:tab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柳西站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兴宁桥西站区间隧道穿越的主要土层以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粉质黏土和淤泥质粉质黏土为主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局部存在部分粉土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区间施工范围内地表水网密布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孔隙承压水水位埋深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１. ４０～１. ７０ｍ，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本工程施工隧道掘进不受承压水影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608" w:val="left"/>
          <w:tab w:pos="614" w:val="left"/>
        </w:tabs>
        <w:autoSpaceDE w:val="0"/>
        <w:widowControl/>
        <w:spacing w:line="304" w:lineRule="exact" w:before="156" w:after="0"/>
        <w:ind w:left="214" w:right="0" w:firstLine="0"/>
        <w:jc w:val="left"/>
      </w:pP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不良地质</w:t>
      </w:r>
      <w:r>
        <w:br/>
      </w:r>
      <w:r>
        <w:tab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工程主要不良地质作用表现在厚层填土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区域地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面沉降以及软土地基强度低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稳定性差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盾构穿越过程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中易出现不均匀沉降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管片上浮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变形大等问题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2" w:lineRule="exact" w:before="0" w:after="0"/>
        <w:ind w:left="208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１. ２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周边环境</w:t>
      </w:r>
    </w:p>
    <w:p>
      <w:pPr>
        <w:autoSpaceDN w:val="0"/>
        <w:autoSpaceDE w:val="0"/>
        <w:widowControl/>
        <w:spacing w:line="304" w:lineRule="exact" w:before="156" w:after="0"/>
        <w:ind w:left="214" w:right="28" w:firstLine="40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区间建筑物较多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其中主要涉及侧穿柳汀花苑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火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烧桥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火车南站地下广场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长春路拓宽人行道桩基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柳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汀立交桥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萧甬铁路等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对施工环境影响控制以及盾构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机的施工稳定性要求较高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2" w:lineRule="exact" w:before="0" w:after="0"/>
        <w:ind w:left="208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２ </w:t>
      </w: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风险源分析统计</w:t>
      </w:r>
    </w:p>
    <w:p>
      <w:pPr>
        <w:autoSpaceDN w:val="0"/>
        <w:autoSpaceDE w:val="0"/>
        <w:widowControl/>
        <w:spacing w:line="216" w:lineRule="exact" w:before="80" w:after="0"/>
        <w:ind w:left="6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可拆解盾构掘进及过站过程中出现的安全事故是</w:t>
      </w:r>
    </w:p>
    <w:p>
      <w:pPr>
        <w:autoSpaceDN w:val="0"/>
        <w:autoSpaceDE w:val="0"/>
        <w:widowControl/>
        <w:spacing w:line="304" w:lineRule="exact" w:before="158" w:after="868"/>
        <w:ind w:left="214" w:right="28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由多方面因素引起的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如结构本身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地质条件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周围环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盾构机拆卸及组装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施工管理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操作水平等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源统计如表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所示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sectPr>
          <w:type w:val="nextColumn"/>
          <w:pgSz w:w="12246" w:h="17178"/>
          <w:pgMar w:top="582" w:right="1288" w:bottom="170" w:left="400" w:header="720" w:footer="720" w:gutter="0"/>
          <w:cols w:num="2" w:equalWidth="0">
            <w:col w:w="5714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7178"/>
          <w:pgMar w:top="582" w:right="128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94.0" w:type="dxa"/>
      </w:tblPr>
      <w:tblGrid>
        <w:gridCol w:w="3519"/>
        <w:gridCol w:w="3519"/>
        <w:gridCol w:w="3519"/>
      </w:tblGrid>
      <w:tr>
        <w:trPr>
          <w:trHeight w:hRule="exact" w:val="334"/>
        </w:trPr>
        <w:tc>
          <w:tcPr>
            <w:tcW w:type="dxa" w:w="4920"/>
            <w:tcBorders>
              <w:end w:sz="35.19999999999982" w:val="single" w:color="#FFFFF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9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７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</w:p>
        </w:tc>
        <w:tc>
          <w:tcPr>
            <w:tcW w:type="dxa" w:w="648"/>
            <w:tcBorders>
              <w:start w:sz="35.19999999999982" w:val="single" w:color="#FFFFFF"/>
              <w:end w:sz="35.20000000000027" w:val="single" w:color="#FFFFF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8"/>
            <w:tcBorders>
              <w:start w:sz="35.20000000000027" w:val="single" w:color="#FFFFF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102"/>
        <w:ind w:left="0" w:right="0"/>
      </w:pPr>
    </w:p>
    <w:p>
      <w:pPr>
        <w:sectPr>
          <w:pgSz w:w="12246" w:h="17178"/>
          <w:pgMar w:top="582" w:right="128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82"/>
        <w:ind w:left="0" w:right="1822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风险源统计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000000000001" w:type="dxa"/>
      </w:tblPr>
      <w:tblGrid>
        <w:gridCol w:w="3519"/>
        <w:gridCol w:w="3519"/>
        <w:gridCol w:w="3519"/>
      </w:tblGrid>
      <w:tr>
        <w:trPr>
          <w:trHeight w:hRule="exact" w:val="238"/>
        </w:trPr>
        <w:tc>
          <w:tcPr>
            <w:tcW w:type="dxa" w:w="832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风险类别</w:t>
            </w:r>
          </w:p>
        </w:tc>
        <w:tc>
          <w:tcPr>
            <w:tcW w:type="dxa" w:w="172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风险环境</w:t>
            </w:r>
          </w:p>
        </w:tc>
        <w:tc>
          <w:tcPr>
            <w:tcW w:type="dxa" w:w="2078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主要风险</w:t>
            </w:r>
          </w:p>
        </w:tc>
      </w:tr>
      <w:tr>
        <w:trPr>
          <w:trHeight w:hRule="exact" w:val="236"/>
        </w:trPr>
        <w:tc>
          <w:tcPr>
            <w:tcW w:type="dxa" w:w="83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5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常规</w:t>
            </w:r>
          </w:p>
        </w:tc>
        <w:tc>
          <w:tcPr>
            <w:tcW w:type="dxa" w:w="172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小曲线半径</w:t>
            </w:r>
          </w:p>
        </w:tc>
        <w:tc>
          <w:tcPr>
            <w:tcW w:type="dxa" w:w="2078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向外偏移</w:t>
            </w:r>
          </w:p>
        </w:tc>
      </w:tr>
      <w:tr>
        <w:trPr>
          <w:trHeight w:hRule="exact" w:val="240"/>
        </w:trPr>
        <w:tc>
          <w:tcPr>
            <w:tcW w:type="dxa" w:w="3519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空间重叠</w:t>
            </w:r>
          </w:p>
        </w:tc>
        <w:tc>
          <w:tcPr>
            <w:tcW w:type="dxa" w:w="2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既有线路沉降</w:t>
            </w:r>
          </w:p>
        </w:tc>
      </w:tr>
      <w:tr>
        <w:trPr>
          <w:trHeight w:hRule="exact" w:val="220"/>
        </w:trPr>
        <w:tc>
          <w:tcPr>
            <w:tcW w:type="dxa" w:w="3519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下穿和邻近建筑物</w:t>
            </w:r>
          </w:p>
        </w:tc>
        <w:tc>
          <w:tcPr>
            <w:tcW w:type="dxa" w:w="2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沉降</w:t>
            </w:r>
          </w:p>
        </w:tc>
      </w:tr>
      <w:tr>
        <w:trPr>
          <w:trHeight w:hRule="exact" w:val="140"/>
        </w:trPr>
        <w:tc>
          <w:tcPr>
            <w:tcW w:type="dxa" w:w="3519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7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不良地质</w:t>
            </w:r>
          </w:p>
        </w:tc>
        <w:tc>
          <w:tcPr>
            <w:tcW w:type="dxa" w:w="2078"/>
            <w:vMerge w:val="restart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92" w:after="0"/>
              <w:ind w:left="432" w:right="432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不均匀沉降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管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片上浮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变形大等</w:t>
            </w:r>
          </w:p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涌水涌砂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掌子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面拱顶塌方等</w:t>
            </w:r>
          </w:p>
        </w:tc>
      </w:tr>
      <w:tr>
        <w:trPr>
          <w:trHeight w:hRule="exact" w:val="340"/>
        </w:trPr>
        <w:tc>
          <w:tcPr>
            <w:tcW w:type="dxa" w:w="832"/>
            <w:vMerge w:val="restart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风险</w:t>
            </w:r>
          </w:p>
        </w:tc>
        <w:tc>
          <w:tcPr>
            <w:tcW w:type="dxa" w:w="3519"/>
            <w:vMerge/>
            <w:tcBorders/>
          </w:tcPr>
          <w:p/>
        </w:tc>
        <w:tc>
          <w:tcPr>
            <w:tcW w:type="dxa" w:w="3519"/>
            <w:vMerge/>
            <w:tcBorders>
              <w:bottom w:sz="2.615999937057495" w:val="single" w:color="#221F1F"/>
            </w:tcBorders>
          </w:tcPr>
          <w:p/>
        </w:tc>
      </w:tr>
      <w:tr>
        <w:trPr>
          <w:trHeight w:hRule="exact" w:val="496"/>
        </w:trPr>
        <w:tc>
          <w:tcPr>
            <w:tcW w:type="dxa" w:w="3519"/>
            <w:vMerge/>
            <w:tcBorders>
              <w:bottom w:sz="2.615999937057495" w:val="single" w:color="#221F1F"/>
            </w:tcBorders>
          </w:tcPr>
          <w:p/>
        </w:tc>
        <w:tc>
          <w:tcPr>
            <w:tcW w:type="dxa" w:w="172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7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开仓换刀</w:t>
            </w:r>
          </w:p>
        </w:tc>
        <w:tc>
          <w:tcPr>
            <w:tcW w:type="dxa" w:w="3519"/>
            <w:vMerge/>
            <w:tcBorders>
              <w:bottom w:sz="2.615999937057495" w:val="single" w:color="#221F1F"/>
            </w:tcBorders>
          </w:tcPr>
          <w:p/>
        </w:tc>
      </w:tr>
      <w:tr>
        <w:trPr>
          <w:trHeight w:hRule="exact" w:val="184"/>
        </w:trPr>
        <w:tc>
          <w:tcPr>
            <w:tcW w:type="dxa" w:w="832"/>
            <w:vMerge w:val="restart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16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拆解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／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组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装风险</w:t>
            </w:r>
          </w:p>
        </w:tc>
        <w:tc>
          <w:tcPr>
            <w:tcW w:type="dxa" w:w="172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大块构件吊装</w:t>
            </w:r>
          </w:p>
        </w:tc>
        <w:tc>
          <w:tcPr>
            <w:tcW w:type="dxa" w:w="2078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吊装事故</w:t>
            </w:r>
          </w:p>
        </w:tc>
      </w:tr>
      <w:tr>
        <w:trPr>
          <w:trHeight w:hRule="exact" w:val="260"/>
        </w:trPr>
        <w:tc>
          <w:tcPr>
            <w:tcW w:type="dxa" w:w="351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局部管线拆卸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／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安装</w:t>
            </w:r>
          </w:p>
        </w:tc>
        <w:tc>
          <w:tcPr>
            <w:tcW w:type="dxa" w:w="2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管线的损坏</w:t>
            </w:r>
          </w:p>
        </w:tc>
      </w:tr>
      <w:tr>
        <w:trPr>
          <w:trHeight w:hRule="exact" w:val="140"/>
        </w:trPr>
        <w:tc>
          <w:tcPr>
            <w:tcW w:type="dxa" w:w="351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3519"/>
            <w:vMerge/>
            <w:tcBorders/>
          </w:tcPr>
          <w:p/>
        </w:tc>
        <w:tc>
          <w:tcPr>
            <w:tcW w:type="dxa" w:w="2078"/>
            <w:vMerge w:val="restart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吊装倒链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行吊损坏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盾体磕碰损坏等</w:t>
            </w:r>
          </w:p>
        </w:tc>
      </w:tr>
      <w:tr>
        <w:trPr>
          <w:trHeight w:hRule="exact" w:val="372"/>
        </w:trPr>
        <w:tc>
          <w:tcPr>
            <w:tcW w:type="dxa" w:w="3519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172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其他</w:t>
            </w:r>
          </w:p>
        </w:tc>
        <w:tc>
          <w:tcPr>
            <w:tcW w:type="dxa" w:w="3519"/>
            <w:vMerge/>
            <w:tcBorders>
              <w:bottom w:sz="2.615999937057495" w:val="single" w:color="#221F1F"/>
            </w:tcBorders>
          </w:tcPr>
          <w:p/>
        </w:tc>
      </w:tr>
      <w:tr>
        <w:trPr>
          <w:trHeight w:hRule="exact" w:val="428"/>
        </w:trPr>
        <w:tc>
          <w:tcPr>
            <w:tcW w:type="dxa" w:w="83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1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过站</w:t>
            </w:r>
          </w:p>
        </w:tc>
        <w:tc>
          <w:tcPr>
            <w:tcW w:type="dxa" w:w="172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7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盾构旋转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９０°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</w:t>
            </w:r>
          </w:p>
        </w:tc>
        <w:tc>
          <w:tcPr>
            <w:tcW w:type="dxa" w:w="2078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顶推设备损坏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主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机与接收架磨损</w:t>
            </w:r>
          </w:p>
        </w:tc>
      </w:tr>
      <w:tr>
        <w:trPr>
          <w:trHeight w:hRule="exact" w:val="52"/>
        </w:trPr>
        <w:tc>
          <w:tcPr>
            <w:tcW w:type="dxa" w:w="3519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3519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0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盾体倾覆设备损坏</w:t>
            </w:r>
          </w:p>
        </w:tc>
      </w:tr>
      <w:tr>
        <w:trPr>
          <w:trHeight w:hRule="exact" w:val="208"/>
        </w:trPr>
        <w:tc>
          <w:tcPr>
            <w:tcW w:type="dxa" w:w="3519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盾构机主机顶升施工</w:t>
            </w:r>
          </w:p>
        </w:tc>
        <w:tc>
          <w:tcPr>
            <w:tcW w:type="dxa" w:w="351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832"/>
            <w:vMerge w:val="restart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风险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盾构主机平移施工</w:t>
            </w:r>
          </w:p>
        </w:tc>
        <w:tc>
          <w:tcPr>
            <w:tcW w:type="dxa" w:w="2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顶推油缸及卷扬机损坏</w:t>
            </w:r>
          </w:p>
        </w:tc>
      </w:tr>
      <w:tr>
        <w:trPr>
          <w:trHeight w:hRule="exact" w:val="260"/>
        </w:trPr>
        <w:tc>
          <w:tcPr>
            <w:tcW w:type="dxa" w:w="3519"/>
            <w:vMerge/>
            <w:tcBorders>
              <w:bottom w:sz="2.615999937057495" w:val="single" w:color="#221F1F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主机各部位顶</w:t>
            </w:r>
          </w:p>
        </w:tc>
        <w:tc>
          <w:tcPr>
            <w:tcW w:type="dxa" w:w="20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主机各顶块磕碰变形倾覆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钢丝绳断裂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拖车跳轨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</w:p>
        </w:tc>
      </w:tr>
      <w:tr>
        <w:trPr>
          <w:trHeight w:hRule="exact" w:val="200"/>
        </w:trPr>
        <w:tc>
          <w:tcPr>
            <w:tcW w:type="dxa" w:w="3519"/>
            <w:vMerge/>
            <w:tcBorders>
              <w:bottom w:sz="2.615999937057495" w:val="single" w:color="#221F1F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块过站施工</w:t>
            </w:r>
          </w:p>
        </w:tc>
        <w:tc>
          <w:tcPr>
            <w:tcW w:type="dxa" w:w="3519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3519"/>
            <w:vMerge/>
            <w:tcBorders>
              <w:bottom w:sz="2.615999937057495" w:val="single" w:color="#221F1F"/>
            </w:tcBorders>
          </w:tcPr>
          <w:p/>
        </w:tc>
        <w:tc>
          <w:tcPr>
            <w:tcW w:type="dxa" w:w="172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拖车过站施工</w:t>
            </w:r>
          </w:p>
        </w:tc>
        <w:tc>
          <w:tcPr>
            <w:tcW w:type="dxa" w:w="2078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80" w:after="0"/>
              <w:ind w:left="432" w:right="432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钢丝绳断裂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行吊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故障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吊物悬挂</w:t>
            </w:r>
          </w:p>
        </w:tc>
      </w:tr>
      <w:tr>
        <w:trPr>
          <w:trHeight w:hRule="exact" w:val="219"/>
        </w:trPr>
        <w:tc>
          <w:tcPr>
            <w:tcW w:type="dxa" w:w="832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二次始</w:t>
            </w:r>
          </w:p>
        </w:tc>
        <w:tc>
          <w:tcPr>
            <w:tcW w:type="dxa" w:w="172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盾尾失圆</w:t>
            </w:r>
          </w:p>
        </w:tc>
        <w:tc>
          <w:tcPr>
            <w:tcW w:type="dxa" w:w="2078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管片破损</w:t>
            </w:r>
          </w:p>
        </w:tc>
      </w:tr>
      <w:tr>
        <w:trPr>
          <w:trHeight w:hRule="exact" w:val="259"/>
        </w:trPr>
        <w:tc>
          <w:tcPr>
            <w:tcW w:type="dxa" w:w="832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发掘进</w:t>
            </w:r>
          </w:p>
        </w:tc>
        <w:tc>
          <w:tcPr>
            <w:tcW w:type="dxa" w:w="1720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密封失效</w:t>
            </w:r>
          </w:p>
        </w:tc>
        <w:tc>
          <w:tcPr>
            <w:tcW w:type="dxa" w:w="2078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漏水涌浆</w:t>
            </w:r>
          </w:p>
        </w:tc>
      </w:tr>
    </w:tbl>
    <w:p>
      <w:pPr>
        <w:autoSpaceDN w:val="0"/>
        <w:autoSpaceDE w:val="0"/>
        <w:widowControl/>
        <w:spacing w:line="302" w:lineRule="exact" w:before="48" w:after="0"/>
        <w:ind w:left="89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３ </w:t>
      </w: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风险防控措施</w:t>
      </w:r>
    </w:p>
    <w:p>
      <w:pPr>
        <w:autoSpaceDN w:val="0"/>
        <w:autoSpaceDE w:val="0"/>
        <w:widowControl/>
        <w:spacing w:line="302" w:lineRule="exact" w:before="14" w:after="0"/>
        <w:ind w:left="89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３. 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常规风险防控措施</w:t>
      </w:r>
    </w:p>
    <w:p>
      <w:pPr>
        <w:autoSpaceDN w:val="0"/>
        <w:autoSpaceDE w:val="0"/>
        <w:widowControl/>
        <w:spacing w:line="302" w:lineRule="exact" w:before="16" w:after="0"/>
        <w:ind w:left="89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３. １. 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小曲线半径</w:t>
      </w:r>
    </w:p>
    <w:p>
      <w:pPr>
        <w:autoSpaceDN w:val="0"/>
        <w:tabs>
          <w:tab w:pos="1292" w:val="left"/>
          <w:tab w:pos="1298" w:val="left"/>
        </w:tabs>
        <w:autoSpaceDE w:val="0"/>
        <w:widowControl/>
        <w:spacing w:line="310" w:lineRule="exact" w:before="148" w:after="0"/>
        <w:ind w:left="898" w:right="144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盾尾测量</w:t>
      </w:r>
      <w:r>
        <w:br/>
      </w:r>
      <w:r>
        <w:tab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增加隧道测量的频率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后视点需定期进行复测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保盾构测量数据及成型隧道位置的准确性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及时纠偏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292" w:val="left"/>
          <w:tab w:pos="1298" w:val="left"/>
        </w:tabs>
        <w:autoSpaceDE w:val="0"/>
        <w:widowControl/>
        <w:spacing w:line="312" w:lineRule="exact" w:before="146" w:after="0"/>
        <w:ind w:left="898" w:right="144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盾尾间隙控制</w:t>
      </w:r>
      <w:r>
        <w:br/>
      </w:r>
      <w:r>
        <w:tab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及时测量盾尾间隙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调整盾构掘进方向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确保盾尾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间隙基本相同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292" w:val="left"/>
          <w:tab w:pos="1298" w:val="left"/>
        </w:tabs>
        <w:autoSpaceDE w:val="0"/>
        <w:widowControl/>
        <w:spacing w:line="310" w:lineRule="exact" w:before="150" w:after="0"/>
        <w:ind w:left="898" w:right="144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盾构纠偏量</w:t>
      </w:r>
      <w:r>
        <w:br/>
      </w:r>
      <w:r>
        <w:tab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采用割线始发方式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确认盾构机全部进入土体后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再进行曲线掘进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利用计算得出的千斤顶的行程差来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确定纠偏量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必要时使用软木楔子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确保轴线位置并控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制地层的变形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292" w:val="left"/>
          <w:tab w:pos="1298" w:val="left"/>
        </w:tabs>
        <w:autoSpaceDE w:val="0"/>
        <w:widowControl/>
        <w:spacing w:line="310" w:lineRule="exact" w:before="148" w:after="0"/>
        <w:ind w:left="898" w:right="144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４）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盾构同步注浆</w:t>
      </w:r>
      <w:r>
        <w:br/>
      </w:r>
      <w:r>
        <w:tab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要严格控制浆液质量及注浆参数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未达到要求时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停止施工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同时按照变形监测结果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随时调整注浆参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数以控制轴线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292" w:val="left"/>
          <w:tab w:pos="1298" w:val="left"/>
        </w:tabs>
        <w:autoSpaceDE w:val="0"/>
        <w:widowControl/>
        <w:spacing w:line="310" w:lineRule="exact" w:before="148" w:after="0"/>
        <w:ind w:left="898" w:right="144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５）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土体损失及辅助措施</w:t>
      </w:r>
      <w:r>
        <w:br/>
      </w:r>
      <w:r>
        <w:tab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曲线段掘进时增加外侧的注浆量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必要时进行二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次注浆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确保施工空隙得到充分填充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292" w:val="left"/>
          <w:tab w:pos="1298" w:val="left"/>
        </w:tabs>
        <w:autoSpaceDE w:val="0"/>
        <w:widowControl/>
        <w:spacing w:line="310" w:lineRule="exact" w:before="150" w:after="0"/>
        <w:ind w:left="898" w:right="144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６）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管片拼装</w:t>
      </w:r>
      <w:r>
        <w:br/>
      </w:r>
      <w:r>
        <w:tab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做好管片选型及排版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采用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居中拼装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”，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局部采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用木楔子进行细微调整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使盾尾间隙均匀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拼装质量及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推进轴线在规范要求范围内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2" w:lineRule="exact" w:before="0" w:after="0"/>
        <w:ind w:left="89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３. １. ２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临近隧道及建筑物</w:t>
      </w:r>
    </w:p>
    <w:p>
      <w:pPr>
        <w:autoSpaceDN w:val="0"/>
        <w:autoSpaceDE w:val="0"/>
        <w:widowControl/>
        <w:spacing w:line="312" w:lineRule="exact" w:before="146" w:after="0"/>
        <w:ind w:left="898" w:right="144" w:firstLine="394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预先评估软土地层相交重叠隧道施工相互影响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的程度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在空间足够的情况下预先施工隔离桩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先完</w:t>
      </w:r>
    </w:p>
    <w:p>
      <w:pPr>
        <w:sectPr>
          <w:type w:val="continuous"/>
          <w:pgSz w:w="12246" w:h="17178"/>
          <w:pgMar w:top="582" w:right="1288" w:bottom="170" w:left="400" w:header="720" w:footer="720" w:gutter="0"/>
          <w:cols w:num="2" w:equalWidth="0">
            <w:col w:w="5720" w:space="0"/>
            <w:col w:w="4838" w:space="0"/>
          </w:cols>
          <w:docGrid w:linePitch="360"/>
        </w:sectPr>
      </w:pPr>
    </w:p>
    <w:p>
      <w:pPr>
        <w:autoSpaceDN w:val="0"/>
        <w:autoSpaceDE w:val="0"/>
        <w:widowControl/>
        <w:spacing w:line="304" w:lineRule="exact" w:before="156" w:after="0"/>
        <w:ind w:left="208" w:right="28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成下行隧道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并采用钢桁架加固下行隧道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同时通过注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浆使有塑化倾向的土体达到设计强度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一个月后进行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上行隧道施工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并加强监控量测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6" w:after="0"/>
        <w:ind w:left="208" w:right="28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盾构通过前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对具备施工条件的地基进行地面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距离隧道较近的采用水泥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⁃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水玻璃双液浆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并对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于临近警界值的建筑物进行跟踪注浆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602" w:val="left"/>
        </w:tabs>
        <w:autoSpaceDE w:val="0"/>
        <w:widowControl/>
        <w:spacing w:line="304" w:lineRule="exact" w:before="156" w:after="0"/>
        <w:ind w:left="208" w:right="0" w:firstLine="0"/>
        <w:jc w:val="left"/>
      </w:pP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盾构下穿建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（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筑物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始发到达及重启时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将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地面补偿注浆作为补充措施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降低风险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4" w:after="0"/>
        <w:ind w:left="208" w:right="24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４）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全面检查并维修设备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严格控制掘进参数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保持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盾构机连续掘进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减少停机时间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盾构通过后及时进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行同步注浆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并控制注浆压力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注入膨润土或泡沫剂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改善渣土的流动性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防止螺旋输送机喷涌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6" w:lineRule="exact" w:before="154" w:after="0"/>
        <w:ind w:left="202" w:right="26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５）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采用多道盾尾刷并注入油脂防止泥水进入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盾尾脱出时及时注浆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通过后进采用水泥浆液对周边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内的土体进行洞内注浆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注浆参数须经现场试验效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果确定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2" w:lineRule="exact" w:before="0" w:after="0"/>
        <w:ind w:left="202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３. １. 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不良地质条件</w:t>
      </w:r>
    </w:p>
    <w:p>
      <w:pPr>
        <w:autoSpaceDN w:val="0"/>
        <w:tabs>
          <w:tab w:pos="602" w:val="left"/>
        </w:tabs>
        <w:autoSpaceDE w:val="0"/>
        <w:widowControl/>
        <w:spacing w:line="306" w:lineRule="exact" w:before="152" w:after="0"/>
        <w:ind w:left="208" w:right="0" w:firstLine="0"/>
        <w:jc w:val="left"/>
      </w:pP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配备地质雷达探测系统以及超前注浆系统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实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时监测前方土体情况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便于提前处理不良地质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6" w:lineRule="exact" w:before="154" w:after="0"/>
        <w:ind w:left="208" w:right="26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配备硬岩切削刀具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根据地层特性配置刀具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过上软下硬地层时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严格控制出土量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土仓压力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同步注浆量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盾构应快速通过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602" w:val="left"/>
        </w:tabs>
        <w:autoSpaceDE w:val="0"/>
        <w:widowControl/>
        <w:spacing w:line="304" w:lineRule="exact" w:before="156" w:after="0"/>
        <w:ind w:left="208" w:right="0" w:firstLine="0"/>
        <w:jc w:val="left"/>
      </w:pP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加强监测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实施动态信息化施工管理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盾构通过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时专人监管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编制应急处理措施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2" w:lineRule="exact" w:before="0" w:after="0"/>
        <w:ind w:left="202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３. １. 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开仓换刀</w:t>
      </w:r>
    </w:p>
    <w:p>
      <w:pPr>
        <w:autoSpaceDN w:val="0"/>
        <w:tabs>
          <w:tab w:pos="602" w:val="left"/>
        </w:tabs>
        <w:autoSpaceDE w:val="0"/>
        <w:widowControl/>
        <w:spacing w:line="304" w:lineRule="exact" w:before="156" w:after="0"/>
        <w:ind w:left="208" w:right="0" w:firstLine="0"/>
        <w:jc w:val="left"/>
      </w:pP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预估刀具服役状态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提前制定开仓换刀计划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通过地面位置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地质情况确定换刀位置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6" w:after="0"/>
        <w:ind w:left="208" w:right="28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进行预加固方案论证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保证开挖面土体整体强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度和抗渗性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必要时进行降水处理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保证地下水位在刀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盘中心以下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602" w:val="left"/>
        </w:tabs>
        <w:autoSpaceDE w:val="0"/>
        <w:widowControl/>
        <w:spacing w:line="304" w:lineRule="exact" w:before="156" w:after="0"/>
        <w:ind w:left="208" w:right="0" w:firstLine="0"/>
        <w:jc w:val="left"/>
      </w:pP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无法进行地面加固的尽量采用地质超前加固等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方案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确保开仓换刀的风险可控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460" w:lineRule="exact" w:before="0" w:after="0"/>
        <w:ind w:left="202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３. ２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盾构拆解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组装潜在风险源防控措施</w:t>
      </w:r>
    </w:p>
    <w:p>
      <w:pPr>
        <w:autoSpaceDN w:val="0"/>
        <w:autoSpaceDE w:val="0"/>
        <w:widowControl/>
        <w:spacing w:line="302" w:lineRule="exact" w:before="0" w:after="0"/>
        <w:ind w:left="202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３. ２. 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流程设计</w:t>
      </w:r>
    </w:p>
    <w:p>
      <w:pPr>
        <w:autoSpaceDN w:val="0"/>
        <w:autoSpaceDE w:val="0"/>
        <w:widowControl/>
        <w:spacing w:line="304" w:lineRule="exact" w:before="156" w:after="0"/>
        <w:ind w:left="208" w:right="24" w:firstLine="40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可拆解盾构拆解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组装的流程设计合理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一方面保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障了拆解施工的有效性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保证施工效率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减少了拆解对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盾构机的损坏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保证了拆解后对原始盾构机的还原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另一方面有利于保证施工的安全性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正确的施工流程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可有效减少拆解过程中的掉块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失稳等现象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为减少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拆解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安装过程中的风险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盾构拆解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组装流程如图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所示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2" w:lineRule="exact" w:before="0" w:after="0"/>
        <w:ind w:left="202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３. ２. ２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大块构件吊装风险</w:t>
      </w:r>
    </w:p>
    <w:p>
      <w:pPr>
        <w:autoSpaceDN w:val="0"/>
        <w:autoSpaceDE w:val="0"/>
        <w:widowControl/>
        <w:spacing w:line="306" w:lineRule="exact" w:before="154" w:after="0"/>
        <w:ind w:left="208" w:right="28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盾构机的功能部件和设备的起吊能力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应符合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盾构分块拼装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解体方案及工程需求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并组织相关专家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进行方案评审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6" w:lineRule="exact" w:before="154" w:after="396"/>
        <w:ind w:left="208" w:right="0" w:firstLine="394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根据吊装荷载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进行地基承载力计算和车站围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护结构稳定性验算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按照计算的结果布置吊装孔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安装</w:t>
      </w:r>
    </w:p>
    <w:p>
      <w:pPr>
        <w:sectPr>
          <w:type w:val="nextColumn"/>
          <w:pgSz w:w="12246" w:h="17178"/>
          <w:pgMar w:top="582" w:right="1288" w:bottom="170" w:left="400" w:header="720" w:footer="720" w:gutter="0"/>
          <w:cols w:num="2" w:equalWidth="0">
            <w:col w:w="5720" w:space="0"/>
            <w:col w:w="48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7178"/>
          <w:pgMar w:top="582" w:right="128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847090</wp:posOffset>
            </wp:positionH>
            <wp:positionV relativeFrom="page">
              <wp:posOffset>1127760</wp:posOffset>
            </wp:positionV>
            <wp:extent cx="2880360" cy="20802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080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2755900</wp:posOffset>
            </wp:positionV>
            <wp:extent cx="381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4039870</wp:posOffset>
            </wp:positionH>
            <wp:positionV relativeFrom="page">
              <wp:posOffset>1127760</wp:posOffset>
            </wp:positionV>
            <wp:extent cx="2880359" cy="131368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59" cy="13136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2120900</wp:posOffset>
            </wp:positionV>
            <wp:extent cx="63500" cy="50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2120900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2095500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1282700</wp:posOffset>
            </wp:positionV>
            <wp:extent cx="635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3519"/>
        <w:gridCol w:w="3519"/>
        <w:gridCol w:w="3519"/>
      </w:tblGrid>
      <w:tr>
        <w:trPr>
          <w:trHeight w:hRule="exact" w:val="480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119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廖韶军等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：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可拆解盾构施工风险防控措施研究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" w:after="0"/>
              <w:ind w:left="0" w:right="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７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７</w:t>
            </w:r>
          </w:p>
        </w:tc>
      </w:tr>
    </w:tbl>
    <w:p>
      <w:pPr>
        <w:autoSpaceDN w:val="0"/>
        <w:autoSpaceDE w:val="0"/>
        <w:widowControl/>
        <w:spacing w:line="274" w:lineRule="exact" w:before="2278" w:after="934"/>
        <w:ind w:left="0" w:right="1362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２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盾尾型钢支撑示意</w:t>
      </w:r>
    </w:p>
    <w:p>
      <w:pPr>
        <w:sectPr>
          <w:pgSz w:w="12246" w:h="17178"/>
          <w:pgMar w:top="580" w:right="128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0" w:right="1412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盾构机拆解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／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组装流程</w:t>
      </w:r>
    </w:p>
    <w:p>
      <w:pPr>
        <w:autoSpaceDN w:val="0"/>
        <w:autoSpaceDE w:val="0"/>
        <w:widowControl/>
        <w:spacing w:line="304" w:lineRule="exact" w:before="194" w:after="0"/>
        <w:ind w:left="898" w:right="144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过程中严格控制吊点焊接质量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设备吊装过程中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必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须严格执行国家规相关操作规程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2" w:lineRule="exact" w:before="158" w:after="0"/>
        <w:ind w:left="898" w:right="212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盾构吊装前需对现场进行详细交底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过程中加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强现场管控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确保拆解顺序无误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吊装作业严格按照设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计方案进行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盾构拆解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组装过程中涉及到的起重吊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装设备均需进行受力验算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验收合格后方投入使用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292" w:val="left"/>
        </w:tabs>
        <w:autoSpaceDE w:val="0"/>
        <w:widowControl/>
        <w:spacing w:line="304" w:lineRule="exact" w:before="154" w:after="0"/>
        <w:ind w:left="898" w:right="144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４）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盾构组装前需对关键设备进行检查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对磨损严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老化的组件及时进行更换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298" w:val="left"/>
        </w:tabs>
        <w:autoSpaceDE w:val="0"/>
        <w:widowControl/>
        <w:spacing w:line="304" w:lineRule="exact" w:before="156" w:after="0"/>
        <w:ind w:left="894" w:right="144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３. ２. 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内部管线拆卸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安装风险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盾构机内部管线复杂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拆解过程中应提前做好设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计与规划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管线的损坏将直接影响盾构机的使用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因此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在确认所有管线接口标识完后在进行拆卸工作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此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还需注意管线接头的密封和保护工作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尤其是有精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度要求的液压系统管路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传感器接口等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2" w:lineRule="exact" w:before="0" w:after="0"/>
        <w:ind w:left="89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３. 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盾构过站施工风险防控措施</w:t>
      </w:r>
    </w:p>
    <w:p>
      <w:pPr>
        <w:autoSpaceDN w:val="0"/>
        <w:autoSpaceDE w:val="0"/>
        <w:widowControl/>
        <w:spacing w:line="304" w:lineRule="exact" w:before="154" w:after="0"/>
        <w:ind w:left="898" w:right="212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施工前仔细核算顶推工程中所需最大推力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保顶推油缸及卷扬机满足施工要求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所有设备使用前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经验收合格之后方可投入使用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顶推前对设备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接收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架涂抹润滑油减少摩擦力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2" w:lineRule="exact" w:before="158" w:after="0"/>
        <w:ind w:left="898" w:right="212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顶升之前对设备进行受力计算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确保顶升设备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与行吊满足顶升要求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避免过程中设备损坏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盾构主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机顶升过程中用行吊辅助受力防止其倾斜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油缸顶推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过程中同时受力保证其行程均匀一致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56" w:lineRule="exact" w:before="202" w:after="0"/>
        <w:ind w:left="894" w:right="212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吊装之前对行吊设备进行验算核实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确保其能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满足主机各顶块吊装要求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确保吊装过程不会停歇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道铺设完成之后进行验收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确保其满足拖车使用要求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３. 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可拆解盾构二次始发掘进中风险源防控措施</w:t>
      </w:r>
    </w:p>
    <w:p>
      <w:pPr>
        <w:autoSpaceDN w:val="0"/>
        <w:autoSpaceDE w:val="0"/>
        <w:widowControl/>
        <w:spacing w:line="302" w:lineRule="exact" w:before="158" w:after="0"/>
        <w:ind w:left="898" w:right="208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盾尾拆卸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运输和安装时做好保圆措施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通常在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盾尾内加焊型钢支撑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必要时在盾尾内弧面加焊筋板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盾尾型钢支撑示意如图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所示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2" w:lineRule="exact" w:before="158" w:after="0"/>
        <w:ind w:left="898" w:right="212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盾构在二次组装完成后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通过测量仪器量测盾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尾椭圆度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若出现失圆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在盾构始发前完成椭圆度调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后期管片拼装过程中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做到勤测量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勤纠正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及时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采取纠正措施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必要情况下采用保圆器进行纠正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盾尾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间隙量测如图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所示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sectPr>
          <w:type w:val="continuous"/>
          <w:pgSz w:w="12246" w:h="17178"/>
          <w:pgMar w:top="580" w:right="1288" w:bottom="170" w:left="400" w:header="720" w:footer="720" w:gutter="0"/>
          <w:cols w:num="2" w:equalWidth="0">
            <w:col w:w="5714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80359" cy="14312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59" cy="143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exact" w:before="76" w:after="0"/>
        <w:ind w:left="0" w:right="1544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３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盾尾间隙量测</w:t>
      </w:r>
    </w:p>
    <w:p>
      <w:pPr>
        <w:autoSpaceDN w:val="0"/>
        <w:autoSpaceDE w:val="0"/>
        <w:widowControl/>
        <w:spacing w:line="304" w:lineRule="exact" w:before="196" w:after="0"/>
        <w:ind w:left="214" w:right="24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盾构解体过站组装过程中一定要对盾构密封圈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进行保护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二次组装前一定要对其进行损坏程度评估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验收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验证其是否能再次使用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对不合格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腐蚀严重的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密封圈进行及时更换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6" w:after="0"/>
        <w:ind w:left="214" w:right="24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４）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盾构二次始发之后应注意对盾构姿态的控制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做到勤纠缓纠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；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在曲线推进过程中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合理调整密封松紧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度保证密封的压力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2" w:lineRule="exact" w:before="0" w:after="0"/>
        <w:ind w:left="208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４ </w:t>
      </w: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结语</w:t>
      </w:r>
    </w:p>
    <w:p>
      <w:pPr>
        <w:autoSpaceDN w:val="0"/>
        <w:autoSpaceDE w:val="0"/>
        <w:widowControl/>
        <w:spacing w:line="304" w:lineRule="exact" w:before="154" w:after="0"/>
        <w:ind w:left="214" w:right="24" w:firstLine="40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通过对宁波轨道交通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号线柳西站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兴宁桥西站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区间可拆解盾构施工进行分析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提出了相应总结及建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施工期间拼装式可拆解盾构装备并未产生透水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密封性差或者失圆等设备故障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亦未对周围环境产生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较大影响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结合工程实际情况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综合分析得出可拆解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盾构施工全过程中存在风险的应对措施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主要结论如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6" w:after="0"/>
        <w:ind w:left="214" w:right="28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可拆解盾构小半径曲线施工时要注意及时纠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通过盾构推进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管片拼装及二次注浆等方式控制隧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道轴线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6" w:after="0"/>
        <w:ind w:left="214" w:right="28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可拆解盾构穿越建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（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筑物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可以采用地面预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地面补偿注浆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洞内注浆等方式进行加固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同时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建立完善的监测系统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及时调整掘进参数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6" w:after="0"/>
        <w:ind w:left="214" w:right="28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合理设计可拆解盾构拆解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组装的流程并严格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遵守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可拆解盾构在吊装过程中应注意选取合适的吊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装器具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并做好稳定性验算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保证吊装过程安全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6" w:after="0"/>
        <w:ind w:left="214" w:right="22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４）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可拆解盾构盾尾运输安装时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要做好保护措施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及时调整椭圆度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盾构二次组装前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评估各构件其损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坏程度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及时更换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二次掘进时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要注意盾构姿态的控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勤测量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勤纠正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54" w:lineRule="exact" w:before="0" w:after="0"/>
        <w:ind w:left="214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参考文献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</w:p>
    <w:p>
      <w:pPr>
        <w:autoSpaceDN w:val="0"/>
        <w:autoSpaceDE w:val="0"/>
        <w:widowControl/>
        <w:spacing w:line="368" w:lineRule="exact" w:before="6" w:after="432"/>
        <w:ind w:left="214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［１］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李朝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盾构分体平移通过已建车站始发技术研究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低温建</w:t>
      </w:r>
    </w:p>
    <w:p>
      <w:pPr>
        <w:sectPr>
          <w:type w:val="nextColumn"/>
          <w:pgSz w:w="12246" w:h="17178"/>
          <w:pgMar w:top="580" w:right="1288" w:bottom="170" w:left="400" w:header="720" w:footer="720" w:gutter="0"/>
          <w:cols w:num="2" w:equalWidth="0">
            <w:col w:w="5714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7178"/>
          <w:pgMar w:top="580" w:right="128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94.0" w:type="dxa"/>
      </w:tblPr>
      <w:tblGrid>
        <w:gridCol w:w="3519"/>
        <w:gridCol w:w="3519"/>
        <w:gridCol w:w="3519"/>
      </w:tblGrid>
      <w:tr>
        <w:trPr>
          <w:trHeight w:hRule="exact" w:val="334"/>
        </w:trPr>
        <w:tc>
          <w:tcPr>
            <w:tcW w:type="dxa" w:w="4920"/>
            <w:tcBorders>
              <w:end w:sz="35.19999999999982" w:val="single" w:color="#FFFFF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9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７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８</w:t>
            </w:r>
          </w:p>
        </w:tc>
        <w:tc>
          <w:tcPr>
            <w:tcW w:type="dxa" w:w="648"/>
            <w:tcBorders>
              <w:start w:sz="35.19999999999982" w:val="single" w:color="#FFFFFF"/>
              <w:end w:sz="35.20000000000027" w:val="single" w:color="#FFFFF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8"/>
            <w:tcBorders>
              <w:start w:sz="35.20000000000027" w:val="single" w:color="#FFFFF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100"/>
        <w:ind w:left="0" w:right="0"/>
      </w:pPr>
    </w:p>
    <w:p>
      <w:pPr>
        <w:sectPr>
          <w:pgSz w:w="12246" w:h="17178"/>
          <w:pgMar w:top="582" w:right="128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6" w:lineRule="exact" w:before="0" w:after="0"/>
        <w:ind w:left="1326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筑技术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，２０１６，３８（１２）：１３２⁃１３４.</w:t>
      </w:r>
    </w:p>
    <w:p>
      <w:pPr>
        <w:autoSpaceDN w:val="0"/>
        <w:tabs>
          <w:tab w:pos="1322" w:val="left"/>
        </w:tabs>
        <w:autoSpaceDE w:val="0"/>
        <w:widowControl/>
        <w:spacing w:line="264" w:lineRule="exact" w:before="102" w:after="0"/>
        <w:ind w:left="898" w:right="144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［２］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徐震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斜井盾构地下可拆解结构形式研究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施工技术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２０１６，４５（２１）：１２０⁃１２３.</w:t>
      </w:r>
    </w:p>
    <w:p>
      <w:pPr>
        <w:autoSpaceDN w:val="0"/>
        <w:tabs>
          <w:tab w:pos="1326" w:val="left"/>
        </w:tabs>
        <w:autoSpaceDE w:val="0"/>
        <w:widowControl/>
        <w:spacing w:line="264" w:lineRule="exact" w:before="102" w:after="0"/>
        <w:ind w:left="898" w:right="144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［３］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徐震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斜井盾构地下可拆解刀盘结构设计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装备制造技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术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，２０１６，（１０）：１⁃４.</w:t>
      </w:r>
    </w:p>
    <w:p>
      <w:pPr>
        <w:autoSpaceDN w:val="0"/>
        <w:autoSpaceDE w:val="0"/>
        <w:widowControl/>
        <w:spacing w:line="264" w:lineRule="exact" w:before="102" w:after="0"/>
        <w:ind w:left="1326" w:right="214" w:hanging="428"/>
        <w:jc w:val="both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［４］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姚燕明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胡新朋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李发勇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狭窄空间内可拆解式盾构过站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施工技术及应用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———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以宁波火车站为例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隧道建设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（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中英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文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），２０２０，４０（７）：１０３５⁃１０４０.</w:t>
      </w:r>
    </w:p>
    <w:p>
      <w:pPr>
        <w:autoSpaceDN w:val="0"/>
        <w:autoSpaceDE w:val="0"/>
        <w:widowControl/>
        <w:spacing w:line="368" w:lineRule="exact" w:before="0" w:after="0"/>
        <w:ind w:left="89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［５］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李发勇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可拆解盾构下穿既有桥桩磨桩施工影响研究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———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以</w:t>
      </w:r>
    </w:p>
    <w:p>
      <w:pPr>
        <w:sectPr>
          <w:type w:val="continuous"/>
          <w:pgSz w:w="12246" w:h="17178"/>
          <w:pgMar w:top="582" w:right="1288" w:bottom="170" w:left="400" w:header="720" w:footer="720" w:gutter="0"/>
          <w:cols w:num="2" w:equalWidth="0">
            <w:col w:w="5718" w:space="0"/>
            <w:col w:w="4840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102" w:after="0"/>
        <w:ind w:left="636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宁波轨道交通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４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号线柳宁盾构区间为例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隧道建设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（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中英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文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），２０２０，４０（１０）：１５０６⁃１５１５.</w:t>
      </w:r>
    </w:p>
    <w:p>
      <w:pPr>
        <w:autoSpaceDN w:val="0"/>
        <w:autoSpaceDE w:val="0"/>
        <w:widowControl/>
        <w:spacing w:line="264" w:lineRule="exact" w:before="102" w:after="0"/>
        <w:ind w:left="636" w:right="26" w:hanging="426"/>
        <w:jc w:val="both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［６］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潘建明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廖韶军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董毓庆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可拆解盾构小半径侧穿既有建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筑物施工技术及影响分析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现代城市轨道交通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，２０２２，１９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（５）：３９⁃４３.</w:t>
      </w:r>
    </w:p>
    <w:p>
      <w:pPr>
        <w:autoSpaceDN w:val="0"/>
        <w:tabs>
          <w:tab w:pos="636" w:val="left"/>
        </w:tabs>
        <w:autoSpaceDE w:val="0"/>
        <w:widowControl/>
        <w:spacing w:line="264" w:lineRule="exact" w:before="102" w:after="0"/>
        <w:ind w:left="210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［７］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潘建明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廖韶军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董毓庆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软土地区可拆解盾构机掘进参</w:t>
      </w:r>
      <w:r>
        <w:tab/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数稳定性分析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建筑技术开发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，２０２２，４９（９）：１２１⁃１２４.</w:t>
      </w:r>
    </w:p>
    <w:p>
      <w:pPr>
        <w:autoSpaceDN w:val="0"/>
        <w:autoSpaceDE w:val="0"/>
        <w:widowControl/>
        <w:spacing w:line="264" w:lineRule="exact" w:before="102" w:after="12442"/>
        <w:ind w:left="144" w:right="0" w:firstLine="0"/>
        <w:jc w:val="center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［８］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李广伦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黄伟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廖韶军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软土地区可拆解盾构侧穿铁道施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工影响研究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低温建筑技术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，２０２２，４４（６）：１３６⁃１４０.</w:t>
      </w:r>
    </w:p>
    <w:p>
      <w:pPr>
        <w:sectPr>
          <w:type w:val="nextColumn"/>
          <w:pgSz w:w="12246" w:h="17178"/>
          <w:pgMar w:top="582" w:right="1288" w:bottom="170" w:left="400" w:header="720" w:footer="720" w:gutter="0"/>
          <w:cols w:num="2" w:equalWidth="0">
            <w:col w:w="5718" w:space="0"/>
            <w:col w:w="484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246" w:h="17178"/>
      <w:pgMar w:top="582" w:right="1288" w:bottom="170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