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23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23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40" w:val="left"/>
        </w:tabs>
        <w:autoSpaceDE w:val="0"/>
        <w:widowControl/>
        <w:spacing w:line="211" w:lineRule="auto" w:before="0" w:after="0"/>
        <w:ind w:left="92" w:right="0" w:firstLine="0"/>
        <w:jc w:val="left"/>
      </w:pPr>
      <w:r>
        <w:rPr>
          <w:rFonts w:ascii="FZTYSJW" w:hAnsi="FZTYSJW" w:eastAsia="FZTYSJW"/>
          <w:b w:val="0"/>
          <w:i w:val="0"/>
          <w:color w:val="221F1F"/>
          <w:sz w:val="16"/>
        </w:rPr>
        <w:t>实践探索</w:t>
      </w:r>
      <w:r>
        <w:tab/>
      </w:r>
      <w:r>
        <w:rPr>
          <w:rFonts w:ascii="BerlinSansFB" w:hAnsi="BerlinSansFB" w:eastAsia="BerlinSansFB"/>
          <w:b w:val="0"/>
          <w:i w:val="0"/>
          <w:color w:val="221F1F"/>
          <w:sz w:val="16"/>
        </w:rPr>
        <w:t>Practical Exploration</w:t>
      </w:r>
    </w:p>
    <w:p>
      <w:pPr>
        <w:autoSpaceDN w:val="0"/>
        <w:autoSpaceDE w:val="0"/>
        <w:widowControl/>
        <w:spacing w:line="185" w:lineRule="auto" w:before="662" w:after="0"/>
        <w:ind w:left="0" w:right="0" w:firstLine="0"/>
        <w:jc w:val="center"/>
      </w:pPr>
      <w:r>
        <w:rPr>
          <w:rFonts w:ascii="FZTYSJW" w:hAnsi="FZTYSJW" w:eastAsia="FZTYSJW"/>
          <w:b w:val="0"/>
          <w:i w:val="0"/>
          <w:color w:val="221F1F"/>
          <w:sz w:val="48"/>
        </w:rPr>
        <w:t>基于动态风险评估的盾构施工智能管理</w:t>
      </w:r>
    </w:p>
    <w:p>
      <w:pPr>
        <w:autoSpaceDN w:val="0"/>
        <w:autoSpaceDE w:val="0"/>
        <w:widowControl/>
        <w:spacing w:line="514" w:lineRule="exact" w:before="240" w:after="0"/>
        <w:ind w:left="88" w:right="0" w:firstLine="0"/>
        <w:jc w:val="left"/>
      </w:pPr>
      <w:r>
        <w:rPr>
          <w:rFonts w:ascii="SourceHanSansCN" w:hAnsi="SourceHanSansCN" w:eastAsia="SourceHanSansCN"/>
          <w:b w:val="0"/>
          <w:i w:val="0"/>
          <w:color w:val="221F1F"/>
          <w:sz w:val="18"/>
        </w:rPr>
        <w:t xml:space="preserve">文 </w:t>
      </w:r>
      <w:r>
        <w:rPr>
          <w:rFonts w:ascii="SourceHanSansCN" w:hAnsi="SourceHanSansCN" w:eastAsia="SourceHanSansCN"/>
          <w:b w:val="0"/>
          <w:i w:val="0"/>
          <w:color w:val="221F1F"/>
          <w:sz w:val="10"/>
        </w:rPr>
        <w:t>◆</w:t>
      </w:r>
      <w:r>
        <w:rPr>
          <w:rFonts w:ascii="SourceHanSansCN" w:hAnsi="SourceHanSansCN" w:eastAsia="SourceHanSansCN"/>
          <w:b w:val="0"/>
          <w:i w:val="0"/>
          <w:color w:val="221F1F"/>
          <w:sz w:val="18"/>
        </w:rPr>
        <w:t xml:space="preserve"> 中铁二十局集团第四工程有限公司 </w:t>
      </w:r>
      <w:r>
        <w:rPr>
          <w:rFonts w:ascii="SourceHanSansCN" w:hAnsi="SourceHanSansCN" w:eastAsia="SourceHanSansCN"/>
          <w:b/>
          <w:i w:val="0"/>
          <w:color w:val="221F1F"/>
          <w:sz w:val="18"/>
        </w:rPr>
        <w:t>徐</w:t>
      </w:r>
      <w:r>
        <w:rPr>
          <w:rFonts w:ascii="SourceHanSansCN" w:hAnsi="SourceHanSansCN" w:eastAsia="SourceHanSansCN"/>
          <w:b/>
          <w:i w:val="0"/>
          <w:color w:val="221F1F"/>
          <w:sz w:val="18"/>
        </w:rPr>
        <w:t>磊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864" w:after="0"/>
        <w:ind w:left="90" w:right="0" w:firstLine="0"/>
        <w:jc w:val="left"/>
      </w:pPr>
      <w:r>
        <w:rPr>
          <w:rFonts w:ascii="FZDBSK" w:hAnsi="FZDBSK" w:eastAsia="FZDBSK"/>
          <w:b w:val="0"/>
          <w:i w:val="0"/>
          <w:color w:val="1C357D"/>
          <w:sz w:val="21"/>
        </w:rPr>
        <w:t>引言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研究成果对项目管理实践具有一定的参考价值，对类似工程项目具有指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98" w:after="0"/>
        <w:ind w:left="4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在地铁施工过程中，及时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导意义。</w:t>
      </w:r>
    </w:p>
    <w:p>
      <w:pPr>
        <w:autoSpaceDN w:val="0"/>
        <w:autoSpaceDE w:val="0"/>
        <w:widowControl/>
        <w:spacing w:line="185" w:lineRule="auto" w:before="100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准确地识别风险源，采取相应合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98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理的风险管控措施是降低工程风</w:t>
      </w:r>
      <w:r>
        <w:tab/>
      </w:r>
      <w:r>
        <w:rPr>
          <w:rFonts w:ascii="FZDBSK" w:hAnsi="FZDBSK" w:eastAsia="FZDBSK"/>
          <w:b w:val="0"/>
          <w:i w:val="0"/>
          <w:color w:val="1C357D"/>
          <w:sz w:val="21"/>
        </w:rPr>
        <w:t>1 工程概况</w:t>
      </w:r>
    </w:p>
    <w:p>
      <w:pPr>
        <w:autoSpaceDN w:val="0"/>
        <w:tabs>
          <w:tab w:pos="3890" w:val="left"/>
        </w:tabs>
        <w:autoSpaceDE w:val="0"/>
        <w:widowControl/>
        <w:spacing w:line="185" w:lineRule="auto" w:before="98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险、保证隧道安全高效建设的重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青岛地铁一号线“薛瓦区间风井—瓦屋庄站区间”（简称“薛瓦区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2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要手段。从管理的视角出发，不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间”）位于青岛市黄岛区，平行于黄岛滨海大道，位于道路下方约20m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0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协调的运作和潜在的事故状况可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处。该区间隧道采用盾构法施工，盾构机在瓦屋庄站南端头左线始发，</w:t>
      </w:r>
    </w:p>
    <w:p>
      <w:pPr>
        <w:autoSpaceDN w:val="0"/>
        <w:tabs>
          <w:tab w:pos="2396" w:val="left"/>
          <w:tab w:pos="3490" w:val="left"/>
        </w:tabs>
        <w:autoSpaceDE w:val="0"/>
        <w:widowControl/>
        <w:spacing w:line="204" w:lineRule="auto" w:before="78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能是事故风险产生的根源</w:t>
      </w:r>
      <w:r>
        <w:rPr>
          <w:w w:val="97.16666539510092"/>
          <w:rFonts w:ascii="FZSSK" w:hAnsi="FZSSK" w:eastAsia="FZSSK"/>
          <w:b w:val="0"/>
          <w:i w:val="0"/>
          <w:color w:val="221F1F"/>
          <w:sz w:val="12"/>
        </w:rPr>
        <w:t>[1]</w:t>
      </w:r>
      <w:r>
        <w:rPr>
          <w:rFonts w:ascii="FZSSK" w:hAnsi="FZSSK" w:eastAsia="FZSSK"/>
          <w:b w:val="0"/>
          <w:i w:val="0"/>
          <w:color w:val="221F1F"/>
          <w:sz w:val="20"/>
        </w:rPr>
        <w:t>。自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推进至暗挖段出洞，再空推100m 到达右线，再空推163m，推进至暗</w:t>
      </w:r>
    </w:p>
    <w:p>
      <w:pPr>
        <w:autoSpaceDN w:val="0"/>
        <w:tabs>
          <w:tab w:pos="2552" w:val="left"/>
          <w:tab w:pos="3490" w:val="left"/>
        </w:tabs>
        <w:autoSpaceDE w:val="0"/>
        <w:widowControl/>
        <w:spacing w:line="262" w:lineRule="auto" w:before="4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 xml:space="preserve">上个世纪90 年代，Einstein </w:t>
      </w:r>
      <w:r>
        <w:rPr>
          <w:w w:val="97.16666539510092"/>
          <w:rFonts w:ascii="FZSSK" w:hAnsi="FZSSK" w:eastAsia="FZSSK"/>
          <w:b w:val="0"/>
          <w:i w:val="0"/>
          <w:color w:val="221F1F"/>
          <w:sz w:val="12"/>
        </w:rPr>
        <w:t>[2]</w:t>
      </w:r>
      <w:r>
        <w:rPr>
          <w:rFonts w:ascii="FZSSK" w:hAnsi="FZSSK" w:eastAsia="FZSSK"/>
          <w:b w:val="0"/>
          <w:i w:val="0"/>
          <w:color w:val="221F1F"/>
          <w:sz w:val="20"/>
        </w:rPr>
        <w:t xml:space="preserve"> 首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挖段出洞，再空推27m 到达右线大里程端接收井拆解吊出。该区间地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2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次将风险管理理论引入到地铁建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质条件较为复杂，为青岛典型的上软下硬复合地层，场区内存在断层破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0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设项目中之后，风险管理在地铁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碎带等不良地质，隧道洞身大部分位于强风化岩层当中，围岩等级为Ⅴ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2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建设中逐渐获得广泛应用。随着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级。此外，区间有丰富的地下水，受大气降水和侧向径流补给；周边环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0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风险管理在工程中的不断应用，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境较为复杂，下穿城市建筑物，周边地下管线较多。复杂的地质条件带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2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众多学者不断将风险管理方法进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来了许多潜在的风险源，易出现隧道坍塌、盾构机卡顿、刀盘磨损等问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0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行总结与归纳，为我国隧道盾构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题，影响了施工安全和效率。</w:t>
      </w:r>
    </w:p>
    <w:p>
      <w:pPr>
        <w:autoSpaceDN w:val="0"/>
        <w:autoSpaceDE w:val="0"/>
        <w:widowControl/>
        <w:spacing w:line="204" w:lineRule="auto" w:before="78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区间的风险管理提供了指导</w:t>
      </w:r>
      <w:r>
        <w:rPr>
          <w:w w:val="97.16666539510092"/>
          <w:rFonts w:ascii="FZSSK" w:hAnsi="FZSSK" w:eastAsia="FZSSK"/>
          <w:b w:val="0"/>
          <w:i w:val="0"/>
          <w:color w:val="221F1F"/>
          <w:sz w:val="12"/>
        </w:rPr>
        <w:t>[3]</w:t>
      </w:r>
      <w:r>
        <w:rPr>
          <w:rFonts w:ascii="FZSSK" w:hAnsi="FZSSK" w:eastAsia="FZSSK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96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基于识别得出的风险因素，利用</w:t>
      </w:r>
      <w:r>
        <w:tab/>
      </w:r>
      <w:r>
        <w:rPr>
          <w:rFonts w:ascii="FZDBSK" w:hAnsi="FZDBSK" w:eastAsia="FZDBSK"/>
          <w:b w:val="0"/>
          <w:i w:val="0"/>
          <w:color w:val="1C357D"/>
          <w:sz w:val="21"/>
        </w:rPr>
        <w:t>2 盾构施工安全风险识别</w:t>
      </w:r>
    </w:p>
    <w:p>
      <w:pPr>
        <w:autoSpaceDN w:val="0"/>
        <w:tabs>
          <w:tab w:pos="3890" w:val="left"/>
        </w:tabs>
        <w:autoSpaceDE w:val="0"/>
        <w:widowControl/>
        <w:spacing w:line="185" w:lineRule="auto" w:before="98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多种方法针对施工过程中的安全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通过工作分解结构（WBS）对盾构施工过程进行细致、全面分解，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0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问题进行评估，实现对项目的风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清晰掌握施工中的各个环节。利用风险分解结构（RBS）系统地解析</w:t>
      </w:r>
    </w:p>
    <w:p>
      <w:pPr>
        <w:autoSpaceDN w:val="0"/>
        <w:tabs>
          <w:tab w:pos="740" w:val="left"/>
          <w:tab w:pos="3490" w:val="left"/>
        </w:tabs>
        <w:autoSpaceDE w:val="0"/>
        <w:widowControl/>
        <w:spacing w:line="204" w:lineRule="auto" w:before="78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险控制</w:t>
      </w:r>
      <w:r>
        <w:rPr>
          <w:w w:val="97.16666539510092"/>
          <w:rFonts w:ascii="FZSSK" w:hAnsi="FZSSK" w:eastAsia="FZSSK"/>
          <w:b w:val="0"/>
          <w:i w:val="0"/>
          <w:color w:val="221F1F"/>
          <w:sz w:val="12"/>
        </w:rPr>
        <w:t>[4]</w:t>
      </w:r>
      <w:r>
        <w:rPr>
          <w:rFonts w:ascii="FZSSK" w:hAnsi="FZSSK" w:eastAsia="FZSSK"/>
          <w:b w:val="0"/>
          <w:i w:val="0"/>
          <w:color w:val="221F1F"/>
          <w:sz w:val="20"/>
        </w:rPr>
        <w:t>。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盾构施工过程中的风险因素，深入了解潜在的安全隐患。结合WBS 和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0" w:after="0"/>
        <w:ind w:left="4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本文针对地铁盾构施工地质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RBS 形成的WBS-RBS 耦合矩阵，有效地将施工任务与潜在风险相对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2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水文特点及施工的重难点，以青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应，实现对施工事件的精准分类。这种矩阵的应用，有利于动态识别地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0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岛地铁某盾构区间施工为研究对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铁盾构施工过程中的风险源，为施工安全提供有力保障。</w:t>
      </w:r>
    </w:p>
    <w:p>
      <w:pPr>
        <w:autoSpaceDN w:val="0"/>
        <w:tabs>
          <w:tab w:pos="3890" w:val="left"/>
        </w:tabs>
        <w:autoSpaceDE w:val="0"/>
        <w:widowControl/>
        <w:spacing w:line="185" w:lineRule="auto" w:before="102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象，利用WBS-RBS 进行盾构隧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在着手工作之前，构建WBS 结构是至关重要的首要步骤。这一过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0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道施工风险因素的动态识别，并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程涉及对盾构施工活动的系统性分解与细致规划。本文严格遵循隧道施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2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融合专家调查法、风险矩阵法以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工的专业规范，将整体施工流程划分为6 个关键阶段，即盾构施工前的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0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及模糊层次分析法（FAHP）进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前期准备、盾构机的启动与出发、盾构的常规掘进作业、盾构穿越风井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2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行综合风险评。基于评估结果实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的专项施工、盾构刀具的状态检查与必要更换以及盾构机抵达目的地并</w:t>
      </w:r>
    </w:p>
    <w:p>
      <w:pPr>
        <w:autoSpaceDN w:val="0"/>
        <w:tabs>
          <w:tab w:pos="3490" w:val="left"/>
        </w:tabs>
        <w:autoSpaceDE w:val="0"/>
        <w:widowControl/>
        <w:spacing w:line="185" w:lineRule="auto" w:before="100" w:after="0"/>
        <w:ind w:left="9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现工程项目智能施工风险管理。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完成接收工作。通过系统性地划分，构建了地铁隧道盾构施工的WBS</w:t>
      </w:r>
    </w:p>
    <w:p>
      <w:pPr>
        <w:autoSpaceDN w:val="0"/>
        <w:autoSpaceDE w:val="0"/>
        <w:widowControl/>
        <w:spacing w:line="220" w:lineRule="exact" w:before="1252" w:after="0"/>
        <w:ind w:left="0" w:right="0" w:firstLine="0"/>
        <w:jc w:val="left"/>
      </w:pPr>
      <w:r>
        <w:rPr>
          <w:w w:val="97.77777989705405"/>
          <w:rFonts w:ascii="AdobeFangsongStd" w:hAnsi="AdobeFangsongStd" w:eastAsia="AdobeFangsongStd"/>
          <w:b w:val="0"/>
          <w:i w:val="0"/>
          <w:color w:val="221F1F"/>
          <w:sz w:val="18"/>
        </w:rPr>
        <w:t>【作者简介】徐磊(1981—)，男，河南郸城人，本科，工程师，研究方向：城市轨道施工管理。</w:t>
      </w:r>
    </w:p>
    <w:p>
      <w:pPr>
        <w:autoSpaceDN w:val="0"/>
        <w:autoSpaceDE w:val="0"/>
        <w:widowControl/>
        <w:spacing w:line="185" w:lineRule="auto" w:before="252" w:after="0"/>
        <w:ind w:left="82" w:right="0" w:firstLine="0"/>
        <w:jc w:val="left"/>
      </w:pPr>
      <w:r>
        <w:rPr>
          <w:rFonts w:ascii="FZLTCHJW" w:hAnsi="FZLTCHJW" w:eastAsia="FZLTCHJW"/>
          <w:b w:val="0"/>
          <w:i w:val="0"/>
          <w:color w:val="221F1F"/>
          <w:sz w:val="14"/>
        </w:rPr>
        <w:t xml:space="preserve">216   </w:t>
      </w:r>
      <w:r>
        <w:rPr>
          <w:rFonts w:ascii="FZLTHJW" w:hAnsi="FZLTHJW" w:eastAsia="FZLTHJW"/>
          <w:b w:val="0"/>
          <w:i w:val="0"/>
          <w:color w:val="221F1F"/>
          <w:sz w:val="12"/>
        </w:rPr>
        <w:t>| 2024.04</w:t>
      </w:r>
    </w:p>
    <w:p>
      <w:pPr>
        <w:sectPr>
          <w:pgSz w:w="11906" w:h="16838"/>
          <w:pgMar w:top="412" w:right="1202" w:bottom="290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2023110</wp:posOffset>
            </wp:positionH>
            <wp:positionV relativeFrom="page">
              <wp:posOffset>4861560</wp:posOffset>
            </wp:positionV>
            <wp:extent cx="1644650" cy="160069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6006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1391920</wp:posOffset>
            </wp:positionH>
            <wp:positionV relativeFrom="page">
              <wp:posOffset>1079500</wp:posOffset>
            </wp:positionV>
            <wp:extent cx="5039359" cy="201617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359" cy="20161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237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23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4" w:lineRule="auto" w:before="0" w:after="0"/>
        <w:ind w:left="0" w:right="120" w:firstLine="0"/>
        <w:jc w:val="right"/>
      </w:pPr>
      <w:r>
        <w:rPr>
          <w:rFonts w:ascii="STXihei" w:hAnsi="STXihei" w:eastAsia="STXihei"/>
          <w:b w:val="0"/>
          <w:i w:val="0"/>
          <w:color w:val="221F1F"/>
          <w:sz w:val="12"/>
        </w:rPr>
        <w:t xml:space="preserve">中国信息界 | </w:t>
      </w:r>
      <w:r>
        <w:rPr>
          <w:w w:val="96.8131212087778"/>
          <w:rFonts w:ascii="STXihei" w:hAnsi="STXihei" w:eastAsia="STXihei"/>
          <w:b w:val="0"/>
          <w:i w:val="0"/>
          <w:color w:val="221F1F"/>
          <w:sz w:val="13"/>
        </w:rPr>
        <w:t>Information China</w:t>
      </w:r>
    </w:p>
    <w:p>
      <w:pPr>
        <w:autoSpaceDN w:val="0"/>
        <w:autoSpaceDE w:val="0"/>
        <w:widowControl/>
        <w:spacing w:line="458" w:lineRule="exact" w:before="3850" w:after="0"/>
        <w:ind w:left="0" w:right="3752" w:firstLine="0"/>
        <w:jc w:val="right"/>
      </w:pPr>
      <w:r>
        <w:rPr>
          <w:rFonts w:ascii="SourceHanSerifCN" w:hAnsi="SourceHanSerifCN" w:eastAsia="SourceHanSerifCN"/>
          <w:b w:val="0"/>
          <w:i w:val="0"/>
          <w:color w:val="1C357D"/>
          <w:sz w:val="16"/>
        </w:rPr>
        <w:t>图1 地铁隧道盾构施工WBS 结构</w:t>
      </w:r>
    </w:p>
    <w:p>
      <w:pPr>
        <w:autoSpaceDN w:val="0"/>
        <w:tabs>
          <w:tab w:pos="6804" w:val="left"/>
        </w:tabs>
        <w:autoSpaceDE w:val="0"/>
        <w:widowControl/>
        <w:spacing w:line="185" w:lineRule="auto" w:before="370" w:after="0"/>
        <w:ind w:left="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结构，如图1 所示，以确保施工过程的严谨性、稳定性和高效性。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施工造成损失的因素进行甄别。</w:t>
      </w:r>
    </w:p>
    <w:p>
      <w:pPr>
        <w:autoSpaceDN w:val="0"/>
        <w:tabs>
          <w:tab w:pos="6804" w:val="left"/>
        </w:tabs>
        <w:autoSpaceDE w:val="0"/>
        <w:widowControl/>
        <w:spacing w:line="185" w:lineRule="auto" w:before="102" w:after="0"/>
        <w:ind w:left="40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随后，进行RBS 结构地构建工作。地铁隧道建设的风险分为两大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对于高风险或高损失的因素，标</w:t>
      </w:r>
    </w:p>
    <w:p>
      <w:pPr>
        <w:autoSpaceDN w:val="0"/>
        <w:tabs>
          <w:tab w:pos="6804" w:val="left"/>
        </w:tabs>
        <w:autoSpaceDE w:val="0"/>
        <w:widowControl/>
        <w:spacing w:line="185" w:lineRule="auto" w:before="100" w:after="0"/>
        <w:ind w:left="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类，分别为外部风险和内部风险。其中，内部风险主要涵盖水文地质因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记为“1”，对于低风险或可忽略</w:t>
      </w:r>
    </w:p>
    <w:p>
      <w:pPr>
        <w:autoSpaceDN w:val="0"/>
        <w:tabs>
          <w:tab w:pos="6804" w:val="left"/>
        </w:tabs>
        <w:autoSpaceDE w:val="0"/>
        <w:widowControl/>
        <w:spacing w:line="185" w:lineRule="auto" w:before="102" w:after="0"/>
        <w:ind w:left="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素、气候因素以及周边环境因素，并细分为组织管理因素、施工工艺因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的因素，标记为“0”。经过专家</w:t>
      </w:r>
    </w:p>
    <w:p>
      <w:pPr>
        <w:autoSpaceDN w:val="0"/>
        <w:tabs>
          <w:tab w:pos="6804" w:val="left"/>
        </w:tabs>
        <w:autoSpaceDE w:val="0"/>
        <w:widowControl/>
        <w:spacing w:line="185" w:lineRule="auto" w:before="100" w:after="102"/>
        <w:ind w:left="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素、人为因素以及设备因素。经过精心构建，形成了地铁隧道盾构施工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团队的深入研讨与综合评估，最</w:t>
      </w:r>
    </w:p>
    <w:p>
      <w:pPr>
        <w:sectPr>
          <w:pgSz w:w="11906" w:h="16838"/>
          <w:pgMar w:top="404" w:right="806" w:bottom="290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RBS 结构，如图2 所示。</w:t>
      </w:r>
    </w:p>
    <w:p>
      <w:pPr>
        <w:sectPr>
          <w:type w:val="continuous"/>
          <w:pgSz w:w="11906" w:h="16838"/>
          <w:pgMar w:top="404" w:right="806" w:bottom="290" w:left="1342" w:header="720" w:footer="720" w:gutter="0"/>
          <w:cols w:num="2" w:equalWidth="0">
            <w:col w:w="4504" w:space="0"/>
            <w:col w:w="525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30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终形成隧道盾构施工风险清单，</w:t>
      </w:r>
      <w:r>
        <w:rPr>
          <w:rFonts w:ascii="FZSSK" w:hAnsi="FZSSK" w:eastAsia="FZSSK"/>
          <w:b w:val="0"/>
          <w:i w:val="0"/>
          <w:color w:val="221F1F"/>
          <w:sz w:val="20"/>
        </w:rPr>
        <w:t>以确保施工过程的稳健与安全。</w:t>
      </w:r>
    </w:p>
    <w:p>
      <w:pPr>
        <w:autoSpaceDN w:val="0"/>
        <w:tabs>
          <w:tab w:pos="2700" w:val="left"/>
        </w:tabs>
        <w:autoSpaceDE w:val="0"/>
        <w:widowControl/>
        <w:spacing w:line="250" w:lineRule="auto" w:before="428" w:after="0"/>
        <w:ind w:left="2300" w:right="0" w:firstLine="0"/>
        <w:jc w:val="left"/>
      </w:pPr>
      <w:r>
        <w:rPr>
          <w:rFonts w:ascii="FZDBSK" w:hAnsi="FZDBSK" w:eastAsia="FZDBSK"/>
          <w:b w:val="0"/>
          <w:i w:val="0"/>
          <w:color w:val="1C357D"/>
          <w:sz w:val="21"/>
        </w:rPr>
        <w:t>3 盾构施工安全风险评估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基于WBS-RBS 耦合方法识</w:t>
      </w:r>
      <w:r>
        <w:rPr>
          <w:rFonts w:ascii="FZSSK" w:hAnsi="FZSSK" w:eastAsia="FZSSK"/>
          <w:b w:val="0"/>
          <w:i w:val="0"/>
          <w:color w:val="221F1F"/>
          <w:sz w:val="20"/>
        </w:rPr>
        <w:t>别得到的风险因素，利用风险评</w:t>
      </w:r>
      <w:r>
        <w:rPr>
          <w:rFonts w:ascii="FZSSK" w:hAnsi="FZSSK" w:eastAsia="FZSSK"/>
          <w:b w:val="0"/>
          <w:i w:val="0"/>
          <w:color w:val="221F1F"/>
          <w:sz w:val="20"/>
        </w:rPr>
        <w:t>估矩阵和模糊层次分析法进行风</w:t>
      </w:r>
      <w:r>
        <w:rPr>
          <w:rFonts w:ascii="FZSSK" w:hAnsi="FZSSK" w:eastAsia="FZSSK"/>
          <w:b w:val="0"/>
          <w:i w:val="0"/>
          <w:color w:val="221F1F"/>
          <w:sz w:val="20"/>
        </w:rPr>
        <w:t>险评价。</w:t>
      </w:r>
    </w:p>
    <w:p>
      <w:pPr>
        <w:autoSpaceDN w:val="0"/>
        <w:autoSpaceDE w:val="0"/>
        <w:widowControl/>
        <w:spacing w:line="185" w:lineRule="auto" w:before="100" w:after="54"/>
        <w:ind w:left="0" w:right="120" w:firstLine="0"/>
        <w:jc w:val="right"/>
      </w:pPr>
      <w:r>
        <w:rPr>
          <w:rFonts w:ascii="HYa3gj" w:hAnsi="HYa3gj" w:eastAsia="HYa3gj"/>
          <w:b w:val="0"/>
          <w:i w:val="0"/>
          <w:color w:val="221F1F"/>
          <w:sz w:val="20"/>
        </w:rPr>
        <w:t>3.1 基于风险矩阵法的盾构</w:t>
      </w:r>
    </w:p>
    <w:p>
      <w:pPr>
        <w:sectPr>
          <w:type w:val="nextColumn"/>
          <w:pgSz w:w="11906" w:h="16838"/>
          <w:pgMar w:top="404" w:right="806" w:bottom="290" w:left="1342" w:header="720" w:footer="720" w:gutter="0"/>
          <w:cols w:num="2" w:equalWidth="0">
            <w:col w:w="4504" w:space="0"/>
            <w:col w:w="52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79"/>
        <w:gridCol w:w="4879"/>
      </w:tblGrid>
      <w:tr>
        <w:trPr>
          <w:trHeight w:hRule="exact" w:val="1718"/>
        </w:trPr>
        <w:tc>
          <w:tcPr>
            <w:tcW w:type="dxa" w:w="6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  <w:tab w:pos="1956" w:val="left"/>
              </w:tabs>
              <w:autoSpaceDE w:val="0"/>
              <w:widowControl/>
              <w:spacing w:line="312" w:lineRule="exact" w:before="144" w:after="0"/>
              <w:ind w:left="0" w:right="144" w:firstLine="0"/>
              <w:jc w:val="left"/>
            </w:pPr>
            <w:r>
              <w:tab/>
            </w:r>
            <w:r>
              <w:tab/>
            </w:r>
            <w:r>
              <w:rPr>
                <w:rFonts w:ascii="SourceHanSerifCN" w:hAnsi="SourceHanSerifCN" w:eastAsia="SourceHanSerifCN"/>
                <w:b w:val="0"/>
                <w:i w:val="0"/>
                <w:color w:val="1C357D"/>
                <w:sz w:val="16"/>
              </w:rPr>
              <w:t>图2 地铁隧道盾构施工RBS 结构</w:t>
            </w:r>
            <w:r>
              <w:br/>
            </w:r>
            <w:r>
              <w:tab/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经过对隧道盾构施工过程的细致分析，采用工作分解结构（WBS）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和风险分解结构（RBS）进行系统性解构。在此基础上，构建了WBS-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RBS 耦合矩阵，隧道施工WBS-RBS 耦合矩阵如表1 所示。为确保矩阵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中各因素的准确评估，依托专家团队的丰富经验，对潜在风险及可能对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246" w:right="0" w:firstLine="0"/>
              <w:jc w:val="left"/>
            </w:pPr>
            <w:r>
              <w:rPr>
                <w:rFonts w:ascii="HYa3gj" w:hAnsi="HYa3gj" w:eastAsia="HYa3gj"/>
                <w:b w:val="0"/>
                <w:i w:val="0"/>
                <w:color w:val="221F1F"/>
                <w:sz w:val="20"/>
              </w:rPr>
              <w:t>施工风险定性评估</w:t>
            </w:r>
          </w:p>
          <w:p>
            <w:pPr>
              <w:autoSpaceDN w:val="0"/>
              <w:autoSpaceDE w:val="0"/>
              <w:widowControl/>
              <w:spacing w:line="245" w:lineRule="auto" w:before="132" w:after="0"/>
              <w:ind w:left="246" w:right="60" w:firstLine="400"/>
              <w:jc w:val="both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采用风险矩阵法科学评估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并分类项目中存在的各类风险因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素。风险矩阵法是一种经过广泛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验证的风险评估方法，它通过综</w:t>
            </w:r>
          </w:p>
        </w:tc>
      </w:tr>
    </w:tbl>
    <w:p>
      <w:pPr>
        <w:autoSpaceDN w:val="0"/>
        <w:autoSpaceDE w:val="0"/>
        <w:widowControl/>
        <w:spacing w:line="185" w:lineRule="auto" w:before="16" w:after="24"/>
        <w:ind w:left="0" w:right="120" w:firstLine="0"/>
        <w:jc w:val="right"/>
      </w:pPr>
      <w:r>
        <w:rPr>
          <w:rFonts w:ascii="FZSSK" w:hAnsi="FZSSK" w:eastAsia="FZSSK"/>
          <w:b w:val="0"/>
          <w:i w:val="0"/>
          <w:color w:val="221F1F"/>
          <w:sz w:val="20"/>
        </w:rPr>
        <w:t>合考虑风险因素的发生概率及其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114" w:type="dxa"/>
      </w:tblPr>
      <w:tblGrid>
        <w:gridCol w:w="1952"/>
        <w:gridCol w:w="1952"/>
        <w:gridCol w:w="1952"/>
        <w:gridCol w:w="1952"/>
        <w:gridCol w:w="1952"/>
      </w:tblGrid>
      <w:tr>
        <w:trPr>
          <w:trHeight w:hRule="exact" w:val="34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8" w:lineRule="exact" w:before="196" w:after="0"/>
              <w:ind w:left="0" w:right="0" w:firstLine="0"/>
              <w:jc w:val="center"/>
            </w:pPr>
            <w:r>
              <w:rPr>
                <w:rFonts w:ascii="SourceHanSerifCN" w:hAnsi="SourceHanSerifCN" w:eastAsia="SourceHanSerifCN"/>
                <w:b w:val="0"/>
                <w:i w:val="0"/>
                <w:color w:val="FFFFFF"/>
                <w:sz w:val="15"/>
              </w:rPr>
              <w:t xml:space="preserve"> RBS</w:t>
            </w:r>
            <w:r>
              <w:rPr>
                <w:rFonts w:ascii="SourceHanSerifCN" w:hAnsi="SourceHanSerifCN" w:eastAsia="SourceHanSerifCN"/>
                <w:b w:val="0"/>
                <w:i w:val="0"/>
                <w:color w:val="FFFFFF"/>
                <w:sz w:val="15"/>
              </w:rPr>
              <w:t xml:space="preserve"> WBS</w:t>
            </w:r>
          </w:p>
          <w:p>
            <w:pPr>
              <w:autoSpaceDN w:val="0"/>
              <w:autoSpaceDE w:val="0"/>
              <w:widowControl/>
              <w:spacing w:line="378" w:lineRule="exact" w:before="50" w:after="0"/>
              <w:ind w:left="0" w:right="0" w:firstLine="0"/>
              <w:jc w:val="center"/>
            </w:pP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水文地质因素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气候因素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周边环境因素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组织管理因素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施工工艺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人员因素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设备因素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26" w:after="0"/>
              <w:ind w:left="828" w:right="0" w:firstLine="0"/>
              <w:jc w:val="left"/>
            </w:pPr>
            <w:r>
              <w:rPr>
                <w:rFonts w:ascii="SourceHanSerifCN" w:hAnsi="SourceHanSerifCN" w:eastAsia="SourceHanSerifCN"/>
                <w:b w:val="0"/>
                <w:i w:val="0"/>
                <w:color w:val="1C357D"/>
                <w:sz w:val="16"/>
              </w:rPr>
              <w:t>表1 隧道施工WBS-RBS 耦合矩阵</w:t>
            </w:r>
          </w:p>
          <w:p>
            <w:pPr>
              <w:autoSpaceDN w:val="0"/>
              <w:autoSpaceDE w:val="0"/>
              <w:widowControl/>
              <w:spacing w:line="518" w:lineRule="exact" w:before="0" w:after="0"/>
              <w:ind w:left="0" w:right="0" w:firstLine="0"/>
              <w:jc w:val="center"/>
            </w:pPr>
            <w:r>
              <w:rPr>
                <w:rFonts w:ascii="SourceHanSerifCN" w:hAnsi="SourceHanSerifCN" w:eastAsia="SourceHanSerifCN"/>
                <w:b w:val="0"/>
                <w:i w:val="0"/>
                <w:color w:val="FFFFFF"/>
                <w:sz w:val="15"/>
              </w:rPr>
              <w:t>地质勘测周边环境施工图放样盾构机选型</w:t>
            </w:r>
            <w:r>
              <w:rPr>
                <w:rFonts w:ascii="SourceHanSerifCN" w:hAnsi="SourceHanSerifCN" w:eastAsia="SourceHanSerifCN"/>
                <w:b w:val="0"/>
                <w:i w:val="0"/>
                <w:color w:val="FFFFFF"/>
                <w:sz w:val="15"/>
              </w:rPr>
              <w:t>管片注浆</w:t>
            </w:r>
            <w:r>
              <w:rPr>
                <w:rFonts w:ascii="SourceHanSerifCN" w:hAnsi="SourceHanSerifCN" w:eastAsia="SourceHanSerifCN"/>
                <w:b w:val="0"/>
                <w:i w:val="0"/>
                <w:color w:val="FFFFFF"/>
                <w:sz w:val="15"/>
              </w:rPr>
              <w:t>孔安装</w:t>
            </w:r>
          </w:p>
          <w:p>
            <w:pPr>
              <w:autoSpaceDN w:val="0"/>
              <w:tabs>
                <w:tab w:pos="1036" w:val="left"/>
                <w:tab w:pos="1802" w:val="left"/>
                <w:tab w:pos="2652" w:val="left"/>
                <w:tab w:pos="3418" w:val="left"/>
              </w:tabs>
              <w:autoSpaceDE w:val="0"/>
              <w:widowControl/>
              <w:spacing w:line="428" w:lineRule="exact" w:before="0" w:after="0"/>
              <w:ind w:left="356" w:right="0" w:firstLine="0"/>
              <w:jc w:val="left"/>
            </w:pP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tab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0</w:t>
            </w:r>
          </w:p>
          <w:p>
            <w:pPr>
              <w:autoSpaceDN w:val="0"/>
              <w:tabs>
                <w:tab w:pos="1036" w:val="left"/>
                <w:tab w:pos="1802" w:val="left"/>
                <w:tab w:pos="2652" w:val="left"/>
                <w:tab w:pos="3418" w:val="left"/>
              </w:tabs>
              <w:autoSpaceDE w:val="0"/>
              <w:widowControl/>
              <w:spacing w:line="430" w:lineRule="exact" w:before="0" w:after="0"/>
              <w:ind w:left="356" w:right="0" w:firstLine="0"/>
              <w:jc w:val="left"/>
            </w:pP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tab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0</w:t>
            </w:r>
          </w:p>
          <w:p>
            <w:pPr>
              <w:autoSpaceDN w:val="0"/>
              <w:tabs>
                <w:tab w:pos="1036" w:val="left"/>
                <w:tab w:pos="1802" w:val="left"/>
                <w:tab w:pos="2652" w:val="left"/>
                <w:tab w:pos="3418" w:val="left"/>
              </w:tabs>
              <w:autoSpaceDE w:val="0"/>
              <w:widowControl/>
              <w:spacing w:line="428" w:lineRule="exact" w:before="0" w:after="0"/>
              <w:ind w:left="356" w:right="0" w:firstLine="0"/>
              <w:jc w:val="left"/>
            </w:pP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tab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0</w:t>
            </w:r>
          </w:p>
          <w:p>
            <w:pPr>
              <w:autoSpaceDN w:val="0"/>
              <w:tabs>
                <w:tab w:pos="1036" w:val="left"/>
                <w:tab w:pos="1802" w:val="left"/>
                <w:tab w:pos="2652" w:val="left"/>
                <w:tab w:pos="3418" w:val="left"/>
              </w:tabs>
              <w:autoSpaceDE w:val="0"/>
              <w:widowControl/>
              <w:spacing w:line="430" w:lineRule="exact" w:before="0" w:after="0"/>
              <w:ind w:left="356" w:right="0" w:firstLine="0"/>
              <w:jc w:val="left"/>
            </w:pP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tab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0</w:t>
            </w:r>
          </w:p>
          <w:p>
            <w:pPr>
              <w:autoSpaceDN w:val="0"/>
              <w:tabs>
                <w:tab w:pos="1036" w:val="left"/>
                <w:tab w:pos="1802" w:val="left"/>
                <w:tab w:pos="2652" w:val="left"/>
                <w:tab w:pos="3418" w:val="left"/>
              </w:tabs>
              <w:autoSpaceDE w:val="0"/>
              <w:widowControl/>
              <w:spacing w:line="430" w:lineRule="exact" w:before="0" w:after="0"/>
              <w:ind w:left="356" w:right="0" w:firstLine="0"/>
              <w:jc w:val="left"/>
            </w:pP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tab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0</w:t>
            </w:r>
          </w:p>
          <w:p>
            <w:pPr>
              <w:autoSpaceDN w:val="0"/>
              <w:tabs>
                <w:tab w:pos="1036" w:val="left"/>
                <w:tab w:pos="1802" w:val="left"/>
                <w:tab w:pos="2652" w:val="left"/>
                <w:tab w:pos="3418" w:val="left"/>
              </w:tabs>
              <w:autoSpaceDE w:val="0"/>
              <w:widowControl/>
              <w:spacing w:line="428" w:lineRule="exact" w:before="0" w:after="0"/>
              <w:ind w:left="356" w:right="0" w:firstLine="0"/>
              <w:jc w:val="left"/>
            </w:pP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tab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1</w:t>
            </w:r>
          </w:p>
          <w:p>
            <w:pPr>
              <w:autoSpaceDN w:val="0"/>
              <w:tabs>
                <w:tab w:pos="1036" w:val="left"/>
                <w:tab w:pos="1802" w:val="left"/>
                <w:tab w:pos="2652" w:val="left"/>
                <w:tab w:pos="3418" w:val="left"/>
              </w:tabs>
              <w:autoSpaceDE w:val="0"/>
              <w:widowControl/>
              <w:spacing w:line="430" w:lineRule="exact" w:before="0" w:after="0"/>
              <w:ind w:left="356" w:right="0" w:firstLine="0"/>
              <w:jc w:val="left"/>
            </w:pP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tab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402" w:after="0"/>
              <w:ind w:left="318" w:right="0" w:hanging="260"/>
              <w:jc w:val="left"/>
            </w:pPr>
            <w:r>
              <w:rPr>
                <w:rFonts w:ascii="SourceHanSerifCN" w:hAnsi="SourceHanSerifCN" w:eastAsia="SourceHanSerifCN"/>
                <w:b w:val="0"/>
                <w:i w:val="0"/>
                <w:color w:val="FFFFFF"/>
                <w:sz w:val="15"/>
              </w:rPr>
              <w:t>专项方案</w:t>
            </w:r>
            <w:r>
              <w:rPr>
                <w:rFonts w:ascii="SourceHanSerifCN" w:hAnsi="SourceHanSerifCN" w:eastAsia="SourceHanSerifCN"/>
                <w:b w:val="0"/>
                <w:i w:val="0"/>
                <w:color w:val="FFFFFF"/>
                <w:sz w:val="15"/>
              </w:rPr>
              <w:t>编制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402" w:after="0"/>
              <w:ind w:left="318" w:right="288" w:hanging="260"/>
              <w:jc w:val="left"/>
            </w:pPr>
            <w:r>
              <w:rPr>
                <w:rFonts w:ascii="SourceHanSerifCN" w:hAnsi="SourceHanSerifCN" w:eastAsia="SourceHanSerifCN"/>
                <w:b w:val="0"/>
                <w:i w:val="0"/>
                <w:color w:val="FFFFFF"/>
                <w:sz w:val="15"/>
              </w:rPr>
              <w:t>抢险物资</w:t>
            </w:r>
            <w:r>
              <w:rPr>
                <w:rFonts w:ascii="SourceHanSerifCN" w:hAnsi="SourceHanSerifCN" w:eastAsia="SourceHanSerifCN"/>
                <w:b w:val="0"/>
                <w:i w:val="0"/>
                <w:color w:val="FFFFFF"/>
                <w:sz w:val="15"/>
              </w:rPr>
              <w:t>准备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0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 xml:space="preserve">1 </w:t>
            </w:r>
            <w:r>
              <w:br/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6" w:after="0"/>
              <w:ind w:left="30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导致的后果，实现对风险的科学</w:t>
            </w:r>
          </w:p>
        </w:tc>
      </w:tr>
      <w:tr>
        <w:trPr>
          <w:trHeight w:hRule="exact" w:val="320"/>
        </w:trPr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30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量化和分级。在此方法中，</w:t>
            </w:r>
            <w:r>
              <w:rPr>
                <w:rFonts w:ascii="TimesNewRomanPS" w:hAnsi="TimesNewRomanPS" w:eastAsia="TimesNewRomanPS"/>
                <w:b w:val="0"/>
                <w:i/>
                <w:color w:val="221F1F"/>
                <w:sz w:val="20"/>
              </w:rPr>
              <w:t>P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 xml:space="preserve"> 代</w:t>
            </w:r>
          </w:p>
        </w:tc>
      </w:tr>
      <w:tr>
        <w:trPr>
          <w:trHeight w:hRule="exact" w:val="340"/>
        </w:trPr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60" w:after="0"/>
              <w:ind w:left="30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表风险因素的发生概率，</w:t>
            </w:r>
            <w:r>
              <w:rPr>
                <w:rFonts w:ascii="TimesNewRomanPS" w:hAnsi="TimesNewRomanPS" w:eastAsia="TimesNewRomanPS"/>
                <w:b w:val="0"/>
                <w:i/>
                <w:color w:val="221F1F"/>
                <w:sz w:val="20"/>
              </w:rPr>
              <w:t>L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 xml:space="preserve"> 代表</w:t>
            </w:r>
          </w:p>
        </w:tc>
      </w:tr>
      <w:tr>
        <w:trPr>
          <w:trHeight w:hRule="exact" w:val="320"/>
        </w:trPr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30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风险引发的实际损失。根据风险</w:t>
            </w:r>
          </w:p>
        </w:tc>
      </w:tr>
      <w:tr>
        <w:trPr>
          <w:trHeight w:hRule="exact" w:val="340"/>
        </w:trPr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62" w:after="0"/>
              <w:ind w:left="30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因素的性质和潜在影响，对</w:t>
            </w:r>
            <w:r>
              <w:rPr>
                <w:rFonts w:ascii="TimesNewRomanPS" w:hAnsi="TimesNewRomanPS" w:eastAsia="TimesNewRomanPS"/>
                <w:b w:val="0"/>
                <w:i/>
                <w:color w:val="221F1F"/>
                <w:sz w:val="20"/>
              </w:rPr>
              <w:t>P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 xml:space="preserve"> 和</w:t>
            </w:r>
          </w:p>
        </w:tc>
      </w:tr>
      <w:tr>
        <w:trPr>
          <w:trHeight w:hRule="exact" w:val="320"/>
        </w:trPr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30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221F1F"/>
                <w:sz w:val="20"/>
              </w:rPr>
              <w:t>L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 xml:space="preserve"> 进行了严谨的定性分级。</w:t>
            </w:r>
          </w:p>
        </w:tc>
      </w:tr>
      <w:tr>
        <w:trPr>
          <w:trHeight w:hRule="exact" w:val="340"/>
        </w:trPr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64" w:after="0"/>
              <w:ind w:left="70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通过综合考量</w:t>
            </w:r>
            <w:r>
              <w:rPr>
                <w:rFonts w:ascii="TimesNewRomanPS" w:hAnsi="TimesNewRomanPS" w:eastAsia="TimesNewRomanPS"/>
                <w:b w:val="0"/>
                <w:i/>
                <w:color w:val="221F1F"/>
                <w:sz w:val="20"/>
              </w:rPr>
              <w:t>P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 xml:space="preserve"> 和</w:t>
            </w:r>
            <w:r>
              <w:rPr>
                <w:rFonts w:ascii="TimesNewRomanPS" w:hAnsi="TimesNewRomanPS" w:eastAsia="TimesNewRomanPS"/>
                <w:b w:val="0"/>
                <w:i/>
                <w:color w:val="221F1F"/>
                <w:sz w:val="20"/>
              </w:rPr>
              <w:t>L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 xml:space="preserve"> 的分级</w:t>
            </w:r>
          </w:p>
        </w:tc>
      </w:tr>
      <w:tr>
        <w:trPr>
          <w:trHeight w:hRule="exact" w:val="340"/>
        </w:trPr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30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结果，计算出每个风险因素的风</w:t>
            </w:r>
          </w:p>
        </w:tc>
      </w:tr>
      <w:tr>
        <w:trPr>
          <w:trHeight w:hRule="exact" w:val="320"/>
        </w:trPr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6" w:after="0"/>
              <w:ind w:left="30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险水平</w:t>
            </w:r>
            <w:r>
              <w:rPr>
                <w:rFonts w:ascii="TimesNewRomanPS" w:hAnsi="TimesNewRomanPS" w:eastAsia="TimesNewRomanPS"/>
                <w:b w:val="0"/>
                <w:i/>
                <w:color w:val="221F1F"/>
                <w:sz w:val="20"/>
              </w:rPr>
              <w:t>R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。这一计算过程以矩阵</w:t>
            </w:r>
          </w:p>
        </w:tc>
      </w:tr>
      <w:tr>
        <w:trPr>
          <w:trHeight w:hRule="exact" w:val="340"/>
        </w:trPr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30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形式呈现，计算公式为</w:t>
            </w:r>
            <w:r>
              <w:rPr>
                <w:rFonts w:ascii="TimesNewRomanPS" w:hAnsi="TimesNewRomanPS" w:eastAsia="TimesNewRomanPS"/>
                <w:b w:val="0"/>
                <w:i/>
                <w:color w:val="221F1F"/>
                <w:sz w:val="20"/>
              </w:rPr>
              <w:t>R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=</w:t>
            </w:r>
            <w:r>
              <w:rPr>
                <w:rFonts w:ascii="TimesNewRomanPS" w:hAnsi="TimesNewRomanPS" w:eastAsia="TimesNewRomanPS"/>
                <w:b w:val="0"/>
                <w:i/>
                <w:color w:val="221F1F"/>
                <w:sz w:val="20"/>
              </w:rPr>
              <w:t>P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×</w:t>
            </w:r>
            <w:r>
              <w:rPr>
                <w:rFonts w:ascii="TimesNewRomanPS" w:hAnsi="TimesNewRomanPS" w:eastAsia="TimesNewRomanPS"/>
                <w:b w:val="0"/>
                <w:i/>
                <w:color w:val="221F1F"/>
                <w:sz w:val="20"/>
              </w:rPr>
              <w:t>L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。</w:t>
            </w:r>
          </w:p>
        </w:tc>
      </w:tr>
      <w:tr>
        <w:trPr>
          <w:trHeight w:hRule="exact" w:val="354"/>
        </w:trPr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1952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30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为确保评估的准确性和公正性，</w:t>
            </w:r>
          </w:p>
        </w:tc>
      </w:tr>
    </w:tbl>
    <w:p>
      <w:pPr>
        <w:autoSpaceDN w:val="0"/>
        <w:autoSpaceDE w:val="0"/>
        <w:widowControl/>
        <w:spacing w:line="185" w:lineRule="auto" w:before="202" w:after="0"/>
        <w:ind w:left="0" w:right="120" w:firstLine="0"/>
        <w:jc w:val="right"/>
      </w:pPr>
      <w:r>
        <w:rPr>
          <w:rFonts w:ascii="FZLTHJW" w:hAnsi="FZLTHJW" w:eastAsia="FZLTHJW"/>
          <w:b w:val="0"/>
          <w:i w:val="0"/>
          <w:color w:val="221F1F"/>
          <w:sz w:val="12"/>
        </w:rPr>
        <w:t>2024.04 |</w:t>
      </w:r>
      <w:r>
        <w:rPr>
          <w:rFonts w:ascii="FZLTCHJW" w:hAnsi="FZLTCHJW" w:eastAsia="FZLTCHJW"/>
          <w:b w:val="0"/>
          <w:i w:val="0"/>
          <w:color w:val="221F1F"/>
          <w:sz w:val="14"/>
        </w:rPr>
        <w:t xml:space="preserve">   217</w:t>
      </w:r>
    </w:p>
    <w:p>
      <w:pPr>
        <w:sectPr>
          <w:type w:val="continuous"/>
          <w:pgSz w:w="11906" w:h="16838"/>
          <w:pgMar w:top="404" w:right="806" w:bottom="290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237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23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00" w:val="left"/>
        </w:tabs>
        <w:autoSpaceDE w:val="0"/>
        <w:widowControl/>
        <w:spacing w:line="185" w:lineRule="auto" w:before="0" w:after="0"/>
        <w:ind w:left="10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应严格遵循《地铁及地下工程风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相结合的一种决策分析方法。FAHP 将AHP 的层次结构与模糊逻辑相</w:t>
      </w:r>
    </w:p>
    <w:p>
      <w:pPr>
        <w:autoSpaceDN w:val="0"/>
        <w:tabs>
          <w:tab w:pos="3500" w:val="left"/>
        </w:tabs>
        <w:autoSpaceDE w:val="0"/>
        <w:widowControl/>
        <w:spacing w:line="182" w:lineRule="auto" w:before="102" w:after="0"/>
        <w:ind w:left="10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险指南》的指引，将风险因素的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结合，以便更好地处理现实世界中不确定性和模糊性的问题。在FAHP</w:t>
      </w:r>
    </w:p>
    <w:p>
      <w:pPr>
        <w:autoSpaceDN w:val="0"/>
        <w:tabs>
          <w:tab w:pos="3500" w:val="left"/>
        </w:tabs>
        <w:autoSpaceDE w:val="0"/>
        <w:widowControl/>
        <w:spacing w:line="194" w:lineRule="auto" w:before="90" w:after="0"/>
        <w:ind w:left="10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发生概率</w:t>
      </w:r>
      <w:r>
        <w:rPr>
          <w:rFonts w:ascii="TimesNewRomanPS" w:hAnsi="TimesNewRomanPS" w:eastAsia="TimesNewRomanPS"/>
          <w:b w:val="0"/>
          <w:i/>
          <w:color w:val="221F1F"/>
          <w:sz w:val="20"/>
        </w:rPr>
        <w:t>P</w:t>
      </w:r>
      <w:r>
        <w:rPr>
          <w:rFonts w:ascii="FZSSK" w:hAnsi="FZSSK" w:eastAsia="FZSSK"/>
          <w:b w:val="0"/>
          <w:i w:val="0"/>
          <w:color w:val="221F1F"/>
          <w:sz w:val="20"/>
        </w:rPr>
        <w:t xml:space="preserve"> 和影响后果</w:t>
      </w:r>
      <w:r>
        <w:rPr>
          <w:rFonts w:ascii="TimesNewRomanPS" w:hAnsi="TimesNewRomanPS" w:eastAsia="TimesNewRomanPS"/>
          <w:b w:val="0"/>
          <w:i/>
          <w:color w:val="221F1F"/>
          <w:sz w:val="20"/>
        </w:rPr>
        <w:t>L</w:t>
      </w:r>
      <w:r>
        <w:rPr>
          <w:rFonts w:ascii="FZSSK" w:hAnsi="FZSSK" w:eastAsia="FZSSK"/>
          <w:b w:val="0"/>
          <w:i w:val="0"/>
          <w:color w:val="221F1F"/>
          <w:sz w:val="20"/>
        </w:rPr>
        <w:t xml:space="preserve"> 均划分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中，专家评价因素之间的相对重要性时，可以使用模糊逻辑的概念，而</w:t>
      </w:r>
    </w:p>
    <w:p>
      <w:pPr>
        <w:autoSpaceDN w:val="0"/>
        <w:tabs>
          <w:tab w:pos="3500" w:val="left"/>
        </w:tabs>
        <w:autoSpaceDE w:val="0"/>
        <w:widowControl/>
        <w:spacing w:line="182" w:lineRule="auto" w:before="102" w:after="102"/>
        <w:ind w:left="10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为5 个等级。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不是严格的定量评价，更好地反映决策者的主观认知和模糊性判断。</w:t>
      </w:r>
    </w:p>
    <w:p>
      <w:pPr>
        <w:sectPr>
          <w:pgSz w:w="11906" w:h="16838"/>
          <w:pgMar w:top="850" w:right="1254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00" w:right="288" w:firstLine="40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基于上述分析，构建风险</w:t>
      </w:r>
      <w:r>
        <w:rPr>
          <w:rFonts w:ascii="FZSSK" w:hAnsi="FZSSK" w:eastAsia="FZSSK"/>
          <w:b w:val="0"/>
          <w:i w:val="0"/>
          <w:color w:val="221F1F"/>
          <w:sz w:val="20"/>
        </w:rPr>
        <w:t>等级评价矩阵，确定每个风险因</w:t>
      </w:r>
      <w:r>
        <w:rPr>
          <w:rFonts w:ascii="FZSSK" w:hAnsi="FZSSK" w:eastAsia="FZSSK"/>
          <w:b w:val="0"/>
          <w:i w:val="0"/>
          <w:color w:val="221F1F"/>
          <w:sz w:val="20"/>
        </w:rPr>
        <w:t>素的具体等级。不仅有助于全</w:t>
      </w:r>
      <w:r>
        <w:rPr>
          <w:rFonts w:ascii="FZSSK" w:hAnsi="FZSSK" w:eastAsia="FZSSK"/>
          <w:b w:val="0"/>
          <w:i w:val="0"/>
          <w:color w:val="221F1F"/>
          <w:sz w:val="20"/>
        </w:rPr>
        <w:t>面、客观地了解项目面临的风险</w:t>
      </w:r>
      <w:r>
        <w:rPr>
          <w:rFonts w:ascii="FZSSK" w:hAnsi="FZSSK" w:eastAsia="FZSSK"/>
          <w:b w:val="0"/>
          <w:i w:val="0"/>
          <w:color w:val="221F1F"/>
          <w:sz w:val="20"/>
        </w:rPr>
        <w:t>状况，还为制定针对性的风险应</w:t>
      </w:r>
      <w:r>
        <w:rPr>
          <w:rFonts w:ascii="FZSSK" w:hAnsi="FZSSK" w:eastAsia="FZSSK"/>
          <w:b w:val="0"/>
          <w:i w:val="0"/>
          <w:color w:val="221F1F"/>
          <w:sz w:val="20"/>
        </w:rPr>
        <w:t>对策略提供重要依据。最终，得</w:t>
      </w:r>
      <w:r>
        <w:rPr>
          <w:rFonts w:ascii="FZSSK" w:hAnsi="FZSSK" w:eastAsia="FZSSK"/>
          <w:b w:val="0"/>
          <w:i w:val="0"/>
          <w:color w:val="221F1F"/>
          <w:sz w:val="20"/>
        </w:rPr>
        <w:t>出五级风险水平（</w:t>
      </w:r>
      <w:r>
        <w:rPr>
          <w:rFonts w:ascii="TimesNewRomanPS" w:hAnsi="TimesNewRomanPS" w:eastAsia="TimesNewRomanPS"/>
          <w:b w:val="0"/>
          <w:i/>
          <w:color w:val="221F1F"/>
          <w:sz w:val="20"/>
        </w:rPr>
        <w:t>R</w:t>
      </w:r>
      <w:r>
        <w:rPr>
          <w:rFonts w:ascii="FZSSK" w:hAnsi="FZSSK" w:eastAsia="FZSSK"/>
          <w:b w:val="0"/>
          <w:i w:val="0"/>
          <w:color w:val="221F1F"/>
          <w:sz w:val="20"/>
        </w:rPr>
        <w:t>）评价矩阵，</w:t>
      </w:r>
      <w:r>
        <w:rPr>
          <w:rFonts w:ascii="FZSSK" w:hAnsi="FZSSK" w:eastAsia="FZSSK"/>
          <w:b w:val="0"/>
          <w:i w:val="0"/>
          <w:color w:val="221F1F"/>
          <w:sz w:val="20"/>
        </w:rPr>
        <w:t>各级别分别对应可忽略风险、可</w:t>
      </w:r>
    </w:p>
    <w:p>
      <w:pPr>
        <w:sectPr>
          <w:type w:val="continuous"/>
          <w:pgSz w:w="11906" w:h="16838"/>
          <w:pgMar w:top="850" w:right="1254" w:bottom="290" w:left="846" w:header="720" w:footer="720" w:gutter="0"/>
          <w:cols w:num="2" w:equalWidth="0">
            <w:col w:w="3417" w:space="0"/>
            <w:col w:w="6388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482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FAHP 的步骤如下所示。</w:t>
      </w:r>
    </w:p>
    <w:p>
      <w:pPr>
        <w:autoSpaceDN w:val="0"/>
        <w:autoSpaceDE w:val="0"/>
        <w:widowControl/>
        <w:spacing w:line="245" w:lineRule="auto" w:before="102" w:after="0"/>
        <w:ind w:left="382" w:right="576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（1）确定决策层次结构，包括目标、准则和备选方案等级。</w:t>
      </w:r>
      <w:r>
        <w:rPr>
          <w:rFonts w:ascii="FZSSK" w:hAnsi="FZSSK" w:eastAsia="FZSSK"/>
          <w:b w:val="0"/>
          <w:i w:val="0"/>
          <w:color w:val="221F1F"/>
          <w:sz w:val="20"/>
        </w:rPr>
        <w:t>（2）对每个层次进行定量或模糊的专家评价。</w:t>
      </w:r>
    </w:p>
    <w:p>
      <w:pPr>
        <w:autoSpaceDN w:val="0"/>
        <w:autoSpaceDE w:val="0"/>
        <w:widowControl/>
        <w:spacing w:line="182" w:lineRule="auto" w:before="102" w:after="0"/>
        <w:ind w:left="382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（3）使用模糊逻辑运算，将专家评价转换为模糊矩阵。</w:t>
      </w:r>
    </w:p>
    <w:p>
      <w:pPr>
        <w:autoSpaceDN w:val="0"/>
        <w:autoSpaceDE w:val="0"/>
        <w:widowControl/>
        <w:spacing w:line="185" w:lineRule="auto" w:before="102" w:after="0"/>
        <w:ind w:left="382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（4）应用模糊逻辑的规则和算法，计算各个因素的权重。</w:t>
      </w:r>
    </w:p>
    <w:p>
      <w:pPr>
        <w:autoSpaceDN w:val="0"/>
        <w:autoSpaceDE w:val="0"/>
        <w:widowControl/>
        <w:spacing w:line="182" w:lineRule="auto" w:before="102" w:after="0"/>
        <w:ind w:left="382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（5）进行一致性检验，确保专家评价的一致性。</w:t>
      </w:r>
    </w:p>
    <w:p>
      <w:pPr>
        <w:autoSpaceDN w:val="0"/>
        <w:autoSpaceDE w:val="0"/>
        <w:widowControl/>
        <w:spacing w:line="185" w:lineRule="auto" w:before="102" w:after="0"/>
        <w:ind w:left="382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（6）最终得出决策结果。</w:t>
      </w:r>
    </w:p>
    <w:p>
      <w:pPr>
        <w:autoSpaceDN w:val="0"/>
        <w:autoSpaceDE w:val="0"/>
        <w:widowControl/>
        <w:spacing w:line="182" w:lineRule="auto" w:before="102" w:after="102"/>
        <w:ind w:left="482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经过风险矩阵法的初步评估，识别出3 级和4 级风险源。为确保风</w:t>
      </w:r>
    </w:p>
    <w:p>
      <w:pPr>
        <w:sectPr>
          <w:type w:val="nextColumn"/>
          <w:pgSz w:w="11906" w:h="16838"/>
          <w:pgMar w:top="850" w:right="1254" w:bottom="290" w:left="846" w:header="720" w:footer="720" w:gutter="0"/>
          <w:cols w:num="2" w:equalWidth="0">
            <w:col w:w="3417" w:space="0"/>
            <w:col w:w="6388" w:space="0"/>
          </w:cols>
          <w:docGrid w:linePitch="360"/>
        </w:sectPr>
      </w:pPr>
    </w:p>
    <w:p>
      <w:pPr>
        <w:autoSpaceDN w:val="0"/>
        <w:tabs>
          <w:tab w:pos="500" w:val="left"/>
          <w:tab w:pos="3500" w:val="left"/>
        </w:tabs>
        <w:autoSpaceDE w:val="0"/>
        <w:widowControl/>
        <w:spacing w:line="250" w:lineRule="auto" w:before="0" w:after="0"/>
        <w:ind w:left="10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容许风险、可接受风险、不可接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险评估的准确性和全面性，决定采用模糊风险层次法和专家调查法对这</w:t>
      </w:r>
      <w:r>
        <w:rPr>
          <w:rFonts w:ascii="FZSSK" w:hAnsi="FZSSK" w:eastAsia="FZSSK"/>
          <w:b w:val="0"/>
          <w:i w:val="0"/>
          <w:color w:val="221F1F"/>
          <w:sz w:val="20"/>
        </w:rPr>
        <w:t>受风险和无法接受风险。评价结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些风险因素进行进一步的划分和深入评估。同时，针对施工过程中出现</w:t>
      </w:r>
      <w:r>
        <w:rPr>
          <w:rFonts w:ascii="FZSSK" w:hAnsi="FZSSK" w:eastAsia="FZSSK"/>
          <w:b w:val="0"/>
          <w:i w:val="0"/>
          <w:color w:val="221F1F"/>
          <w:sz w:val="20"/>
        </w:rPr>
        <w:t>果将为项目决策和管理提供坚实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的重大风险因素，将进行权重计算和分析，量化各因素的重要性。根据</w:t>
      </w:r>
      <w:r>
        <w:rPr>
          <w:rFonts w:ascii="FZSSK" w:hAnsi="FZSSK" w:eastAsia="FZSSK"/>
          <w:b w:val="0"/>
          <w:i w:val="0"/>
          <w:color w:val="221F1F"/>
          <w:sz w:val="20"/>
        </w:rPr>
        <w:t>的数据支撑和决策依据。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分析结果，明确盾构施工过程中的关键风险因素，并在施工建设阶段对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对于1 级、2 级风险，保持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其进行重点控制和管理，确保施工安全顺利进行。</w:t>
      </w:r>
    </w:p>
    <w:p>
      <w:pPr>
        <w:autoSpaceDN w:val="0"/>
        <w:tabs>
          <w:tab w:pos="3500" w:val="left"/>
          <w:tab w:pos="3900" w:val="left"/>
        </w:tabs>
        <w:autoSpaceDE w:val="0"/>
        <w:widowControl/>
        <w:spacing w:line="245" w:lineRule="auto" w:before="102" w:after="0"/>
        <w:ind w:left="10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日常管理和审视即可。对于3 级</w:t>
      </w:r>
      <w:r>
        <w:br/>
      </w:r>
      <w:r>
        <w:rPr>
          <w:rFonts w:ascii="FZSSK" w:hAnsi="FZSSK" w:eastAsia="FZSSK"/>
          <w:b w:val="0"/>
          <w:i w:val="0"/>
          <w:color w:val="221F1F"/>
          <w:sz w:val="20"/>
        </w:rPr>
        <w:t>风险，需要对风险源采取重点防</w:t>
      </w:r>
      <w:r>
        <w:tab/>
      </w:r>
      <w:r>
        <w:rPr>
          <w:rFonts w:ascii="FZDBSK" w:hAnsi="FZDBSK" w:eastAsia="FZDBSK"/>
          <w:b w:val="0"/>
          <w:i w:val="0"/>
          <w:color w:val="1C357D"/>
          <w:sz w:val="21"/>
        </w:rPr>
        <w:t>结语</w:t>
      </w:r>
      <w:r>
        <w:br/>
      </w:r>
      <w:r>
        <w:rPr>
          <w:rFonts w:ascii="FZSSK" w:hAnsi="FZSSK" w:eastAsia="FZSSK"/>
          <w:b w:val="0"/>
          <w:i w:val="0"/>
          <w:color w:val="221F1F"/>
          <w:sz w:val="20"/>
        </w:rPr>
        <w:t>范监控措施。对于4 级风险，需</w:t>
      </w:r>
      <w:r>
        <w:tab/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本文介绍了一种基于风险识别、评估的地铁盾构施工安全风险管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理方法。通过WBS-RBS 分析方法对盾构法施工安全风险因素进行了识</w:t>
      </w:r>
      <w:r>
        <w:rPr>
          <w:rFonts w:ascii="FZSSK" w:hAnsi="FZSSK" w:eastAsia="FZSSK"/>
          <w:b w:val="0"/>
          <w:i w:val="0"/>
          <w:color w:val="221F1F"/>
          <w:sz w:val="20"/>
        </w:rPr>
        <w:t>要通过决策制定控制预警措施。</w:t>
      </w:r>
    </w:p>
    <w:p>
      <w:pPr>
        <w:autoSpaceDN w:val="0"/>
        <w:tabs>
          <w:tab w:pos="100" w:val="left"/>
          <w:tab w:pos="500" w:val="left"/>
          <w:tab w:pos="3500" w:val="left"/>
        </w:tabs>
        <w:autoSpaceDE w:val="0"/>
        <w:widowControl/>
        <w:spacing w:line="252" w:lineRule="auto" w:before="102" w:after="66"/>
        <w:ind w:left="0" w:right="0" w:firstLine="0"/>
        <w:jc w:val="left"/>
      </w:pPr>
      <w:r>
        <w:rPr>
          <w:rFonts w:ascii="FZSSK" w:hAnsi="FZSSK" w:eastAsia="FZSSK"/>
          <w:b w:val="0"/>
          <w:i w:val="0"/>
          <w:color w:val="221F1F"/>
          <w:sz w:val="20"/>
        </w:rPr>
        <w:t>对于5 级风险，应当立即停止施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别，形成了地铁盾构施工安全风险清单。在此基础上，针对盾构施工风</w:t>
      </w:r>
      <w:r>
        <w:rPr>
          <w:rFonts w:ascii="FZSSK" w:hAnsi="FZSSK" w:eastAsia="FZSSK"/>
          <w:b w:val="0"/>
          <w:i w:val="0"/>
          <w:color w:val="221F1F"/>
          <w:sz w:val="20"/>
        </w:rPr>
        <w:t>工，进行施工调整或方案整改。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险因素，应用专家调查法、风险矩阵法和模糊层次分析法对风险因素进</w:t>
      </w:r>
      <w:r>
        <w:tab/>
      </w:r>
      <w:r>
        <w:tab/>
      </w:r>
      <w:r>
        <w:rPr>
          <w:rFonts w:ascii="HYa3gj" w:hAnsi="HYa3gj" w:eastAsia="HYa3gj"/>
          <w:b w:val="0"/>
          <w:i w:val="0"/>
          <w:color w:val="221F1F"/>
          <w:sz w:val="20"/>
        </w:rPr>
        <w:t>3.2 基于模糊层次分析法</w:t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行全面分析和评价，针对施工过程中的重大风险源，采取相应的控制措</w:t>
      </w:r>
      <w:r>
        <w:tab/>
      </w:r>
      <w:r>
        <w:tab/>
      </w:r>
      <w:r>
        <w:tab/>
      </w:r>
      <w:r>
        <w:rPr>
          <w:rFonts w:ascii="FZSSK" w:hAnsi="FZSSK" w:eastAsia="FZSSK"/>
          <w:b w:val="0"/>
          <w:i w:val="0"/>
          <w:color w:val="221F1F"/>
          <w:sz w:val="20"/>
        </w:rPr>
        <w:t>施，实现安全施工。</w:t>
      </w:r>
      <w:r>
        <w:rPr>
          <w:rFonts w:ascii="HYa3gj" w:hAnsi="HYa3gj" w:eastAsia="HYa3gj"/>
          <w:b w:val="0"/>
          <w:i w:val="0"/>
          <w:color w:val="221F1F"/>
          <w:sz w:val="20"/>
        </w:rPr>
        <w:t>（FAHP）的盾构施工风险定量</w:t>
      </w:r>
      <w:r>
        <w:br/>
      </w:r>
      <w:r>
        <w:rPr>
          <w:rFonts w:ascii="HYa3gj" w:hAnsi="HYa3gj" w:eastAsia="HYa3gj"/>
          <w:b w:val="0"/>
          <w:i w:val="0"/>
          <w:color w:val="221F1F"/>
          <w:sz w:val="20"/>
        </w:rPr>
        <w:t>评估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4903"/>
        <w:gridCol w:w="4903"/>
      </w:tblGrid>
      <w:tr>
        <w:trPr>
          <w:trHeight w:hRule="exact" w:val="3784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66" w:right="144" w:firstLine="40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模糊层次分析法（FAHP）是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20"/>
              </w:rPr>
              <w:t>层次分析法（AHP）与模糊逻辑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2982" w:firstLine="0"/>
              <w:jc w:val="right"/>
            </w:pPr>
            <w:r>
              <w:rPr>
                <w:w w:val="102.10526115015935"/>
                <w:rFonts w:ascii="FZHTK" w:hAnsi="FZHTK" w:eastAsia="FZHTK"/>
                <w:b w:val="0"/>
                <w:i w:val="0"/>
                <w:color w:val="221F1F"/>
                <w:sz w:val="19"/>
              </w:rPr>
              <w:t>引用</w:t>
            </w:r>
          </w:p>
          <w:p>
            <w:pPr>
              <w:autoSpaceDN w:val="0"/>
              <w:autoSpaceDE w:val="0"/>
              <w:widowControl/>
              <w:spacing w:line="330" w:lineRule="exact" w:before="186" w:after="0"/>
              <w:ind w:left="286" w:right="8" w:firstLine="0"/>
              <w:jc w:val="both"/>
            </w:pP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8"/>
              </w:rPr>
              <w:t xml:space="preserve">[1] Shaojun,Wang.The Risk Management of Cooperation between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8"/>
              </w:rPr>
              <w:t xml:space="preserve">E-Commerce and the Third Party Logistics Enterprise[C].Proceedings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8"/>
              </w:rPr>
              <w:t xml:space="preserve">of 2015 3rd International Conference on Social Science and Education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8"/>
              </w:rPr>
              <w:t>(ICSSE 2015 V74),2015:262-266.</w:t>
            </w:r>
          </w:p>
          <w:p>
            <w:pPr>
              <w:autoSpaceDN w:val="0"/>
              <w:autoSpaceDE w:val="0"/>
              <w:widowControl/>
              <w:spacing w:line="332" w:lineRule="exact" w:before="184" w:after="0"/>
              <w:ind w:left="286" w:right="10" w:firstLine="0"/>
              <w:jc w:val="both"/>
            </w:pP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8"/>
              </w:rPr>
              <w:t xml:space="preserve">[2] Einstein H H.Decision Aids for Tunneling:Update[J].Transportation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8"/>
              </w:rPr>
              <w:t xml:space="preserve">Research Record Journal of the Transportation Research Board,2004,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8"/>
              </w:rPr>
              <w:t>1892(1892):199-207.</w:t>
            </w:r>
          </w:p>
          <w:p>
            <w:pPr>
              <w:autoSpaceDN w:val="0"/>
              <w:autoSpaceDE w:val="0"/>
              <w:widowControl/>
              <w:spacing w:line="332" w:lineRule="exact" w:before="184" w:after="0"/>
              <w:ind w:left="286" w:right="0" w:firstLine="0"/>
              <w:jc w:val="left"/>
            </w:pP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8"/>
              </w:rPr>
              <w:t xml:space="preserve">[3] 何永智.建筑工程项目管理中的风险规避对策分析[J].居舍,2020(13):115. 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8"/>
              </w:rPr>
              <w:t>[4] 常昇宏,唐娱瑛.LEC风险评价法的改进及其在隧道施工中的应用[J].交通标准</w:t>
            </w:r>
            <w:r>
              <w:rPr>
                <w:rFonts w:ascii="SourceHanSerifCN" w:hAnsi="SourceHanSerifCN" w:eastAsia="SourceHanSerifCN"/>
                <w:b w:val="0"/>
                <w:i w:val="0"/>
                <w:color w:val="221F1F"/>
                <w:sz w:val="18"/>
              </w:rPr>
              <w:t>化,2014,42(9):137-139.</w:t>
            </w:r>
          </w:p>
        </w:tc>
      </w:tr>
    </w:tbl>
    <w:p>
      <w:pPr>
        <w:autoSpaceDN w:val="0"/>
        <w:autoSpaceDE w:val="0"/>
        <w:widowControl/>
        <w:spacing w:line="185" w:lineRule="auto" w:before="2072" w:after="0"/>
        <w:ind w:left="92" w:right="0" w:firstLine="0"/>
        <w:jc w:val="left"/>
      </w:pPr>
      <w:r>
        <w:rPr>
          <w:rFonts w:ascii="FZLTCHJW" w:hAnsi="FZLTCHJW" w:eastAsia="FZLTCHJW"/>
          <w:b w:val="0"/>
          <w:i w:val="0"/>
          <w:color w:val="221F1F"/>
          <w:sz w:val="14"/>
        </w:rPr>
        <w:t xml:space="preserve">218   </w:t>
      </w:r>
      <w:r>
        <w:rPr>
          <w:rFonts w:ascii="FZLTHJW" w:hAnsi="FZLTHJW" w:eastAsia="FZLTHJW"/>
          <w:b w:val="0"/>
          <w:i w:val="0"/>
          <w:color w:val="221F1F"/>
          <w:sz w:val="12"/>
        </w:rPr>
        <w:t>| 2024.04</w:t>
      </w:r>
    </w:p>
    <w:sectPr w:rsidR="00FC693F" w:rsidRPr="0006063C" w:rsidSect="00034616">
      <w:type w:val="continuous"/>
      <w:pgSz w:w="11906" w:h="16838"/>
      <w:pgMar w:top="850" w:right="1254" w:bottom="290" w:left="8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