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1572260</wp:posOffset>
            </wp:positionH>
            <wp:positionV relativeFrom="page">
              <wp:posOffset>4992370</wp:posOffset>
            </wp:positionV>
            <wp:extent cx="4380230" cy="150579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150579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5981700</wp:posOffset>
            </wp:positionV>
            <wp:extent cx="508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5613400</wp:posOffset>
            </wp:positionV>
            <wp:extent cx="25400" cy="25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0.0" w:type="dxa"/>
      </w:tblPr>
      <w:tblGrid>
        <w:gridCol w:w="3504"/>
        <w:gridCol w:w="3504"/>
        <w:gridCol w:w="3504"/>
      </w:tblGrid>
      <w:tr>
        <w:trPr>
          <w:trHeight w:hRule="exact" w:val="232"/>
        </w:trPr>
        <w:tc>
          <w:tcPr>
            <w:tcW w:type="dxa" w:w="2130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92" w:after="0"/>
              <w:ind w:left="0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方法创新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2098" w:firstLine="0"/>
              <w:jc w:val="right"/>
            </w:pPr>
            <w:r>
              <w:rPr>
                <w:w w:val="101.60139869241154"/>
                <w:rFonts w:ascii="方正黑体_GBK" w:hAnsi="方正黑体_GBK" w:eastAsia="方正黑体_GBK"/>
                <w:b w:val="0"/>
                <w:i w:val="0"/>
                <w:color w:val="221F1F"/>
                <w:sz w:val="17"/>
              </w:rPr>
              <w:t>科技创新与应用</w:t>
            </w:r>
          </w:p>
        </w:tc>
        <w:tc>
          <w:tcPr>
            <w:tcW w:type="dxa" w:w="2284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0" w:after="0"/>
              <w:ind w:left="0" w:right="10" w:firstLine="0"/>
              <w:jc w:val="right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18"/>
              </w:rPr>
              <w:t>2023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年</w:t>
            </w:r>
            <w:r>
              <w:rPr>
                <w:rFonts w:ascii="ZCQIW2" w:hAnsi="ZCQIW2" w:eastAsia="ZCQIW2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期</w:t>
            </w:r>
          </w:p>
        </w:tc>
      </w:tr>
      <w:tr>
        <w:trPr>
          <w:trHeight w:hRule="exact" w:val="208"/>
        </w:trPr>
        <w:tc>
          <w:tcPr>
            <w:tcW w:type="dxa" w:w="3504"/>
            <w:vMerge/>
            <w:tcBorders>
              <w:bottom w:sz="8.0" w:val="single" w:color="#221F1F"/>
            </w:tcBorders>
          </w:tcPr>
          <w:p/>
        </w:tc>
        <w:tc>
          <w:tcPr>
            <w:tcW w:type="dxa" w:w="55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1310" w:firstLine="0"/>
              <w:jc w:val="right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16"/>
              </w:rPr>
              <w:t>Technology Innovation and Application</w:t>
            </w:r>
          </w:p>
        </w:tc>
        <w:tc>
          <w:tcPr>
            <w:tcW w:type="dxa" w:w="3504"/>
            <w:vMerge/>
            <w:tcBorders>
              <w:bottom w:sz="8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234" w:lineRule="exact" w:before="154" w:after="0"/>
        <w:ind w:left="506" w:right="0" w:firstLine="0"/>
        <w:jc w:val="left"/>
      </w:pPr>
      <w:r>
        <w:rPr>
          <w:rFonts w:ascii="ZCQIV1" w:hAnsi="ZCQIV1" w:eastAsia="ZCQIV1"/>
          <w:b w:val="0"/>
          <w:i w:val="0"/>
          <w:color w:val="221F1F"/>
          <w:sz w:val="18"/>
        </w:rPr>
        <w:t>DOI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：</w:t>
      </w:r>
      <w:r>
        <w:rPr>
          <w:rFonts w:ascii="ZCQIV1" w:hAnsi="ZCQIV1" w:eastAsia="ZCQIV1"/>
          <w:b w:val="0"/>
          <w:i w:val="0"/>
          <w:color w:val="221F1F"/>
          <w:sz w:val="18"/>
        </w:rPr>
        <w:t>10.19981/j .CN23- 1581/G3.2023.04.035</w:t>
      </w:r>
    </w:p>
    <w:p>
      <w:pPr>
        <w:autoSpaceDN w:val="0"/>
        <w:autoSpaceDE w:val="0"/>
        <w:widowControl/>
        <w:spacing w:line="472" w:lineRule="exact" w:before="288" w:after="0"/>
        <w:ind w:left="1172" w:right="0" w:firstLine="0"/>
        <w:jc w:val="left"/>
      </w:pPr>
      <w:r>
        <w:rPr>
          <w:rFonts w:ascii="方正黑体_GBK" w:hAnsi="方正黑体_GBK" w:eastAsia="方正黑体_GBK"/>
          <w:b w:val="0"/>
          <w:i w:val="0"/>
          <w:color w:val="221F1F"/>
          <w:sz w:val="36"/>
        </w:rPr>
        <w:t>城市轨道交通盾构施工中始发试掘进风险识别及应对措施</w:t>
      </w:r>
    </w:p>
    <w:p>
      <w:pPr>
        <w:autoSpaceDN w:val="0"/>
        <w:autoSpaceDE w:val="0"/>
        <w:widowControl/>
        <w:spacing w:line="286" w:lineRule="exact" w:before="378" w:after="0"/>
        <w:ind w:left="3600" w:right="3168" w:firstLine="0"/>
        <w:jc w:val="center"/>
      </w:pPr>
      <w:r>
        <w:rPr>
          <w:rFonts w:ascii="方正楷体_GBK" w:hAnsi="方正楷体_GBK" w:eastAsia="方正楷体_GBK"/>
          <w:b w:val="0"/>
          <w:i w:val="0"/>
          <w:color w:val="221F1F"/>
          <w:sz w:val="24"/>
        </w:rPr>
        <w:t>李济灵</w:t>
      </w:r>
      <w:r>
        <w:br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（浙江天成项目管理有限公司，杭州</w:t>
      </w:r>
      <w:r>
        <w:rPr>
          <w:rFonts w:ascii="ZCQIW2" w:hAnsi="ZCQIW2" w:eastAsia="ZCQIW2"/>
          <w:b w:val="0"/>
          <w:i w:val="0"/>
          <w:color w:val="221F1F"/>
          <w:sz w:val="18"/>
        </w:rPr>
        <w:t>310005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）</w:t>
      </w:r>
    </w:p>
    <w:p>
      <w:pPr>
        <w:autoSpaceDN w:val="0"/>
        <w:tabs>
          <w:tab w:pos="868" w:val="left"/>
          <w:tab w:pos="1226" w:val="left"/>
        </w:tabs>
        <w:autoSpaceDE w:val="0"/>
        <w:widowControl/>
        <w:spacing w:line="300" w:lineRule="exact" w:before="290" w:after="50"/>
        <w:ind w:left="506" w:right="0" w:firstLine="0"/>
        <w:jc w:val="left"/>
      </w:pPr>
      <w:r>
        <w:tab/>
      </w:r>
      <w:r>
        <w:rPr>
          <w:w w:val="103.09973955154419"/>
          <w:rFonts w:ascii="方正黑体_GBK" w:hAnsi="方正黑体_GBK" w:eastAsia="方正黑体_GBK"/>
          <w:b w:val="0"/>
          <w:i w:val="0"/>
          <w:color w:val="221F1F"/>
          <w:sz w:val="16"/>
        </w:rPr>
        <w:t>摘</w:t>
      </w:r>
      <w:r>
        <w:tab/>
      </w:r>
      <w:r>
        <w:rPr>
          <w:w w:val="103.09973955154419"/>
          <w:rFonts w:ascii="方正黑体_GBK" w:hAnsi="方正黑体_GBK" w:eastAsia="方正黑体_GBK"/>
          <w:b w:val="0"/>
          <w:i w:val="0"/>
          <w:color w:val="221F1F"/>
          <w:sz w:val="16"/>
        </w:rPr>
        <w:t>要</w:t>
      </w:r>
      <w:r>
        <w:rPr>
          <w:w w:val="103.09973955154419"/>
          <w:rFonts w:ascii="ZCQIW2" w:hAnsi="ZCQIW2" w:eastAsia="ZCQIW2"/>
          <w:b w:val="0"/>
          <w:i w:val="0"/>
          <w:color w:val="221F1F"/>
          <w:sz w:val="16"/>
        </w:rPr>
        <w:t>：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该文结合杭州机场轨道快线城市轨道交通工程，对城市轨道交通盾构施工中始发试掘进风险的识别进行了分析，提出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了相应的应对措施和质量</w:t>
      </w:r>
      <w:r>
        <w:rPr>
          <w:rFonts w:ascii="ZCQIV1" w:hAnsi="ZCQIV1" w:eastAsia="ZCQIV1"/>
          <w:b w:val="0"/>
          <w:i w:val="0"/>
          <w:color w:val="221F1F"/>
          <w:sz w:val="18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环保保证措施，供大家参考</w:t>
      </w:r>
      <w:r>
        <w:rPr>
          <w:rFonts w:ascii="ZCQIV1" w:hAnsi="ZCQIV1" w:eastAsia="ZCQIV1"/>
          <w:b w:val="0"/>
          <w:i w:val="0"/>
          <w:color w:val="221F1F"/>
          <w:sz w:val="18"/>
        </w:rPr>
        <w:t>。</w:t>
      </w:r>
      <w:r>
        <w:br/>
      </w:r>
      <w:r>
        <w:tab/>
      </w:r>
      <w:r>
        <w:rPr>
          <w:w w:val="103.09973955154419"/>
          <w:rFonts w:ascii="方正黑体_GBK" w:hAnsi="方正黑体_GBK" w:eastAsia="方正黑体_GBK"/>
          <w:b w:val="0"/>
          <w:i w:val="0"/>
          <w:color w:val="221F1F"/>
          <w:sz w:val="16"/>
        </w:rPr>
        <w:t>关键词</w:t>
      </w:r>
      <w:r>
        <w:rPr>
          <w:w w:val="103.09973955154419"/>
          <w:rFonts w:ascii="ZCQIW2" w:hAnsi="ZCQIW2" w:eastAsia="ZCQIW2"/>
          <w:b w:val="0"/>
          <w:i w:val="0"/>
          <w:color w:val="221F1F"/>
          <w:sz w:val="16"/>
        </w:rPr>
        <w:t>：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盾构施工；进出洞风险；黏土地层；风险识别；应对措施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504"/>
        <w:gridCol w:w="3504"/>
        <w:gridCol w:w="3504"/>
      </w:tblGrid>
      <w:tr>
        <w:trPr>
          <w:trHeight w:hRule="exact" w:val="324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448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中图分类号</w:t>
            </w:r>
            <w:r>
              <w:rPr>
                <w:w w:val="103.09973955154419"/>
                <w:rFonts w:ascii="ZCQIW2" w:hAnsi="ZCQIW2" w:eastAsia="ZCQIW2"/>
                <w:b w:val="0"/>
                <w:i w:val="0"/>
                <w:color w:val="221F1F"/>
                <w:sz w:val="16"/>
              </w:rPr>
              <w:t>：</w:t>
            </w:r>
            <w:r>
              <w:rPr>
                <w:rFonts w:ascii="ZCQIW2" w:hAnsi="ZCQIW2" w:eastAsia="ZCQIW2"/>
                <w:b w:val="0"/>
                <w:i w:val="0"/>
                <w:color w:val="221F1F"/>
                <w:sz w:val="18"/>
              </w:rPr>
              <w:t>U455.43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276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文献标志码</w:t>
            </w:r>
            <w:r>
              <w:rPr>
                <w:w w:val="103.09973955154419"/>
                <w:rFonts w:ascii="ZCQIW2" w:hAnsi="ZCQIW2" w:eastAsia="ZCQIW2"/>
                <w:b w:val="0"/>
                <w:i w:val="0"/>
                <w:color w:val="221F1F"/>
                <w:sz w:val="16"/>
              </w:rPr>
              <w:t>：</w:t>
            </w:r>
            <w:r>
              <w:rPr>
                <w:rFonts w:ascii="ZCQIW2" w:hAnsi="ZCQIW2" w:eastAsia="ZCQIW2"/>
                <w:b w:val="0"/>
                <w:i w:val="0"/>
                <w:color w:val="221F1F"/>
                <w:sz w:val="18"/>
              </w:rPr>
              <w:t>A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468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文章编号</w:t>
            </w:r>
            <w:r>
              <w:rPr>
                <w:w w:val="103.09973955154419"/>
                <w:rFonts w:ascii="ZCQIW2" w:hAnsi="ZCQIW2" w:eastAsia="ZCQIW2"/>
                <w:b w:val="0"/>
                <w:i w:val="0"/>
                <w:color w:val="221F1F"/>
                <w:sz w:val="16"/>
              </w:rPr>
              <w:t>：</w:t>
            </w:r>
            <w:r>
              <w:rPr>
                <w:rFonts w:ascii="ZCQIW2" w:hAnsi="ZCQIW2" w:eastAsia="ZCQIW2"/>
                <w:b w:val="0"/>
                <w:i w:val="0"/>
                <w:color w:val="221F1F"/>
                <w:sz w:val="18"/>
              </w:rPr>
              <w:t>2095-2945</w:t>
            </w:r>
            <w:r>
              <w:rPr>
                <w:w w:val="103.09973955154419"/>
                <w:rFonts w:ascii="ZCQIW2" w:hAnsi="ZCQIW2" w:eastAsia="ZCQIW2"/>
                <w:b w:val="0"/>
                <w:i w:val="0"/>
                <w:color w:val="221F1F"/>
                <w:sz w:val="16"/>
              </w:rPr>
              <w:t>（</w:t>
            </w:r>
            <w:r>
              <w:rPr>
                <w:rFonts w:ascii="ZCQIW2" w:hAnsi="ZCQIW2" w:eastAsia="ZCQIW2"/>
                <w:b w:val="0"/>
                <w:i w:val="0"/>
                <w:color w:val="221F1F"/>
                <w:sz w:val="18"/>
              </w:rPr>
              <w:t>2023</w:t>
            </w:r>
            <w:r>
              <w:rPr>
                <w:w w:val="103.09973955154419"/>
                <w:rFonts w:ascii="ZCQIW2" w:hAnsi="ZCQIW2" w:eastAsia="ZCQIW2"/>
                <w:b w:val="0"/>
                <w:i w:val="0"/>
                <w:color w:val="221F1F"/>
                <w:sz w:val="16"/>
              </w:rPr>
              <w:t>）</w:t>
            </w:r>
            <w:r>
              <w:rPr>
                <w:rFonts w:ascii="ZCQIW2" w:hAnsi="ZCQIW2" w:eastAsia="ZCQIW2"/>
                <w:b w:val="0"/>
                <w:i w:val="0"/>
                <w:color w:val="221F1F"/>
                <w:sz w:val="18"/>
              </w:rPr>
              <w:t>04-0146-04</w:t>
            </w:r>
          </w:p>
        </w:tc>
      </w:tr>
    </w:tbl>
    <w:p>
      <w:pPr>
        <w:autoSpaceDN w:val="0"/>
        <w:autoSpaceDE w:val="0"/>
        <w:widowControl/>
        <w:spacing w:line="178" w:lineRule="exact" w:before="406" w:after="0"/>
        <w:ind w:left="862" w:right="0" w:firstLine="0"/>
        <w:jc w:val="left"/>
      </w:pPr>
      <w:r>
        <w:rPr>
          <w:rFonts w:ascii="ZCQIW2" w:hAnsi="ZCQIW2" w:eastAsia="ZCQIW2"/>
          <w:b w:val="0"/>
          <w:i w:val="0"/>
          <w:color w:val="221F1F"/>
          <w:sz w:val="18"/>
        </w:rPr>
        <w:t>Abstract:</w:t>
      </w:r>
      <w:r>
        <w:rPr>
          <w:rFonts w:ascii="ZCQIW2" w:hAnsi="ZCQIW2" w:eastAsia="ZCQIW2"/>
          <w:b w:val="0"/>
          <w:i w:val="0"/>
          <w:color w:val="221F1F"/>
          <w:sz w:val="18"/>
        </w:rPr>
        <w:t xml:space="preserve"> Based on the urban rail transit project of Hangzhou Airport Express Line, this paper analyzes the identification of</w:t>
      </w:r>
    </w:p>
    <w:p>
      <w:pPr>
        <w:autoSpaceDN w:val="0"/>
        <w:autoSpaceDE w:val="0"/>
        <w:widowControl/>
        <w:spacing w:line="180" w:lineRule="exact" w:before="114" w:after="0"/>
        <w:ind w:left="506" w:right="0" w:firstLine="0"/>
        <w:jc w:val="left"/>
      </w:pPr>
      <w:r>
        <w:rPr>
          <w:rFonts w:ascii="ZCQIW2" w:hAnsi="ZCQIW2" w:eastAsia="ZCQIW2"/>
          <w:b w:val="0"/>
          <w:i w:val="0"/>
          <w:color w:val="221F1F"/>
          <w:sz w:val="18"/>
        </w:rPr>
        <w:t>the initial trial excavation risk in the shield construction of urban rail transit, and puts forward the corresponding countermeasures</w:t>
      </w:r>
    </w:p>
    <w:p>
      <w:pPr>
        <w:autoSpaceDN w:val="0"/>
        <w:autoSpaceDE w:val="0"/>
        <w:widowControl/>
        <w:spacing w:line="178" w:lineRule="exact" w:before="112" w:after="0"/>
        <w:ind w:left="506" w:right="0" w:firstLine="0"/>
        <w:jc w:val="left"/>
      </w:pPr>
      <w:r>
        <w:rPr>
          <w:rFonts w:ascii="ZCQIW2" w:hAnsi="ZCQIW2" w:eastAsia="ZCQIW2"/>
          <w:b w:val="0"/>
          <w:i w:val="0"/>
          <w:color w:val="221F1F"/>
          <w:sz w:val="18"/>
        </w:rPr>
        <w:t>and quality and environmental protection assurance measures for your reference.</w:t>
      </w:r>
    </w:p>
    <w:p>
      <w:pPr>
        <w:autoSpaceDN w:val="0"/>
        <w:autoSpaceDE w:val="0"/>
        <w:widowControl/>
        <w:spacing w:line="180" w:lineRule="exact" w:before="114" w:after="0"/>
        <w:ind w:left="862" w:right="0" w:firstLine="0"/>
        <w:jc w:val="left"/>
      </w:pPr>
      <w:r>
        <w:rPr>
          <w:rFonts w:ascii="ZCQIW2" w:hAnsi="ZCQIW2" w:eastAsia="ZCQIW2"/>
          <w:b w:val="0"/>
          <w:i w:val="0"/>
          <w:color w:val="221F1F"/>
          <w:sz w:val="18"/>
        </w:rPr>
        <w:t>Keywords:</w:t>
      </w:r>
      <w:r>
        <w:rPr>
          <w:rFonts w:ascii="ZCQIW2" w:hAnsi="ZCQIW2" w:eastAsia="ZCQIW2"/>
          <w:b w:val="0"/>
          <w:i w:val="0"/>
          <w:color w:val="221F1F"/>
          <w:sz w:val="18"/>
        </w:rPr>
        <w:t xml:space="preserve"> Shield construction; entry and exit risk; clay stratum; risk identification; countermeasures</w:t>
      </w:r>
    </w:p>
    <w:p>
      <w:pPr>
        <w:autoSpaceDN w:val="0"/>
        <w:tabs>
          <w:tab w:pos="930" w:val="left"/>
          <w:tab w:pos="5640" w:val="left"/>
        </w:tabs>
        <w:autoSpaceDE w:val="0"/>
        <w:widowControl/>
        <w:spacing w:line="352" w:lineRule="exact" w:before="302" w:after="0"/>
        <w:ind w:left="510" w:right="0" w:firstLine="0"/>
        <w:jc w:val="left"/>
      </w:pP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杭州机场轨道快线土建施工</w:t>
      </w:r>
      <w:r>
        <w:rPr>
          <w:rFonts w:ascii="ZCQIW2" w:hAnsi="ZCQIW2" w:eastAsia="ZCQIW2"/>
          <w:b w:val="0"/>
          <w:i w:val="0"/>
          <w:color w:val="221F1F"/>
          <w:sz w:val="21"/>
        </w:rPr>
        <w:t>SGJC-4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标段，包含</w:t>
      </w:r>
      <w:r>
        <w:rPr>
          <w:rFonts w:ascii="ZCQIW2" w:hAnsi="ZCQIW2" w:eastAsia="ZCQIW2"/>
          <w:b w:val="0"/>
          <w:i w:val="0"/>
          <w:color w:val="221F1F"/>
          <w:sz w:val="21"/>
        </w:rPr>
        <w:t>2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进风险的识别进行了分析，提出了相应的应对措施，供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号区间风井</w:t>
      </w:r>
      <w:r>
        <w:rPr>
          <w:rFonts w:ascii="ZCQIV1" w:hAnsi="ZCQIV1" w:eastAsia="ZCQIV1"/>
          <w:b w:val="0"/>
          <w:i w:val="0"/>
          <w:color w:val="221F1F"/>
          <w:sz w:val="21"/>
        </w:rPr>
        <w:t>—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西溪湿地站区间，采用盾构法施工，区间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大家参考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274" w:lineRule="exact" w:before="78" w:after="122"/>
        <w:ind w:left="51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总体施工示意图如图</w:t>
      </w:r>
      <w:r>
        <w:rPr>
          <w:rFonts w:ascii="ZCQIW2" w:hAnsi="ZCQIW2" w:eastAsia="ZCQIW2"/>
          <w:b w:val="0"/>
          <w:i w:val="0"/>
          <w:color w:val="221F1F"/>
          <w:sz w:val="21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所示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本文对施工期间始发试掘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80.0" w:type="dxa"/>
      </w:tblPr>
      <w:tblGrid>
        <w:gridCol w:w="3504"/>
        <w:gridCol w:w="3504"/>
        <w:gridCol w:w="3504"/>
      </w:tblGrid>
      <w:tr>
        <w:trPr>
          <w:trHeight w:hRule="exact" w:val="446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512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阿西中间风井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0" w:after="0"/>
              <w:ind w:left="43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左线线路长度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16"/>
              </w:rPr>
              <w:t>=2 491.232 m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06" w:after="0"/>
              <w:ind w:left="60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西溪湿地站</w:t>
            </w:r>
          </w:p>
        </w:tc>
      </w:tr>
      <w:tr>
        <w:trPr>
          <w:trHeight w:hRule="exact" w:val="360"/>
        </w:trPr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0" w:after="0"/>
              <w:ind w:left="0" w:right="404" w:firstLine="0"/>
              <w:jc w:val="right"/>
            </w:pPr>
            <w:r>
              <w:rPr>
                <w:rFonts w:ascii="ZCQIV1" w:hAnsi="ZCQIV1" w:eastAsia="ZCQIV1"/>
                <w:b w:val="0"/>
                <w:i w:val="0"/>
                <w:color w:val="221F1F"/>
                <w:sz w:val="16"/>
              </w:rPr>
              <w:t>1#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盾构机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52" w:after="0"/>
              <w:ind w:left="62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左线</w:t>
            </w:r>
          </w:p>
        </w:tc>
        <w:tc>
          <w:tcPr>
            <w:tcW w:type="dxa" w:w="3504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504"/>
            <w:vMerge/>
            <w:tcBorders/>
          </w:tcPr>
          <w:p/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2" w:after="0"/>
              <w:ind w:left="62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右线</w:t>
            </w:r>
          </w:p>
        </w:tc>
        <w:tc>
          <w:tcPr>
            <w:tcW w:type="dxa" w:w="3504"/>
            <w:vMerge/>
            <w:tcBorders/>
          </w:tcPr>
          <w:p/>
        </w:tc>
      </w:tr>
      <w:tr>
        <w:trPr>
          <w:trHeight w:hRule="exact" w:val="434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98" w:after="0"/>
              <w:ind w:left="0" w:right="404" w:firstLine="0"/>
              <w:jc w:val="right"/>
            </w:pPr>
            <w:r>
              <w:rPr>
                <w:rFonts w:ascii="ZCQIV1" w:hAnsi="ZCQIV1" w:eastAsia="ZCQIV1"/>
                <w:b w:val="0"/>
                <w:i w:val="0"/>
                <w:color w:val="221F1F"/>
                <w:sz w:val="16"/>
              </w:rPr>
              <w:t>2#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 xml:space="preserve"> 盾构机</w:t>
            </w:r>
          </w:p>
        </w:tc>
        <w:tc>
          <w:tcPr>
            <w:tcW w:type="dxa" w:w="3504"/>
            <w:vMerge/>
            <w:tcBorders/>
          </w:tcPr>
          <w:p/>
        </w:tc>
        <w:tc>
          <w:tcPr>
            <w:tcW w:type="dxa" w:w="350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8" w:lineRule="exact" w:before="26" w:after="340"/>
        <w:ind w:left="0" w:right="4080" w:firstLine="0"/>
        <w:jc w:val="righ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右线线路长度</w:t>
      </w:r>
      <w:r>
        <w:rPr>
          <w:rFonts w:ascii="ZCQIV1" w:hAnsi="ZCQIV1" w:eastAsia="ZCQIV1"/>
          <w:b w:val="0"/>
          <w:i w:val="0"/>
          <w:color w:val="221F1F"/>
          <w:sz w:val="16"/>
        </w:rPr>
        <w:t>=2 475.055 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0.0" w:type="dxa"/>
      </w:tblPr>
      <w:tblGrid>
        <w:gridCol w:w="2102"/>
        <w:gridCol w:w="2102"/>
        <w:gridCol w:w="2102"/>
        <w:gridCol w:w="2102"/>
        <w:gridCol w:w="2102"/>
      </w:tblGrid>
      <w:tr>
        <w:trPr>
          <w:trHeight w:hRule="exact" w:val="32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14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图例：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18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始发图标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26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接收图标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0" w:right="362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盾构段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0" w:after="0"/>
              <w:ind w:left="38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始发井</w:t>
            </w:r>
          </w:p>
        </w:tc>
      </w:tr>
    </w:tbl>
    <w:p>
      <w:pPr>
        <w:autoSpaceDN w:val="0"/>
        <w:autoSpaceDE w:val="0"/>
        <w:widowControl/>
        <w:spacing w:line="220" w:lineRule="exact" w:before="214" w:after="80"/>
        <w:ind w:left="0" w:right="4022" w:firstLine="0"/>
        <w:jc w:val="right"/>
      </w:pPr>
      <w:r>
        <w:rPr>
          <w:w w:val="103.09973955154419"/>
          <w:rFonts w:ascii="方正黑体_GBK" w:hAnsi="方正黑体_GBK" w:eastAsia="方正黑体_GBK"/>
          <w:b w:val="0"/>
          <w:i w:val="0"/>
          <w:color w:val="221F1F"/>
          <w:sz w:val="16"/>
        </w:rPr>
        <w:t>图</w:t>
      </w:r>
      <w:r>
        <w:rPr>
          <w:rFonts w:ascii="ZCQIW2" w:hAnsi="ZCQIW2" w:eastAsia="ZCQIW2"/>
          <w:b w:val="0"/>
          <w:i w:val="0"/>
          <w:color w:val="221F1F"/>
          <w:sz w:val="18"/>
        </w:rPr>
        <w:t>1</w:t>
      </w:r>
      <w:r>
        <w:rPr>
          <w:w w:val="103.09973955154419"/>
          <w:rFonts w:ascii="方正黑体_GBK" w:hAnsi="方正黑体_GBK" w:eastAsia="方正黑体_GBK"/>
          <w:b w:val="0"/>
          <w:i w:val="0"/>
          <w:color w:val="221F1F"/>
          <w:sz w:val="16"/>
        </w:rPr>
        <w:t xml:space="preserve"> 区间总体施工示意图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628"/>
        <w:gridCol w:w="2628"/>
        <w:gridCol w:w="2628"/>
        <w:gridCol w:w="2628"/>
      </w:tblGrid>
      <w:tr>
        <w:trPr>
          <w:trHeight w:hRule="exact" w:val="306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6" w:after="0"/>
              <w:ind w:left="0" w:right="168" w:firstLine="0"/>
              <w:jc w:val="right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21"/>
              </w:rPr>
              <w:t>1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8" w:after="0"/>
              <w:ind w:left="36" w:right="0" w:firstLine="0"/>
              <w:jc w:val="left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工程风险评估及对策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6" w:after="0"/>
              <w:ind w:left="0" w:right="0" w:firstLine="0"/>
              <w:jc w:val="center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21"/>
              </w:rPr>
              <w:t>1.2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8" w:after="0"/>
              <w:ind w:left="58" w:right="0" w:firstLine="0"/>
              <w:jc w:val="left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风险识别分析</w:t>
            </w:r>
          </w:p>
        </w:tc>
      </w:tr>
      <w:tr>
        <w:trPr>
          <w:trHeight w:hRule="exact" w:val="41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8" w:after="0"/>
              <w:ind w:left="0" w:right="18" w:firstLine="0"/>
              <w:jc w:val="right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21"/>
              </w:rPr>
              <w:t>1.1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6" w:after="0"/>
              <w:ind w:left="186" w:right="0" w:firstLine="0"/>
              <w:jc w:val="left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盾构始发试掘进风险影响的主要因素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92" w:after="0"/>
              <w:ind w:left="0" w:right="0" w:firstLine="0"/>
              <w:jc w:val="center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21"/>
              </w:rPr>
              <w:t>1.3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6" w:after="0"/>
              <w:ind w:left="1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具体内容见表</w:t>
            </w:r>
            <w:r>
              <w:rPr>
                <w:rFonts w:ascii="ZCQIW2" w:hAnsi="ZCQIW2" w:eastAsia="ZCQIW2"/>
                <w:b w:val="0"/>
                <w:i w:val="0"/>
                <w:color w:val="221F1F"/>
                <w:sz w:val="21"/>
              </w:rPr>
              <w:t>1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</w:p>
        </w:tc>
      </w:tr>
      <w:tr>
        <w:trPr>
          <w:trHeight w:hRule="exact" w:val="290"/>
        </w:trPr>
        <w:tc>
          <w:tcPr>
            <w:tcW w:type="dxa" w:w="5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8" w:after="0"/>
              <w:ind w:left="68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盾构始发试掘进风险影响的主要因素极其复杂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繁</w:t>
            </w:r>
          </w:p>
        </w:tc>
        <w:tc>
          <w:tcPr>
            <w:tcW w:type="dxa" w:w="2628"/>
            <w:vMerge/>
            <w:tcBorders/>
          </w:tcPr>
          <w:p/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30" w:after="0"/>
              <w:ind w:left="58" w:right="0" w:firstLine="0"/>
              <w:jc w:val="left"/>
            </w:pP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始发</w:t>
            </w:r>
            <w:r>
              <w:rPr>
                <w:w w:val="98.97574424743652"/>
                <w:rFonts w:ascii="ZCQIW2" w:hAnsi="ZCQIW2" w:eastAsia="ZCQIW2"/>
                <w:b w:val="0"/>
                <w:i w:val="0"/>
                <w:color w:val="221F1F"/>
                <w:sz w:val="20"/>
              </w:rPr>
              <w:t>、</w:t>
            </w:r>
            <w:r>
              <w:rPr>
                <w:w w:val="98.97574424743652"/>
                <w:rFonts w:ascii="方正黑体_GBK" w:hAnsi="方正黑体_GBK" w:eastAsia="方正黑体_GBK"/>
                <w:b w:val="0"/>
                <w:i w:val="0"/>
                <w:color w:val="221F1F"/>
                <w:sz w:val="20"/>
              </w:rPr>
              <w:t>接收时突发性事故的预防与处理</w:t>
            </w:r>
          </w:p>
        </w:tc>
      </w:tr>
      <w:tr>
        <w:trPr>
          <w:trHeight w:hRule="exact" w:val="60"/>
        </w:trPr>
        <w:tc>
          <w:tcPr>
            <w:tcW w:type="dxa" w:w="5256"/>
            <w:gridSpan w:val="2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50" w:after="0"/>
              <w:ind w:left="0" w:right="0" w:firstLine="0"/>
              <w:jc w:val="right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21"/>
              </w:rPr>
              <w:t>1.3.1</w:t>
            </w:r>
          </w:p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0" w:after="0"/>
              <w:ind w:left="20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洞门凿除时出现涌土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流砂，洞口土体流失（</w:t>
            </w:r>
            <w:r>
              <w:rPr>
                <w:rFonts w:ascii="ZCQIW2" w:hAnsi="ZCQIW2" w:eastAsia="ZCQIW2"/>
                <w:b w:val="0"/>
                <w:i w:val="0"/>
                <w:color w:val="221F1F"/>
                <w:sz w:val="21"/>
              </w:rPr>
              <w:t>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）风</w:t>
            </w:r>
          </w:p>
        </w:tc>
      </w:tr>
      <w:tr>
        <w:trPr>
          <w:trHeight w:hRule="exact" w:val="294"/>
        </w:trPr>
        <w:tc>
          <w:tcPr>
            <w:tcW w:type="dxa" w:w="5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8" w:after="0"/>
              <w:ind w:left="26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多，通过区间地质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周边环境的认真研究和分析，并结合</w:t>
            </w:r>
          </w:p>
        </w:tc>
        <w:tc>
          <w:tcPr>
            <w:tcW w:type="dxa" w:w="2628"/>
            <w:vMerge/>
            <w:tcBorders/>
          </w:tcPr>
          <w:p/>
        </w:tc>
        <w:tc>
          <w:tcPr>
            <w:tcW w:type="dxa" w:w="26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74"/>
        <w:ind w:left="0" w:right="0"/>
      </w:pPr>
    </w:p>
    <w:p>
      <w:pPr>
        <w:sectPr>
          <w:pgSz w:w="11904" w:h="16440"/>
          <w:pgMar w:top="394" w:right="9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2" w:lineRule="exact" w:before="0" w:after="0"/>
        <w:ind w:left="50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以往施工经验，总结认为风险影响的主要因素如下：</w:t>
      </w:r>
      <w:r>
        <w:rPr>
          <w:rFonts w:ascii="ZCQIW2" w:hAnsi="ZCQIW2" w:eastAsia="ZCQIW2"/>
          <w:b w:val="0"/>
          <w:i w:val="0"/>
          <w:color w:val="221F1F"/>
          <w:sz w:val="21"/>
        </w:rPr>
        <w:t>①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盾构机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龙门吊安装吊装安全风险，盾构区间施工端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头加固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始发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掘进和组装等施工风险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ZCQIW2" w:hAnsi="ZCQIW2" w:eastAsia="ZCQIW2"/>
          <w:b w:val="0"/>
          <w:i w:val="0"/>
          <w:color w:val="221F1F"/>
          <w:sz w:val="21"/>
        </w:rPr>
        <w:t>②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因人员管理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制度管理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施工用电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设备吊装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安全防护和消防安全等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建设工程行为带来的人身安全风险和财产损失风险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ZCQIW2" w:hAnsi="ZCQIW2" w:eastAsia="ZCQIW2"/>
          <w:b w:val="0"/>
          <w:i w:val="0"/>
          <w:color w:val="221F1F"/>
          <w:sz w:val="21"/>
        </w:rPr>
        <w:t>③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因施工管理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质量控制措施不到位带来的盾构隧道漏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水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结构尺寸偏差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盾构隧道轴线偏差影响盾构始发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接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收限界等质量风险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440"/>
          <w:pgMar w:top="394" w:right="992" w:bottom="170" w:left="400" w:header="720" w:footer="720" w:gutter="0"/>
          <w:cols w:num="2" w:equalWidth="0">
            <w:col w:w="5550" w:space="0"/>
            <w:col w:w="4962" w:space="0"/>
          </w:cols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0"/>
        <w:ind w:left="90" w:right="2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险特征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盾构始发时，在破除车站围护结构后，如果由于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大气降水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地表废水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城市自来水管及排水管漏水等通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过隧道范围内的孔隙而引起涌水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涌泥或坍塌时，可能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出现从刀盘开口或螺旋输送机涌水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涌泥，或从盾构机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外壳和原预留洞门间孔隙冲破帘布橡胶的阻挡而涌水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或涌泥，进而造成地面沉降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autoSpaceDN w:val="0"/>
        <w:autoSpaceDE w:val="0"/>
        <w:widowControl/>
        <w:spacing w:line="352" w:lineRule="exact" w:before="0" w:after="188"/>
        <w:ind w:left="90" w:right="0" w:firstLine="418"/>
        <w:jc w:val="left"/>
      </w:pPr>
      <w:r>
        <w:rPr>
          <w:rFonts w:ascii="ZCQIW2" w:hAnsi="ZCQIW2" w:eastAsia="ZCQIW2"/>
          <w:b w:val="0"/>
          <w:i w:val="0"/>
          <w:color w:val="221F1F"/>
          <w:sz w:val="21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）产生风险的原因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第一，洞口的土体加固质量有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待提升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在施工中由于各种因素，洞口土体的加固质量</w:t>
      </w:r>
    </w:p>
    <w:p>
      <w:pPr>
        <w:sectPr>
          <w:type w:val="nextColumn"/>
          <w:pgSz w:w="11904" w:h="16440"/>
          <w:pgMar w:top="394" w:right="992" w:bottom="170" w:left="400" w:header="720" w:footer="720" w:gutter="0"/>
          <w:cols w:num="2" w:equalWidth="0">
            <w:col w:w="5550" w:space="0"/>
            <w:col w:w="4962" w:space="0"/>
          </w:cols>
          <w:docGrid w:linePitch="360"/>
        </w:sectPr>
      </w:pPr>
    </w:p>
    <w:p>
      <w:pPr>
        <w:autoSpaceDN w:val="0"/>
        <w:autoSpaceDE w:val="0"/>
        <w:widowControl/>
        <w:spacing w:line="314" w:lineRule="exact" w:before="0" w:after="0"/>
        <w:ind w:left="506" w:right="4032" w:firstLine="8"/>
        <w:jc w:val="left"/>
      </w:pPr>
      <w:r>
        <w:rPr>
          <w:w w:val="103.09973955154419"/>
          <w:rFonts w:ascii="方正黑体_GBK" w:hAnsi="方正黑体_GBK" w:eastAsia="方正黑体_GBK"/>
          <w:b w:val="0"/>
          <w:i w:val="0"/>
          <w:color w:val="221F1F"/>
          <w:sz w:val="16"/>
        </w:rPr>
        <w:t>作者简介</w:t>
      </w:r>
      <w:r>
        <w:rPr>
          <w:rFonts w:ascii="方正楷体_GBK" w:hAnsi="方正楷体_GBK" w:eastAsia="方正楷体_GBK"/>
          <w:b w:val="0"/>
          <w:i w:val="0"/>
          <w:color w:val="221F1F"/>
          <w:sz w:val="18"/>
        </w:rPr>
        <w:t>：李济灵（</w:t>
      </w:r>
      <w:r>
        <w:rPr>
          <w:rFonts w:ascii="ZCQIW2" w:hAnsi="ZCQIW2" w:eastAsia="ZCQIW2"/>
          <w:b w:val="0"/>
          <w:i w:val="0"/>
          <w:color w:val="221F1F"/>
          <w:sz w:val="18"/>
        </w:rPr>
        <w:t>1980-</w:t>
      </w:r>
      <w:r>
        <w:rPr>
          <w:rFonts w:ascii="方正楷体_GBK" w:hAnsi="方正楷体_GBK" w:eastAsia="方正楷体_GBK"/>
          <w:b w:val="0"/>
          <w:i w:val="0"/>
          <w:color w:val="221F1F"/>
          <w:sz w:val="18"/>
        </w:rPr>
        <w:t>），男，工程师</w:t>
      </w:r>
      <w:r>
        <w:rPr>
          <w:rFonts w:ascii="ZCQIV1" w:hAnsi="ZCQIV1" w:eastAsia="ZCQIV1"/>
          <w:b w:val="0"/>
          <w:i w:val="0"/>
          <w:color w:val="221F1F"/>
          <w:sz w:val="18"/>
        </w:rPr>
        <w:t>。</w:t>
      </w:r>
      <w:r>
        <w:rPr>
          <w:rFonts w:ascii="方正楷体_GBK" w:hAnsi="方正楷体_GBK" w:eastAsia="方正楷体_GBK"/>
          <w:b w:val="0"/>
          <w:i w:val="0"/>
          <w:color w:val="221F1F"/>
          <w:sz w:val="18"/>
        </w:rPr>
        <w:t>研究方向为城市轨道交通盾构施工</w:t>
      </w:r>
      <w:r>
        <w:rPr>
          <w:rFonts w:ascii="ZCQIV1" w:hAnsi="ZCQIV1" w:eastAsia="ZCQIV1"/>
          <w:b w:val="0"/>
          <w:i w:val="0"/>
          <w:color w:val="221F1F"/>
          <w:sz w:val="18"/>
        </w:rPr>
        <w:t>。</w:t>
      </w:r>
      <w:r>
        <w:rPr>
          <w:rFonts w:ascii="ZCQIW2" w:hAnsi="ZCQIW2" w:eastAsia="ZCQIW2"/>
          <w:b w:val="0"/>
          <w:i w:val="0"/>
          <w:color w:val="221F1F"/>
          <w:sz w:val="21"/>
        </w:rPr>
        <w:t>-</w:t>
      </w:r>
      <w:r>
        <w:rPr>
          <w:rFonts w:ascii="ZCQIW2" w:hAnsi="ZCQIW2" w:eastAsia="ZCQIW2"/>
          <w:b w:val="0"/>
          <w:i w:val="0"/>
          <w:color w:val="221F1F"/>
          <w:sz w:val="21"/>
        </w:rPr>
        <w:t>146</w:t>
      </w:r>
      <w:r>
        <w:rPr>
          <w:rFonts w:ascii="ZCQIW2" w:hAnsi="ZCQIW2" w:eastAsia="ZCQIW2"/>
          <w:b w:val="0"/>
          <w:i w:val="0"/>
          <w:color w:val="221F1F"/>
          <w:sz w:val="21"/>
        </w:rPr>
        <w:t>-</w:t>
      </w:r>
    </w:p>
    <w:p>
      <w:pPr>
        <w:autoSpaceDN w:val="0"/>
        <w:autoSpaceDE w:val="0"/>
        <w:widowControl/>
        <w:spacing w:line="240" w:lineRule="auto" w:before="16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440"/>
          <w:pgMar w:top="394" w:right="992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3575"/>
        <w:gridCol w:w="3575"/>
        <w:gridCol w:w="3575"/>
      </w:tblGrid>
      <w:tr>
        <w:trPr>
          <w:trHeight w:hRule="exact" w:val="232"/>
        </w:trPr>
        <w:tc>
          <w:tcPr>
            <w:tcW w:type="dxa" w:w="2238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0" w:after="0"/>
              <w:ind w:left="0" w:right="0" w:firstLine="0"/>
              <w:jc w:val="left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18"/>
              </w:rPr>
              <w:t>2023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年</w:t>
            </w:r>
            <w:r>
              <w:rPr>
                <w:rFonts w:ascii="ZCQIW2" w:hAnsi="ZCQIW2" w:eastAsia="ZCQIW2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期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2224" w:firstLine="0"/>
              <w:jc w:val="right"/>
            </w:pPr>
            <w:r>
              <w:rPr>
                <w:w w:val="101.60139869241154"/>
                <w:rFonts w:ascii="方正黑体_GBK" w:hAnsi="方正黑体_GBK" w:eastAsia="方正黑体_GBK"/>
                <w:b w:val="0"/>
                <w:i w:val="0"/>
                <w:color w:val="221F1F"/>
                <w:sz w:val="17"/>
              </w:rPr>
              <w:t>科技创新与应用</w:t>
            </w:r>
          </w:p>
        </w:tc>
        <w:tc>
          <w:tcPr>
            <w:tcW w:type="dxa" w:w="2158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92" w:after="0"/>
              <w:ind w:left="0" w:right="10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方法创新</w:t>
            </w:r>
          </w:p>
        </w:tc>
      </w:tr>
      <w:tr>
        <w:trPr>
          <w:trHeight w:hRule="exact" w:val="188"/>
        </w:trPr>
        <w:tc>
          <w:tcPr>
            <w:tcW w:type="dxa" w:w="3575"/>
            <w:vMerge/>
            <w:tcBorders>
              <w:bottom w:sz="8.0" w:val="single" w:color="#221F1F"/>
            </w:tcBorders>
          </w:tcPr>
          <w:p/>
        </w:tc>
        <w:tc>
          <w:tcPr>
            <w:tcW w:type="dxa" w:w="55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1348" w:right="0" w:firstLine="0"/>
              <w:jc w:val="left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16"/>
              </w:rPr>
              <w:t>Technology Innovation and Application</w:t>
            </w:r>
          </w:p>
        </w:tc>
        <w:tc>
          <w:tcPr>
            <w:tcW w:type="dxa" w:w="3575"/>
            <w:vMerge/>
            <w:tcBorders>
              <w:bottom w:sz="8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pgSz w:w="11904" w:h="16440"/>
          <w:pgMar w:top="394" w:right="780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6" w:lineRule="exact" w:before="0" w:after="0"/>
        <w:ind w:left="61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并没有达到相关的施工要求和标准，导致在后续施工中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容易出现塌方的现象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或者在进行洞口土体加固施工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中，存在加固不均匀的问题，进而导致洞口的隔水效果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较差，影响洞口土体的质量，造成风险的发生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第二，洞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口正面土体失去支护，导致洞口坍塌现象的发生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在进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行洞口施工时，施工人员在拆除洞门的混凝土后，未能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及时将盾构靠上土体，导致土体得不到及时的支护，进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而出现塌方的现象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第三，洞门密封性有待提升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在实际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施工中容易出现止水橡胶帘带内翻的现象，从而导致洞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口的密封性能不高，容易出现水土流失的现象，造成风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险的发生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或者洞门的密封装置出现强度不足的问题，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无法承受较高的土压力，从而导致洞门受到挤压，影响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洞门作用的发挥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而且在实际施工中，部分盾构外壳上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的注浆管等物体也会对洞门的密封性造成影响，导致密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封性不达标，进而造成风险的发生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第四，始发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接收时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未能及时安装好洞圈钢板，致使洞门装置被顶坏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第五，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由于刚开挖时渣土量很小及推进油缸的推力较小，而不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能用土压平衡模式或不可能很快转换成土压平衡掘进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模式，导致井外大量土体塌入井内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440"/>
          <w:pgMar w:top="394" w:right="780" w:bottom="170" w:left="400" w:header="720" w:footer="720" w:gutter="0"/>
          <w:cols w:num="2" w:equalWidth="0">
            <w:col w:w="5660" w:space="0"/>
            <w:col w:w="5064" w:space="0"/>
          </w:cols>
          <w:docGrid w:linePitch="360"/>
        </w:sectPr>
      </w:pPr>
    </w:p>
    <w:p>
      <w:pPr>
        <w:autoSpaceDN w:val="0"/>
        <w:autoSpaceDE w:val="0"/>
        <w:widowControl/>
        <w:spacing w:line="344" w:lineRule="exact" w:before="0" w:after="46"/>
        <w:ind w:left="8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急降水井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第二，为了快速恢复洞口的密封性，施工人员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需要及时将已经受压变形的密封圈压回到洞口，并且做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好弧形板的固定工作，及时调整好密封圈的工作状态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考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虑在洞门密封圆环板外加弧形钢板</w:t>
      </w:r>
      <w:r>
        <w:rPr>
          <w:rFonts w:ascii="ZCQIW2" w:hAnsi="ZCQIW2" w:eastAsia="ZCQIW2"/>
          <w:b w:val="0"/>
          <w:i w:val="0"/>
          <w:color w:val="221F1F"/>
          <w:sz w:val="21"/>
        </w:rPr>
        <w:t>,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也可用扇形压板，并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用横撑支撑于车站结构和弧形钢板间，以阻止涌水涌泥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第三，做好加固施工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当洞口土体承受较大的压力时，施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工人员可以先将钢筋网片和围护的钢筋进行焊接，然后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再用钢筋和木板进行支撑，进一步提高洞口的承受力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为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了进一步提高土体的承受力，施工人员还应当在围护的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外围及洞门进行注浆，进而起到加固的作用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有必要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时可注入掺加速凝剂的纯水泥浆液（速凝剂</w:t>
      </w:r>
      <w:r>
        <w:rPr>
          <w:rFonts w:ascii="ZCQIW3" w:hAnsi="ZCQIW3" w:eastAsia="ZCQIW3"/>
          <w:b w:val="0"/>
          <w:i w:val="0"/>
          <w:color w:val="221F1F"/>
          <w:sz w:val="21"/>
        </w:rPr>
        <w:t>∶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水泥</w:t>
      </w:r>
      <w:r>
        <w:rPr>
          <w:rFonts w:ascii="ZCQIW2" w:hAnsi="ZCQIW2" w:eastAsia="ZCQIW2"/>
          <w:b w:val="0"/>
          <w:i w:val="0"/>
          <w:color w:val="221F1F"/>
          <w:sz w:val="21"/>
        </w:rPr>
        <w:t>=1</w:t>
      </w:r>
      <w:r>
        <w:rPr>
          <w:rFonts w:ascii="ZCQIW3" w:hAnsi="ZCQIW3" w:eastAsia="ZCQIW3"/>
          <w:b w:val="0"/>
          <w:i w:val="0"/>
          <w:color w:val="221F1F"/>
          <w:sz w:val="21"/>
        </w:rPr>
        <w:t>∶</w:t>
      </w:r>
      <w:r>
        <w:rPr>
          <w:rFonts w:ascii="ZCQIW2" w:hAnsi="ZCQIW2" w:eastAsia="ZCQIW2"/>
          <w:b w:val="0"/>
          <w:i w:val="0"/>
          <w:color w:val="221F1F"/>
          <w:sz w:val="21"/>
        </w:rPr>
        <w:t>0.05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），以提高凝结速度减少土体的流失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55" w:type="dxa"/>
      </w:tblPr>
      <w:tblGrid>
        <w:gridCol w:w="2681"/>
        <w:gridCol w:w="2681"/>
        <w:gridCol w:w="2681"/>
        <w:gridCol w:w="2681"/>
      </w:tblGrid>
      <w:tr>
        <w:trPr>
          <w:trHeight w:hRule="exact" w:val="316"/>
        </w:trPr>
        <w:tc>
          <w:tcPr>
            <w:tcW w:type="dxa" w:w="572"/>
            <w:tcBorders>
              <w:bottom w:sz="7.200000000000273" w:val="single" w:color="#221F1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bottom w:sz="7.200000000000273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0" w:right="76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表</w:t>
            </w:r>
            <w:r>
              <w:rPr>
                <w:rFonts w:ascii="ZCQIW2" w:hAnsi="ZCQIW2" w:eastAsia="ZCQIW2"/>
                <w:b w:val="0"/>
                <w:i w:val="0"/>
                <w:color w:val="221F1F"/>
                <w:sz w:val="18"/>
              </w:rPr>
              <w:t>1</w:t>
            </w:r>
          </w:p>
        </w:tc>
        <w:tc>
          <w:tcPr>
            <w:tcW w:type="dxa" w:w="3676"/>
            <w:gridSpan w:val="2"/>
            <w:tcBorders>
              <w:bottom w:sz="7.200000000000273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96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盾构始发试掘进施工风险源识别分析</w:t>
            </w:r>
          </w:p>
        </w:tc>
      </w:tr>
      <w:tr>
        <w:trPr>
          <w:trHeight w:hRule="exact" w:val="272"/>
        </w:trPr>
        <w:tc>
          <w:tcPr>
            <w:tcW w:type="dxa" w:w="572"/>
            <w:tcBorders>
              <w:top w:sz="7.200000000000273" w:val="single" w:color="#221F1F"/>
              <w:bottom w:sz="2.40000000000009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5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类别</w:t>
            </w:r>
          </w:p>
        </w:tc>
        <w:tc>
          <w:tcPr>
            <w:tcW w:type="dxa" w:w="1760"/>
            <w:gridSpan w:val="2"/>
            <w:tcBorders>
              <w:top w:sz="7.200000000000273" w:val="single" w:color="#221F1F"/>
              <w:bottom w:sz="2.400000000000091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0" w:right="622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风险事件</w:t>
            </w:r>
          </w:p>
        </w:tc>
        <w:tc>
          <w:tcPr>
            <w:tcW w:type="dxa" w:w="2516"/>
            <w:tcBorders>
              <w:top w:sz="7.200000000000273" w:val="single" w:color="#221F1F"/>
              <w:bottom w:sz="2.400000000000091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" w:after="0"/>
              <w:ind w:left="62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风险因素分析</w:t>
            </w:r>
          </w:p>
        </w:tc>
      </w:tr>
    </w:tbl>
    <w:p>
      <w:pPr>
        <w:autoSpaceDN w:val="0"/>
        <w:autoSpaceDE w:val="0"/>
        <w:widowControl/>
        <w:spacing w:line="208" w:lineRule="exact" w:before="26" w:after="8"/>
        <w:ind w:left="0" w:right="1138" w:firstLine="0"/>
        <w:jc w:val="right"/>
      </w:pPr>
      <w:r>
        <w:rPr>
          <w:rFonts w:ascii="方正书宋_GBK" w:hAnsi="方正书宋_GBK" w:eastAsia="方正书宋_GBK"/>
          <w:b w:val="0"/>
          <w:i w:val="0"/>
          <w:color w:val="221F1F"/>
          <w:sz w:val="16"/>
        </w:rPr>
        <w:t>端头加固工法选择不合理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575"/>
        <w:gridCol w:w="3575"/>
        <w:gridCol w:w="3575"/>
      </w:tblGrid>
      <w:tr>
        <w:trPr>
          <w:trHeight w:hRule="exact" w:val="19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盾构井端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地面塌陷，水土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8" w:after="0"/>
              <w:ind w:left="3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加固范围不够</w:t>
            </w:r>
          </w:p>
        </w:tc>
      </w:tr>
      <w:tr>
        <w:trPr>
          <w:trHeight w:hRule="exact" w:val="100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8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头加固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大量流失，盾构</w:t>
            </w:r>
          </w:p>
        </w:tc>
        <w:tc>
          <w:tcPr>
            <w:tcW w:type="dxa" w:w="3575"/>
            <w:vMerge/>
            <w:tcBorders/>
          </w:tcPr>
          <w:p/>
        </w:tc>
      </w:tr>
      <w:tr>
        <w:trPr>
          <w:trHeight w:hRule="exact" w:val="98"/>
        </w:trPr>
        <w:tc>
          <w:tcPr>
            <w:tcW w:type="dxa" w:w="3575"/>
            <w:vMerge/>
            <w:tcBorders/>
          </w:tcPr>
          <w:p/>
        </w:tc>
        <w:tc>
          <w:tcPr>
            <w:tcW w:type="dxa" w:w="3575"/>
            <w:vMerge/>
            <w:tcBorders/>
          </w:tcPr>
          <w:p/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" w:after="0"/>
              <w:ind w:left="3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加固质量未能达到设计要求</w:t>
            </w:r>
          </w:p>
        </w:tc>
      </w:tr>
      <w:tr>
        <w:trPr>
          <w:trHeight w:hRule="exact" w:val="178"/>
        </w:trPr>
        <w:tc>
          <w:tcPr>
            <w:tcW w:type="dxa" w:w="3575"/>
            <w:vMerge/>
            <w:tcBorders/>
          </w:tcPr>
          <w:p/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2" w:after="0"/>
              <w:ind w:left="7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无法正常始发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16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接收</w:t>
            </w:r>
          </w:p>
        </w:tc>
        <w:tc>
          <w:tcPr>
            <w:tcW w:type="dxa" w:w="3575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575"/>
            <w:vMerge/>
            <w:tcBorders/>
          </w:tcPr>
          <w:p/>
        </w:tc>
        <w:tc>
          <w:tcPr>
            <w:tcW w:type="dxa" w:w="3575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水平或垂直抽芯方法不合理导致效果判</w:t>
            </w:r>
          </w:p>
        </w:tc>
      </w:tr>
      <w:tr>
        <w:trPr>
          <w:trHeight w:hRule="exact" w:val="240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68" w:after="0"/>
              <w:ind w:left="8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盾构始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7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掌子面失稳地面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3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别有误</w:t>
            </w:r>
          </w:p>
        </w:tc>
      </w:tr>
      <w:tr>
        <w:trPr>
          <w:trHeight w:hRule="exact" w:val="237"/>
        </w:trPr>
        <w:tc>
          <w:tcPr>
            <w:tcW w:type="dxa" w:w="3575"/>
            <w:vMerge/>
            <w:tcBorders/>
          </w:tcPr>
          <w:p/>
        </w:tc>
        <w:tc>
          <w:tcPr>
            <w:tcW w:type="dxa" w:w="3575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0" w:after="0"/>
              <w:ind w:left="3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加固方法或加固质量有问题</w:t>
            </w:r>
          </w:p>
        </w:tc>
      </w:tr>
      <w:tr>
        <w:trPr>
          <w:trHeight w:hRule="exact" w:val="257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发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16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接收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塌陷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68" w:after="0"/>
              <w:ind w:left="3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洞门破除过早</w:t>
            </w:r>
          </w:p>
        </w:tc>
      </w:tr>
    </w:tbl>
    <w:p>
      <w:pPr>
        <w:autoSpaceDN w:val="0"/>
        <w:autoSpaceDE w:val="0"/>
        <w:widowControl/>
        <w:spacing w:line="14" w:lineRule="exact" w:before="0" w:after="74"/>
        <w:ind w:left="0" w:right="0"/>
      </w:pPr>
    </w:p>
    <w:p>
      <w:pPr>
        <w:sectPr>
          <w:type w:val="nextColumn"/>
          <w:pgSz w:w="11904" w:h="16440"/>
          <w:pgMar w:top="394" w:right="780" w:bottom="170" w:left="400" w:header="720" w:footer="720" w:gutter="0"/>
          <w:cols w:num="2" w:equalWidth="0">
            <w:col w:w="5660" w:space="0"/>
            <w:col w:w="50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681"/>
        <w:gridCol w:w="2681"/>
        <w:gridCol w:w="2681"/>
        <w:gridCol w:w="2681"/>
      </w:tblGrid>
      <w:tr>
        <w:trPr>
          <w:trHeight w:hRule="exact" w:val="232"/>
        </w:trPr>
        <w:tc>
          <w:tcPr>
            <w:tcW w:type="dxa" w:w="5448"/>
            <w:vMerge w:val="restart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318" w:right="280" w:firstLine="418"/>
              <w:jc w:val="both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21"/>
              </w:rPr>
              <w:t>3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）风险控制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第一，做好洞口土体的加固施工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在进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行土体加固施工时，施工人员要保证加固的强度和均匀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性，进而确保施工质量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第二，做好洞口封门拆除的准备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工作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在拆除之前，施工人员要做好各项准备工作，例如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做好始发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接收工作等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第三，保证洞门的密封性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在进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行密封圈操作时，必须要确保安装的准确性，施工人员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要认真观察盾构推进的过程，避免出现盾构在推进过程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中对密封橡胶圈造成影响，进而影响洞门的密封性，并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且及时在密封圈中加涂润滑剂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为了确保洞门的密封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性，施工人员要及时做好扇形钢板的调整，保证密封圈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的强度，保证其较高的承受力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在始发盾构时，施工人员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要及时降低洞口正面土体的平衡压力，避免对洞门造成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不良的影响，影响洞门的密封性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第四，利用螺旋输送机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反转，向土仓内加入黏土，以阻止涌水涌泥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待涌水涌泥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停止或减少到足够少时，以最短时间恢复生产，尽量加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大开挖速度，以便尽早拼装管片，用管片来防止涌水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涌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泥及坍塌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</w:p>
          <w:p>
            <w:pPr>
              <w:autoSpaceDN w:val="0"/>
              <w:autoSpaceDE w:val="0"/>
              <w:widowControl/>
              <w:spacing w:line="332" w:lineRule="exact" w:before="0" w:after="0"/>
              <w:ind w:left="318" w:right="144" w:firstLine="418"/>
              <w:jc w:val="left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21"/>
              </w:rPr>
              <w:t>4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）风险产生后的补救措施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第一，在凿除过程中若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出现塌方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涌水等情况，施工人员要及时做好土面的支</w:t>
            </w:r>
          </w:p>
        </w:tc>
        <w:tc>
          <w:tcPr>
            <w:tcW w:type="dxa" w:w="48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1646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洞门密封质量差</w:t>
            </w:r>
          </w:p>
        </w:tc>
      </w:tr>
      <w:tr>
        <w:trPr>
          <w:trHeight w:hRule="exact" w:val="24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0" w:right="3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拆除封门时出现</w:t>
            </w:r>
          </w:p>
        </w:tc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封门外侧加固土体强度低</w:t>
            </w:r>
          </w:p>
        </w:tc>
      </w:tr>
      <w:tr>
        <w:trPr>
          <w:trHeight w:hRule="exact" w:val="32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9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涌土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16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流砂</w:t>
            </w:r>
          </w:p>
        </w:tc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地下水发生变化</w:t>
            </w:r>
          </w:p>
        </w:tc>
      </w:tr>
      <w:tr>
        <w:trPr>
          <w:trHeight w:hRule="exact" w:val="28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48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0" w:right="101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封门外土体暴露时间太长</w:t>
            </w:r>
          </w:p>
        </w:tc>
      </w:tr>
      <w:tr>
        <w:trPr>
          <w:trHeight w:hRule="exact" w:val="30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0" w:right="25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洞口土体流失</w:t>
            </w:r>
          </w:p>
        </w:tc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洞口土体加固效果不好</w:t>
            </w:r>
          </w:p>
        </w:tc>
      </w:tr>
      <w:tr>
        <w:trPr>
          <w:trHeight w:hRule="exact" w:val="98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48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208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洞口密封装置失效</w:t>
            </w:r>
            <w:r>
              <w:br/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掘进面土体失稳</w:t>
            </w:r>
            <w:r>
              <w:br/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盾构始发施工参数不合理（注浆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16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推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力等）</w:t>
            </w:r>
          </w:p>
        </w:tc>
      </w:tr>
      <w:tr>
        <w:trPr>
          <w:trHeight w:hRule="exact" w:val="24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0" w:right="3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盾构推进轴线偏</w:t>
            </w:r>
          </w:p>
        </w:tc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始发托架变形</w:t>
            </w:r>
          </w:p>
        </w:tc>
      </w:tr>
      <w:tr>
        <w:trPr>
          <w:trHeight w:hRule="exact" w:val="32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41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离设计轴线</w:t>
            </w:r>
          </w:p>
        </w:tc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6" w:after="0"/>
              <w:ind w:left="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盾构后靠支撑发生位移或变形</w:t>
            </w:r>
          </w:p>
        </w:tc>
      </w:tr>
      <w:tr>
        <w:trPr>
          <w:trHeight w:hRule="exact" w:val="28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48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0" w:after="0"/>
              <w:ind w:left="0" w:right="101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始发推进时盾构轴线上浮</w:t>
            </w:r>
          </w:p>
        </w:tc>
      </w:tr>
      <w:tr>
        <w:trPr>
          <w:trHeight w:hRule="exact" w:val="24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0" w:right="3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后盾系统出现失</w:t>
            </w:r>
          </w:p>
        </w:tc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反力架失效</w:t>
            </w:r>
          </w:p>
        </w:tc>
      </w:tr>
      <w:tr>
        <w:trPr>
          <w:trHeight w:hRule="exact" w:val="32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1046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稳</w:t>
            </w:r>
          </w:p>
        </w:tc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84" w:after="0"/>
              <w:ind w:left="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负环管片破坏</w:t>
            </w:r>
          </w:p>
        </w:tc>
      </w:tr>
      <w:tr>
        <w:trPr>
          <w:trHeight w:hRule="exact" w:val="28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48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6" w:after="0"/>
              <w:ind w:left="0" w:right="1964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钢支撑失稳</w:t>
            </w:r>
          </w:p>
        </w:tc>
      </w:tr>
      <w:tr>
        <w:trPr>
          <w:trHeight w:hRule="exact" w:val="28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6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盾构组装地面承载力不足</w:t>
            </w:r>
          </w:p>
        </w:tc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46" w:after="0"/>
              <w:ind w:left="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未核算地面承载力是否满足吊装要求</w:t>
            </w:r>
          </w:p>
        </w:tc>
      </w:tr>
      <w:tr>
        <w:trPr>
          <w:trHeight w:hRule="exact" w:val="24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0" w:right="3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起重吊装引起结</w:t>
            </w:r>
          </w:p>
        </w:tc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2" w:after="0"/>
              <w:ind w:left="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未核算外加荷载对盾构井结构的影响</w:t>
            </w:r>
          </w:p>
        </w:tc>
      </w:tr>
      <w:tr>
        <w:trPr>
          <w:trHeight w:hRule="exact" w:val="32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构破坏</w:t>
            </w:r>
          </w:p>
        </w:tc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76" w:after="0"/>
              <w:ind w:left="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未按照设计位置站位</w:t>
            </w:r>
          </w:p>
        </w:tc>
      </w:tr>
      <w:tr>
        <w:trPr>
          <w:trHeight w:hRule="exact" w:val="28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48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8" w:after="0"/>
              <w:ind w:left="0" w:right="1328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地基加固质量不合格</w:t>
            </w:r>
          </w:p>
        </w:tc>
      </w:tr>
      <w:tr>
        <w:trPr>
          <w:trHeight w:hRule="exact" w:val="28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25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吊装设备倾覆</w:t>
            </w:r>
          </w:p>
        </w:tc>
        <w:tc>
          <w:tcPr>
            <w:tcW w:type="dxa" w:w="2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8" w:after="0"/>
              <w:ind w:left="76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吊装设备选择不当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16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偏小</w:t>
            </w:r>
          </w:p>
        </w:tc>
      </w:tr>
      <w:tr>
        <w:trPr>
          <w:trHeight w:hRule="exact" w:val="1160"/>
        </w:trPr>
        <w:tc>
          <w:tcPr>
            <w:tcW w:type="dxa" w:w="2681"/>
            <w:vMerge/>
            <w:tcBorders>
              <w:bottom w:sz="7.199999999999818" w:val="single" w:color="#221F1F"/>
            </w:tcBorders>
          </w:tcPr>
          <w:p/>
        </w:tc>
        <w:tc>
          <w:tcPr>
            <w:tcW w:type="dxa" w:w="4848"/>
            <w:gridSpan w:val="3"/>
            <w:tcBorders>
              <w:bottom w:sz="7.19999999999981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2088" w:right="1152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吊装设备站位不对</w:t>
            </w:r>
            <w:r>
              <w:br/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吊装指挥失误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16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不正确</w:t>
            </w:r>
            <w:r>
              <w:br/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吊点设置不合理</w:t>
            </w:r>
          </w:p>
          <w:p>
            <w:pPr>
              <w:autoSpaceDN w:val="0"/>
              <w:autoSpaceDE w:val="0"/>
              <w:widowControl/>
              <w:spacing w:line="208" w:lineRule="exact" w:before="94" w:after="0"/>
              <w:ind w:left="0" w:right="1090" w:firstLine="0"/>
              <w:jc w:val="righ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设备本体刚度不足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16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16"/>
              </w:rPr>
              <w:t>变形</w:t>
            </w:r>
          </w:p>
        </w:tc>
      </w:tr>
      <w:tr>
        <w:trPr>
          <w:trHeight w:hRule="exact" w:val="358"/>
        </w:trPr>
        <w:tc>
          <w:tcPr>
            <w:tcW w:type="dxa" w:w="5448"/>
            <w:tcBorders>
              <w:top w:sz="7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94" w:after="0"/>
              <w:ind w:left="0" w:right="0" w:firstLine="0"/>
              <w:jc w:val="center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撑，避免土体出现坍塌的现象，并及时在地面及洞门口</w:t>
            </w:r>
          </w:p>
        </w:tc>
        <w:tc>
          <w:tcPr>
            <w:tcW w:type="dxa" w:w="492"/>
            <w:tcBorders>
              <w:top w:sz="7.19999999999981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2" w:after="0"/>
              <w:ind w:left="0" w:right="0" w:firstLine="0"/>
              <w:jc w:val="left"/>
            </w:pPr>
            <w:r>
              <w:rPr>
                <w:rFonts w:ascii="ZCQIW2" w:hAnsi="ZCQIW2" w:eastAsia="ZCQIW2"/>
                <w:b w:val="0"/>
                <w:i w:val="0"/>
                <w:color w:val="221F1F"/>
                <w:sz w:val="21"/>
              </w:rPr>
              <w:t>1.3.2</w:t>
            </w:r>
          </w:p>
        </w:tc>
        <w:tc>
          <w:tcPr>
            <w:tcW w:type="dxa" w:w="4356"/>
            <w:gridSpan w:val="2"/>
            <w:tcBorders>
              <w:top w:sz="7.19999999999981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2" w:after="0"/>
              <w:ind w:left="11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始发托架变形风险控制</w:t>
            </w:r>
          </w:p>
        </w:tc>
      </w:tr>
    </w:tbl>
    <w:p>
      <w:pPr>
        <w:autoSpaceDN w:val="0"/>
        <w:autoSpaceDE w:val="0"/>
        <w:widowControl/>
        <w:spacing w:line="14" w:lineRule="exact" w:before="0" w:after="76"/>
        <w:ind w:left="0" w:right="0"/>
      </w:pPr>
    </w:p>
    <w:p>
      <w:pPr>
        <w:sectPr>
          <w:type w:val="continuous"/>
          <w:pgSz w:w="11904" w:h="16440"/>
          <w:pgMar w:top="394" w:right="780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61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水平进行加固注浆，保证土体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必要时启用基坑外的应</w:t>
      </w:r>
    </w:p>
    <w:p>
      <w:pPr>
        <w:sectPr>
          <w:type w:val="continuous"/>
          <w:pgSz w:w="11904" w:h="16440"/>
          <w:pgMar w:top="394" w:right="780" w:bottom="170" w:left="400" w:header="720" w:footer="720" w:gutter="0"/>
          <w:cols w:num="2" w:equalWidth="0">
            <w:col w:w="5818" w:space="0"/>
            <w:col w:w="4906" w:space="0"/>
          </w:cols>
          <w:docGrid w:linePitch="360"/>
        </w:sectPr>
      </w:pPr>
    </w:p>
    <w:p>
      <w:pPr>
        <w:autoSpaceDN w:val="0"/>
        <w:autoSpaceDE w:val="0"/>
        <w:widowControl/>
        <w:spacing w:line="346" w:lineRule="exact" w:before="0" w:after="164"/>
        <w:ind w:left="4236" w:right="0" w:hanging="3886"/>
        <w:jc w:val="left"/>
      </w:pPr>
      <w:r>
        <w:rPr>
          <w:rFonts w:ascii="ZCQIW2" w:hAnsi="ZCQIW2" w:eastAsia="ZCQIW2"/>
          <w:b w:val="0"/>
          <w:i w:val="0"/>
          <w:color w:val="221F1F"/>
          <w:sz w:val="21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）风险特征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盾构在始发时，始发的托架容易发生</w:t>
      </w:r>
      <w:r>
        <w:rPr>
          <w:rFonts w:ascii="ZCQIW2" w:hAnsi="ZCQIW2" w:eastAsia="ZCQIW2"/>
          <w:b w:val="0"/>
          <w:i w:val="0"/>
          <w:color w:val="221F1F"/>
          <w:sz w:val="21"/>
        </w:rPr>
        <w:t>-</w:t>
      </w:r>
      <w:r>
        <w:rPr>
          <w:rFonts w:ascii="ZCQIW2" w:hAnsi="ZCQIW2" w:eastAsia="ZCQIW2"/>
          <w:b w:val="0"/>
          <w:i w:val="0"/>
          <w:color w:val="221F1F"/>
          <w:sz w:val="21"/>
        </w:rPr>
        <w:t>147</w:t>
      </w:r>
      <w:r>
        <w:rPr>
          <w:rFonts w:ascii="ZCQIW2" w:hAnsi="ZCQIW2" w:eastAsia="ZCQIW2"/>
          <w:b w:val="0"/>
          <w:i w:val="0"/>
          <w:color w:val="221F1F"/>
          <w:sz w:val="21"/>
        </w:rPr>
        <w:t>-</w:t>
      </w:r>
    </w:p>
    <w:p>
      <w:pPr>
        <w:sectPr>
          <w:type w:val="nextColumn"/>
          <w:pgSz w:w="11904" w:h="16440"/>
          <w:pgMar w:top="394" w:right="780" w:bottom="170" w:left="400" w:header="720" w:footer="720" w:gutter="0"/>
          <w:cols w:num="2" w:equalWidth="0">
            <w:col w:w="5818" w:space="0"/>
            <w:col w:w="490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440"/>
          <w:pgMar w:top="394" w:right="780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10.0" w:type="dxa"/>
      </w:tblPr>
      <w:tblGrid>
        <w:gridCol w:w="3539"/>
        <w:gridCol w:w="3539"/>
        <w:gridCol w:w="3539"/>
      </w:tblGrid>
      <w:tr>
        <w:trPr>
          <w:trHeight w:hRule="exact" w:val="232"/>
        </w:trPr>
        <w:tc>
          <w:tcPr>
            <w:tcW w:type="dxa" w:w="2130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92" w:after="0"/>
              <w:ind w:left="0" w:right="0" w:firstLine="0"/>
              <w:jc w:val="lef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方法创新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2098" w:firstLine="0"/>
              <w:jc w:val="right"/>
            </w:pPr>
            <w:r>
              <w:rPr>
                <w:w w:val="101.60139869241154"/>
                <w:rFonts w:ascii="方正黑体_GBK" w:hAnsi="方正黑体_GBK" w:eastAsia="方正黑体_GBK"/>
                <w:b w:val="0"/>
                <w:i w:val="0"/>
                <w:color w:val="221F1F"/>
                <w:sz w:val="17"/>
              </w:rPr>
              <w:t>科技创新与应用</w:t>
            </w:r>
          </w:p>
        </w:tc>
        <w:tc>
          <w:tcPr>
            <w:tcW w:type="dxa" w:w="2284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0" w:after="0"/>
              <w:ind w:left="0" w:right="10" w:firstLine="0"/>
              <w:jc w:val="right"/>
            </w:pPr>
            <w:r>
              <w:rPr>
                <w:rFonts w:ascii="ZCQIW3" w:hAnsi="ZCQIW3" w:eastAsia="ZCQIW3"/>
                <w:b w:val="0"/>
                <w:i w:val="0"/>
                <w:color w:val="221F1F"/>
                <w:sz w:val="18"/>
              </w:rPr>
              <w:t>2023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年</w:t>
            </w:r>
            <w:r>
              <w:rPr>
                <w:rFonts w:ascii="ZCQIW3" w:hAnsi="ZCQIW3" w:eastAsia="ZCQIW3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期</w:t>
            </w:r>
          </w:p>
        </w:tc>
      </w:tr>
      <w:tr>
        <w:trPr>
          <w:trHeight w:hRule="exact" w:val="188"/>
        </w:trPr>
        <w:tc>
          <w:tcPr>
            <w:tcW w:type="dxa" w:w="3539"/>
            <w:vMerge/>
            <w:tcBorders>
              <w:bottom w:sz="8.0" w:val="single" w:color="#221F1F"/>
            </w:tcBorders>
          </w:tcPr>
          <w:p/>
        </w:tc>
        <w:tc>
          <w:tcPr>
            <w:tcW w:type="dxa" w:w="556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0" w:right="1310" w:firstLine="0"/>
              <w:jc w:val="right"/>
            </w:pPr>
            <w:r>
              <w:rPr>
                <w:rFonts w:ascii="ZCQIW3" w:hAnsi="ZCQIW3" w:eastAsia="ZCQIW3"/>
                <w:b w:val="0"/>
                <w:i w:val="0"/>
                <w:color w:val="221F1F"/>
                <w:sz w:val="16"/>
              </w:rPr>
              <w:t>Technology Innovation and Application</w:t>
            </w:r>
          </w:p>
        </w:tc>
        <w:tc>
          <w:tcPr>
            <w:tcW w:type="dxa" w:w="3539"/>
            <w:vMerge/>
            <w:tcBorders>
              <w:bottom w:sz="8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pgSz w:w="11904" w:h="16440"/>
          <w:pgMar w:top="394" w:right="8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0" w:after="0"/>
        <w:ind w:left="508" w:right="192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变形的现象，从而导致盾构的掘进轴线和设计的轴线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之间发生偏离，或者会对洞圈的止水效果造成影响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构在接收时，拉坏管片，从而造成各种意外情况发生，例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如渗水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管片环缝等，严重影响到盾构的始发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接收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928" w:val="left"/>
        </w:tabs>
        <w:autoSpaceDE w:val="0"/>
        <w:widowControl/>
        <w:spacing w:line="352" w:lineRule="exact" w:before="0" w:after="0"/>
        <w:ind w:left="508" w:right="0" w:firstLine="0"/>
        <w:jc w:val="left"/>
      </w:pPr>
      <w:r>
        <w:tab/>
      </w:r>
      <w:r>
        <w:rPr>
          <w:rFonts w:ascii="ZCQIW3" w:hAnsi="ZCQIW3" w:eastAsia="ZCQIW3"/>
          <w:b w:val="0"/>
          <w:i w:val="0"/>
          <w:color w:val="221F1F"/>
          <w:sz w:val="21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）产生风险的原因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一是始发托架不够固定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在进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行始发托架设计时，所采用的固定方式不够全面合理，</w:t>
      </w:r>
    </w:p>
    <w:p>
      <w:pPr>
        <w:sectPr>
          <w:type w:val="continuous"/>
          <w:pgSz w:w="11904" w:h="16440"/>
          <w:pgMar w:top="394" w:right="888" w:bottom="170" w:left="400" w:header="720" w:footer="720" w:gutter="0"/>
          <w:cols w:num="2" w:equalWidth="0">
            <w:col w:w="5550" w:space="0"/>
            <w:col w:w="5065" w:space="0"/>
          </w:cols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76"/>
        <w:ind w:left="90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推进油缸编组影响，导致盾构后靠支撑体系出现受力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不均匀现象，进而产生了应力集中的影响，造成了风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险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二是盾构后靠支撑体系的性能不符合要求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例如，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受力作用面和构件的强度不达标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钢构件的焊接强度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不达标等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在进行混凝土填充时，出现填充不密实或者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混凝土强度不达标等问题，进而影响盾构后靠支撑系</w:t>
      </w:r>
    </w:p>
    <w:p>
      <w:pPr>
        <w:sectPr>
          <w:type w:val="nextColumn"/>
          <w:pgSz w:w="11904" w:h="16440"/>
          <w:pgMar w:top="394" w:right="888" w:bottom="170" w:left="400" w:header="720" w:footer="720" w:gutter="0"/>
          <w:cols w:num="2" w:equalWidth="0">
            <w:col w:w="5550" w:space="0"/>
            <w:col w:w="5065" w:space="0"/>
          </w:cols>
          <w:docGrid w:linePitch="360"/>
        </w:sectPr>
      </w:pPr>
    </w:p>
    <w:p>
      <w:pPr>
        <w:autoSpaceDN w:val="0"/>
        <w:tabs>
          <w:tab w:pos="5640" w:val="left"/>
        </w:tabs>
        <w:autoSpaceDE w:val="0"/>
        <w:widowControl/>
        <w:spacing w:line="274" w:lineRule="exact" w:before="0" w:after="76"/>
        <w:ind w:left="50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容易发生各种问题，如底板未垫平的问题，从而导致托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统的作用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440"/>
          <w:pgMar w:top="394" w:right="8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0" w:lineRule="exact" w:before="0" w:after="0"/>
        <w:ind w:left="508" w:right="142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架不够稳定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此外，始发托架的刚度及强度也难以保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证，进而导致托架的稳定性不高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二是存在多次使用始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发托架的现象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由于多次使用，托架会产生损耗，进而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容易发生各种问题，例如钢材生锈等，从而影响托架的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质量和稳定性，导致风险的发生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三是工作人员的影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响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在使用始发托架时，工作人员会私自对托架的结构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进行更改，进而影响托架的稳定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而且许多工作人员并</w:t>
      </w:r>
    </w:p>
    <w:p>
      <w:pPr>
        <w:sectPr>
          <w:type w:val="continuous"/>
          <w:pgSz w:w="11904" w:h="16440"/>
          <w:pgMar w:top="394" w:right="888" w:bottom="170" w:left="400" w:header="720" w:footer="720" w:gutter="0"/>
          <w:cols w:num="2" w:equalWidth="0">
            <w:col w:w="5498" w:space="0"/>
            <w:col w:w="5118" w:space="0"/>
          </w:cols>
          <w:docGrid w:linePitch="360"/>
        </w:sectPr>
      </w:pPr>
    </w:p>
    <w:p>
      <w:pPr>
        <w:autoSpaceDN w:val="0"/>
        <w:autoSpaceDE w:val="0"/>
        <w:widowControl/>
        <w:spacing w:line="340" w:lineRule="exact" w:before="0" w:after="74"/>
        <w:ind w:left="142" w:right="126" w:firstLine="418"/>
        <w:jc w:val="both"/>
      </w:pPr>
      <w:r>
        <w:rPr>
          <w:rFonts w:ascii="ZCQIW3" w:hAnsi="ZCQIW3" w:eastAsia="ZCQIW3"/>
          <w:b w:val="0"/>
          <w:i w:val="0"/>
          <w:color w:val="221F1F"/>
          <w:sz w:val="21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）风险控制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一是确保盾构推进时的受力均匀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作人员要控制好油缸编组，避免出现受力不均匀的问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题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二是提高盾构后靠支撑体系的各项性能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针对体系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构建的强度和刚度，工作人员要做好校验工作，确保构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件的各项性能都符合要求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在进行钢构件焊接时，也要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确保焊接的质量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在进行混凝土填充施工时，必须要确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保填充密实，还要保证混凝土强度符合施工要求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sectPr>
          <w:type w:val="nextColumn"/>
          <w:pgSz w:w="11904" w:h="16440"/>
          <w:pgMar w:top="394" w:right="888" w:bottom="170" w:left="400" w:header="720" w:footer="720" w:gutter="0"/>
          <w:cols w:num="2" w:equalWidth="0">
            <w:col w:w="5498" w:space="0"/>
            <w:col w:w="5118" w:space="0"/>
          </w:cols>
          <w:docGrid w:linePitch="360"/>
        </w:sectPr>
      </w:pPr>
    </w:p>
    <w:p>
      <w:pPr>
        <w:autoSpaceDN w:val="0"/>
        <w:tabs>
          <w:tab w:pos="5640" w:val="left"/>
          <w:tab w:pos="5952" w:val="left"/>
        </w:tabs>
        <w:autoSpaceDE w:val="0"/>
        <w:widowControl/>
        <w:spacing w:line="274" w:lineRule="exact" w:before="0" w:after="0"/>
        <w:ind w:left="50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没有做好托架的专项检查工作，从而造成风险的发生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tab/>
      </w:r>
      <w:r>
        <w:rPr>
          <w:rFonts w:ascii="ZCQIW3" w:hAnsi="ZCQIW3" w:eastAsia="ZCQIW3"/>
          <w:b w:val="0"/>
          <w:i w:val="0"/>
          <w:color w:val="221F1F"/>
          <w:sz w:val="21"/>
        </w:rPr>
        <w:t>2</w:t>
      </w:r>
      <w:r>
        <w:tab/>
      </w:r>
      <w:r>
        <w:rPr>
          <w:w w:val="98.97574424743652"/>
          <w:rFonts w:ascii="方正黑体_GBK" w:hAnsi="方正黑体_GBK" w:eastAsia="方正黑体_GBK"/>
          <w:b w:val="0"/>
          <w:i w:val="0"/>
          <w:color w:val="221F1F"/>
          <w:sz w:val="20"/>
        </w:rPr>
        <w:t>质量</w:t>
      </w:r>
      <w:r>
        <w:rPr>
          <w:w w:val="98.97574424743652"/>
          <w:rFonts w:ascii="ZCQIW3" w:hAnsi="ZCQIW3" w:eastAsia="ZCQIW3"/>
          <w:b w:val="0"/>
          <w:i w:val="0"/>
          <w:color w:val="221F1F"/>
          <w:sz w:val="20"/>
        </w:rPr>
        <w:t>、</w:t>
      </w:r>
      <w:r>
        <w:rPr>
          <w:w w:val="98.97574424743652"/>
          <w:rFonts w:ascii="方正黑体_GBK" w:hAnsi="方正黑体_GBK" w:eastAsia="方正黑体_GBK"/>
          <w:b w:val="0"/>
          <w:i w:val="0"/>
          <w:color w:val="221F1F"/>
          <w:sz w:val="20"/>
        </w:rPr>
        <w:t>环保保证措施</w:t>
      </w:r>
    </w:p>
    <w:p>
      <w:pPr>
        <w:autoSpaceDN w:val="0"/>
        <w:tabs>
          <w:tab w:pos="5640" w:val="left"/>
          <w:tab w:pos="6102" w:val="left"/>
        </w:tabs>
        <w:autoSpaceDE w:val="0"/>
        <w:widowControl/>
        <w:spacing w:line="274" w:lineRule="exact" w:before="78" w:after="0"/>
        <w:ind w:left="928" w:right="0" w:firstLine="0"/>
        <w:jc w:val="left"/>
      </w:pPr>
      <w:r>
        <w:rPr>
          <w:rFonts w:ascii="ZCQIW3" w:hAnsi="ZCQIW3" w:eastAsia="ZCQIW3"/>
          <w:b w:val="0"/>
          <w:i w:val="0"/>
          <w:color w:val="221F1F"/>
          <w:sz w:val="21"/>
        </w:rPr>
        <w:t>3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）风险控制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一是选择恰当的始发托架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在选择</w:t>
      </w:r>
      <w:r>
        <w:tab/>
      </w:r>
      <w:r>
        <w:rPr>
          <w:rFonts w:ascii="ZCQIW3" w:hAnsi="ZCQIW3" w:eastAsia="ZCQIW3"/>
          <w:b w:val="0"/>
          <w:i w:val="0"/>
          <w:color w:val="221F1F"/>
          <w:sz w:val="21"/>
        </w:rPr>
        <w:t>2.1</w:t>
      </w:r>
      <w:r>
        <w:tab/>
      </w:r>
      <w:r>
        <w:rPr>
          <w:w w:val="98.97574424743652"/>
          <w:rFonts w:ascii="方正黑体_GBK" w:hAnsi="方正黑体_GBK" w:eastAsia="方正黑体_GBK"/>
          <w:b w:val="0"/>
          <w:i w:val="0"/>
          <w:color w:val="221F1F"/>
          <w:sz w:val="20"/>
        </w:rPr>
        <w:t>质量保证措施</w:t>
      </w:r>
    </w:p>
    <w:p>
      <w:pPr>
        <w:autoSpaceDN w:val="0"/>
        <w:tabs>
          <w:tab w:pos="5640" w:val="left"/>
          <w:tab w:pos="6244" w:val="left"/>
        </w:tabs>
        <w:autoSpaceDE w:val="0"/>
        <w:widowControl/>
        <w:spacing w:line="276" w:lineRule="exact" w:before="76" w:after="76"/>
        <w:ind w:left="50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时，工作人员要对托架的基座结构进行检查，确保该结</w:t>
      </w:r>
      <w:r>
        <w:tab/>
      </w:r>
      <w:r>
        <w:rPr>
          <w:rFonts w:ascii="ZCQIW3" w:hAnsi="ZCQIW3" w:eastAsia="ZCQIW3"/>
          <w:b w:val="0"/>
          <w:i w:val="0"/>
          <w:color w:val="221F1F"/>
          <w:sz w:val="21"/>
        </w:rPr>
        <w:t>2.1.1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盾构机始发质量保证措施</w:t>
      </w:r>
    </w:p>
    <w:p>
      <w:pPr>
        <w:sectPr>
          <w:type w:val="continuous"/>
          <w:pgSz w:w="11904" w:h="16440"/>
          <w:pgMar w:top="394" w:right="8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2" w:lineRule="exact" w:before="0" w:after="0"/>
        <w:ind w:left="508" w:right="142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构的强度和刚度能够符合盾构的工作需要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例如，要确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保托架能够承受土体在加固时所形成的反向推力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选择时，工作人员要做好检查工作，必须要确保托架底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板垫平，底板的接触面积要符合基座的安放要求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二是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做好始发托架的维修工作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由于许多始发托架都存在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多次使用的现象，工作人员必须要定期做好托架的检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查和维修工作，确保始发托架的强度和刚度都能够符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合相关的要求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440"/>
          <w:pgMar w:top="394" w:right="888" w:bottom="170" w:left="400" w:header="720" w:footer="720" w:gutter="0"/>
          <w:cols w:num="2" w:equalWidth="0">
            <w:col w:w="5498" w:space="0"/>
            <w:col w:w="5118" w:space="0"/>
          </w:cols>
          <w:docGrid w:linePitch="360"/>
        </w:sectPr>
      </w:pPr>
    </w:p>
    <w:p>
      <w:pPr>
        <w:autoSpaceDN w:val="0"/>
        <w:autoSpaceDE w:val="0"/>
        <w:widowControl/>
        <w:spacing w:line="342" w:lineRule="exact" w:before="0" w:after="76"/>
        <w:ind w:left="142" w:right="0" w:firstLine="418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要确保盾构机的始发质量：第一，需要做好洞口橡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胶止水条的检查，保证安装质量；第二，做好洞圈混凝土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的质量检查，保证混凝土的捣固质量和密封性；第三，做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好管片和洞圈间隙的填充质量，应当使用硬性浆进行填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充；第四，做好监督工作，专职质检员要做好洞门封堵的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全过程监督工作，并且对封堵质量进行跟踪检查；最后，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控制好盾构的性能指标，特别是强度和刚度要求，确保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构件所有指标都达到施工要求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sectPr>
          <w:type w:val="nextColumn"/>
          <w:pgSz w:w="11904" w:h="16440"/>
          <w:pgMar w:top="394" w:right="888" w:bottom="170" w:left="400" w:header="720" w:footer="720" w:gutter="0"/>
          <w:cols w:num="2" w:equalWidth="0">
            <w:col w:w="5498" w:space="0"/>
            <w:col w:w="51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539"/>
        <w:gridCol w:w="3539"/>
        <w:gridCol w:w="3539"/>
      </w:tblGrid>
      <w:tr>
        <w:trPr>
          <w:trHeight w:hRule="exact" w:val="254"/>
        </w:trPr>
        <w:tc>
          <w:tcPr>
            <w:tcW w:type="dxa" w:w="5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468" w:right="0" w:firstLine="0"/>
              <w:jc w:val="left"/>
            </w:pPr>
            <w:r>
              <w:rPr>
                <w:rFonts w:ascii="ZCQIW3" w:hAnsi="ZCQIW3" w:eastAsia="ZCQIW3"/>
                <w:b w:val="0"/>
                <w:i w:val="0"/>
                <w:color w:val="221F1F"/>
                <w:sz w:val="21"/>
              </w:rPr>
              <w:t>4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）风险产生后补救措施，做好修补加固工作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由于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52" w:after="0"/>
              <w:ind w:left="0" w:right="0" w:firstLine="0"/>
              <w:jc w:val="center"/>
            </w:pPr>
            <w:r>
              <w:rPr>
                <w:rFonts w:ascii="ZCQIW3" w:hAnsi="ZCQIW3" w:eastAsia="ZCQIW3"/>
                <w:b w:val="0"/>
                <w:i w:val="0"/>
                <w:color w:val="221F1F"/>
                <w:sz w:val="21"/>
              </w:rPr>
              <w:t>2.1.2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盾构推进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、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同步注浆质量保证措施</w:t>
            </w:r>
          </w:p>
        </w:tc>
      </w:tr>
    </w:tbl>
    <w:p>
      <w:pPr>
        <w:autoSpaceDN w:val="0"/>
        <w:autoSpaceDE w:val="0"/>
        <w:widowControl/>
        <w:spacing w:line="14" w:lineRule="exact" w:before="0" w:after="76"/>
        <w:ind w:left="0" w:right="0"/>
      </w:pPr>
    </w:p>
    <w:p>
      <w:pPr>
        <w:sectPr>
          <w:type w:val="continuous"/>
          <w:pgSz w:w="11904" w:h="16440"/>
          <w:pgMar w:top="394" w:right="8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0"/>
        <w:ind w:left="508" w:right="14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托架的多次使用，托架的部分构件容易发生变形或者损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坏的现象，所以工作人员不仅要定期进行检查，还要及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时维修，针对损坏的构件，要做好修补和加固工作，保证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托架的稳定性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当发现托架出现严重的变形现象时，工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作人员要及时将盾构脱离出托架，然后再对托架进行修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补和加固处理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sectPr>
          <w:type w:val="continuous"/>
          <w:pgSz w:w="11904" w:h="16440"/>
          <w:pgMar w:top="394" w:right="888" w:bottom="170" w:left="400" w:header="720" w:footer="720" w:gutter="0"/>
          <w:cols w:num="2" w:equalWidth="0">
            <w:col w:w="5498" w:space="0"/>
            <w:col w:w="5118" w:space="0"/>
          </w:cols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78"/>
        <w:ind w:left="142" w:right="124" w:firstLine="418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要确保盾构推进和同步注浆质量：第一，做好对施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工人员的专业培训，保证施工质量；第二，做好盾构的测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量工作，不仅要进行自动测量工作，还要做好人工校正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工作；第三，做好注浆质量和推进进度的控制，确保推进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和注浆过程中各项压力的平衡性；第四，加强对施工过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程的控制，例如制定详细的注浆过程及控制程序，并且</w:t>
      </w:r>
    </w:p>
    <w:p>
      <w:pPr>
        <w:sectPr>
          <w:type w:val="nextColumn"/>
          <w:pgSz w:w="11904" w:h="16440"/>
          <w:pgMar w:top="394" w:right="888" w:bottom="170" w:left="400" w:header="720" w:footer="720" w:gutter="0"/>
          <w:cols w:num="2" w:equalWidth="0">
            <w:col w:w="5498" w:space="0"/>
            <w:col w:w="51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2654"/>
        <w:gridCol w:w="2654"/>
        <w:gridCol w:w="2654"/>
        <w:gridCol w:w="2654"/>
      </w:tblGrid>
      <w:tr>
        <w:trPr>
          <w:trHeight w:hRule="exact" w:val="300"/>
        </w:trPr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0" w:right="8" w:firstLine="0"/>
              <w:jc w:val="right"/>
            </w:pPr>
            <w:r>
              <w:rPr>
                <w:rFonts w:ascii="ZCQIW3" w:hAnsi="ZCQIW3" w:eastAsia="ZCQIW3"/>
                <w:b w:val="0"/>
                <w:i w:val="0"/>
                <w:color w:val="221F1F"/>
                <w:sz w:val="21"/>
              </w:rPr>
              <w:t>1.3.3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9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盾构后靠支撑系统变形风险控制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60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成立专门的队伍来开展工作，保证注浆质量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</w:p>
        </w:tc>
      </w:tr>
      <w:tr>
        <w:trPr>
          <w:trHeight w:hRule="exact" w:val="304"/>
        </w:trPr>
        <w:tc>
          <w:tcPr>
            <w:tcW w:type="dxa" w:w="2654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0" w:after="0"/>
              <w:ind w:left="8" w:right="0" w:firstLine="0"/>
              <w:jc w:val="left"/>
            </w:pPr>
            <w:r>
              <w:rPr>
                <w:rFonts w:ascii="ZCQIW3" w:hAnsi="ZCQIW3" w:eastAsia="ZCQIW3"/>
                <w:b w:val="0"/>
                <w:i w:val="0"/>
                <w:color w:val="221F1F"/>
                <w:sz w:val="21"/>
              </w:rPr>
              <w:t>1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）风险特征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由于受到盾构推进顶力的影响，盾构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02" w:after="0"/>
              <w:ind w:left="0" w:right="0" w:firstLine="0"/>
              <w:jc w:val="center"/>
            </w:pPr>
            <w:r>
              <w:rPr>
                <w:rFonts w:ascii="ZCQIW3" w:hAnsi="ZCQIW3" w:eastAsia="ZCQIW3"/>
                <w:b w:val="0"/>
                <w:i w:val="0"/>
                <w:color w:val="221F1F"/>
                <w:sz w:val="21"/>
              </w:rPr>
              <w:t>2.1.3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0" w:after="0"/>
              <w:ind w:left="104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隧道轴线质量保证措施</w:t>
            </w:r>
          </w:p>
        </w:tc>
      </w:tr>
    </w:tbl>
    <w:p>
      <w:pPr>
        <w:autoSpaceDN w:val="0"/>
        <w:autoSpaceDE w:val="0"/>
        <w:widowControl/>
        <w:spacing w:line="14" w:lineRule="exact" w:before="0" w:after="76"/>
        <w:ind w:left="0" w:right="0"/>
      </w:pPr>
    </w:p>
    <w:p>
      <w:pPr>
        <w:sectPr>
          <w:type w:val="continuous"/>
          <w:pgSz w:w="11904" w:h="16440"/>
          <w:pgMar w:top="394" w:right="8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50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在始发时，会出现支撑问题，例如发生局部变形或者出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现位移过大的现象，这些问题都会对盾构的后靠支撑系</w:t>
      </w:r>
    </w:p>
    <w:p>
      <w:pPr>
        <w:sectPr>
          <w:type w:val="continuous"/>
          <w:pgSz w:w="11904" w:h="16440"/>
          <w:pgMar w:top="394" w:right="888" w:bottom="170" w:left="400" w:header="720" w:footer="720" w:gutter="0"/>
          <w:cols w:num="2" w:equalWidth="0">
            <w:col w:w="5498" w:space="0"/>
            <w:col w:w="5118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76"/>
        <w:ind w:left="142" w:right="0" w:firstLine="418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测量在每环拼装后进行，做到勤测勤纠，避免误差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积累；曲线段选择合适的管片；隧道衬砌每循环都要测</w:t>
      </w:r>
    </w:p>
    <w:p>
      <w:pPr>
        <w:sectPr>
          <w:type w:val="nextColumn"/>
          <w:pgSz w:w="11904" w:h="16440"/>
          <w:pgMar w:top="394" w:right="888" w:bottom="170" w:left="400" w:header="720" w:footer="720" w:gutter="0"/>
          <w:cols w:num="2" w:equalWidth="0">
            <w:col w:w="5498" w:space="0"/>
            <w:col w:w="5118" w:space="0"/>
          </w:cols>
          <w:docGrid w:linePitch="360"/>
        </w:sectPr>
      </w:pPr>
    </w:p>
    <w:p>
      <w:pPr>
        <w:autoSpaceDN w:val="0"/>
        <w:tabs>
          <w:tab w:pos="5640" w:val="left"/>
        </w:tabs>
        <w:autoSpaceDE w:val="0"/>
        <w:widowControl/>
        <w:spacing w:line="274" w:lineRule="exact" w:before="0" w:after="0"/>
        <w:ind w:left="50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统造成严重的影响，导致管片出现碎裂的现象，或者盾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量盾尾间隙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5640" w:val="left"/>
          <w:tab w:pos="6244" w:val="left"/>
        </w:tabs>
        <w:autoSpaceDE w:val="0"/>
        <w:widowControl/>
        <w:spacing w:line="274" w:lineRule="exact" w:before="78" w:after="0"/>
        <w:ind w:left="50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构轴线出现超标的现象等，进而导致洞口出现水土流失</w:t>
      </w:r>
      <w:r>
        <w:tab/>
      </w:r>
      <w:r>
        <w:rPr>
          <w:rFonts w:ascii="ZCQIW3" w:hAnsi="ZCQIW3" w:eastAsia="ZCQIW3"/>
          <w:b w:val="0"/>
          <w:i w:val="0"/>
          <w:color w:val="221F1F"/>
          <w:sz w:val="21"/>
        </w:rPr>
        <w:t>2.1.4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管片拼装质量保证措施</w:t>
      </w:r>
    </w:p>
    <w:p>
      <w:pPr>
        <w:autoSpaceDN w:val="0"/>
        <w:tabs>
          <w:tab w:pos="6058" w:val="left"/>
        </w:tabs>
        <w:autoSpaceDE w:val="0"/>
        <w:widowControl/>
        <w:spacing w:line="274" w:lineRule="exact" w:before="76" w:after="76"/>
        <w:ind w:left="50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现象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tab/>
      </w:r>
      <w:r>
        <w:rPr>
          <w:rFonts w:ascii="ZCQIW3" w:hAnsi="ZCQIW3" w:eastAsia="ZCQIW3"/>
          <w:b w:val="0"/>
          <w:i w:val="0"/>
          <w:color w:val="221F1F"/>
          <w:sz w:val="21"/>
        </w:rPr>
        <w:t>①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做好管片材料的安装和运输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做好管片安装位置</w:t>
      </w:r>
    </w:p>
    <w:p>
      <w:pPr>
        <w:sectPr>
          <w:type w:val="continuous"/>
          <w:pgSz w:w="11904" w:h="16440"/>
          <w:pgMar w:top="394" w:right="888" w:bottom="170" w:left="400" w:header="720" w:footer="720" w:gutter="0"/>
          <w:cols/>
          <w:docGrid w:linePitch="360"/>
        </w:sectPr>
      </w:pPr>
    </w:p>
    <w:p>
      <w:pPr>
        <w:autoSpaceDN w:val="0"/>
        <w:tabs>
          <w:tab w:pos="620" w:val="left"/>
          <w:tab w:pos="928" w:val="left"/>
          <w:tab w:pos="934" w:val="left"/>
        </w:tabs>
        <w:autoSpaceDE w:val="0"/>
        <w:widowControl/>
        <w:spacing w:line="330" w:lineRule="exact" w:before="0" w:after="0"/>
        <w:ind w:left="506" w:right="0" w:firstLine="0"/>
        <w:jc w:val="left"/>
      </w:pPr>
      <w:r>
        <w:tab/>
      </w:r>
      <w:r>
        <w:tab/>
      </w:r>
      <w:r>
        <w:rPr>
          <w:rFonts w:ascii="ZCQIW3" w:hAnsi="ZCQIW3" w:eastAsia="ZCQIW3"/>
          <w:b w:val="0"/>
          <w:i w:val="0"/>
          <w:color w:val="221F1F"/>
          <w:sz w:val="21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）产生风险的原因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一是盾构推力过大，或受始发</w:t>
      </w:r>
      <w:r>
        <w:rPr>
          <w:rFonts w:ascii="ZCQIW3" w:hAnsi="ZCQIW3" w:eastAsia="ZCQIW3"/>
          <w:b w:val="0"/>
          <w:i w:val="0"/>
          <w:color w:val="221F1F"/>
          <w:sz w:val="21"/>
        </w:rPr>
        <w:t>-</w:t>
      </w:r>
      <w:r>
        <w:rPr>
          <w:rFonts w:ascii="ZCQIW3" w:hAnsi="ZCQIW3" w:eastAsia="ZCQIW3"/>
          <w:b w:val="0"/>
          <w:i w:val="0"/>
          <w:color w:val="221F1F"/>
          <w:sz w:val="21"/>
        </w:rPr>
        <w:t>148</w:t>
      </w:r>
      <w:r>
        <w:rPr>
          <w:rFonts w:ascii="ZCQIW3" w:hAnsi="ZCQIW3" w:eastAsia="ZCQIW3"/>
          <w:b w:val="0"/>
          <w:i w:val="0"/>
          <w:color w:val="221F1F"/>
          <w:sz w:val="21"/>
        </w:rPr>
        <w:t>-</w:t>
      </w:r>
    </w:p>
    <w:p>
      <w:pPr>
        <w:sectPr>
          <w:type w:val="continuous"/>
          <w:pgSz w:w="11904" w:h="16440"/>
          <w:pgMar w:top="394" w:right="888" w:bottom="170" w:left="400" w:header="720" w:footer="720" w:gutter="0"/>
          <w:cols w:num="2" w:equalWidth="0">
            <w:col w:w="5498" w:space="0"/>
            <w:col w:w="5118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552"/>
        <w:ind w:left="0" w:right="0" w:firstLine="0"/>
        <w:jc w:val="center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的选择，并且确保拟合设计路线和盾构机姿态之间的相</w:t>
      </w:r>
    </w:p>
    <w:p>
      <w:pPr>
        <w:sectPr>
          <w:type w:val="nextColumn"/>
          <w:pgSz w:w="11904" w:h="16440"/>
          <w:pgMar w:top="394" w:right="888" w:bottom="170" w:left="400" w:header="720" w:footer="720" w:gutter="0"/>
          <w:cols w:num="2" w:equalWidth="0">
            <w:col w:w="5498" w:space="0"/>
            <w:col w:w="51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440"/>
          <w:pgMar w:top="394" w:right="88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2.0" w:type="dxa"/>
      </w:tblPr>
      <w:tblGrid>
        <w:gridCol w:w="3569"/>
        <w:gridCol w:w="3569"/>
        <w:gridCol w:w="3569"/>
      </w:tblGrid>
      <w:tr>
        <w:trPr>
          <w:trHeight w:hRule="exact" w:val="232"/>
        </w:trPr>
        <w:tc>
          <w:tcPr>
            <w:tcW w:type="dxa" w:w="2238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90" w:after="0"/>
              <w:ind w:left="0" w:right="0" w:firstLine="0"/>
              <w:jc w:val="left"/>
            </w:pPr>
            <w:r>
              <w:rPr>
                <w:rFonts w:ascii="ZCQIW3" w:hAnsi="ZCQIW3" w:eastAsia="ZCQIW3"/>
                <w:b w:val="0"/>
                <w:i w:val="0"/>
                <w:color w:val="221F1F"/>
                <w:sz w:val="18"/>
              </w:rPr>
              <w:t>2023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年</w:t>
            </w:r>
            <w:r>
              <w:rPr>
                <w:rFonts w:ascii="ZCQIW3" w:hAnsi="ZCQIW3" w:eastAsia="ZCQIW3"/>
                <w:b w:val="0"/>
                <w:i w:val="0"/>
                <w:color w:val="221F1F"/>
                <w:sz w:val="18"/>
              </w:rPr>
              <w:t>4</w:t>
            </w: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 xml:space="preserve"> 期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2224" w:firstLine="0"/>
              <w:jc w:val="right"/>
            </w:pPr>
            <w:r>
              <w:rPr>
                <w:w w:val="101.60139869241154"/>
                <w:rFonts w:ascii="方正黑体_GBK" w:hAnsi="方正黑体_GBK" w:eastAsia="方正黑体_GBK"/>
                <w:b w:val="0"/>
                <w:i w:val="0"/>
                <w:color w:val="221F1F"/>
                <w:sz w:val="17"/>
              </w:rPr>
              <w:t>科技创新与应用</w:t>
            </w:r>
          </w:p>
        </w:tc>
        <w:tc>
          <w:tcPr>
            <w:tcW w:type="dxa" w:w="2158"/>
            <w:vMerge w:val="restart"/>
            <w:tcBorders>
              <w:bottom w:sz="8.0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92" w:after="0"/>
              <w:ind w:left="0" w:right="10" w:firstLine="0"/>
              <w:jc w:val="right"/>
            </w:pPr>
            <w:r>
              <w:rPr>
                <w:w w:val="103.09973955154419"/>
                <w:rFonts w:ascii="方正黑体_GBK" w:hAnsi="方正黑体_GBK" w:eastAsia="方正黑体_GBK"/>
                <w:b w:val="0"/>
                <w:i w:val="0"/>
                <w:color w:val="221F1F"/>
                <w:sz w:val="16"/>
              </w:rPr>
              <w:t>方法创新</w:t>
            </w:r>
          </w:p>
        </w:tc>
      </w:tr>
      <w:tr>
        <w:trPr>
          <w:trHeight w:hRule="exact" w:val="188"/>
        </w:trPr>
        <w:tc>
          <w:tcPr>
            <w:tcW w:type="dxa" w:w="3569"/>
            <w:vMerge/>
            <w:tcBorders>
              <w:bottom w:sz="8.0" w:val="single" w:color="#221F1F"/>
            </w:tcBorders>
          </w:tcPr>
          <w:p/>
        </w:tc>
        <w:tc>
          <w:tcPr>
            <w:tcW w:type="dxa" w:w="5580"/>
            <w:tcBorders>
              <w:bottom w:sz="8.0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1348" w:right="0" w:firstLine="0"/>
              <w:jc w:val="left"/>
            </w:pPr>
            <w:r>
              <w:rPr>
                <w:rFonts w:ascii="ZCQIW3" w:hAnsi="ZCQIW3" w:eastAsia="ZCQIW3"/>
                <w:b w:val="0"/>
                <w:i w:val="0"/>
                <w:color w:val="221F1F"/>
                <w:sz w:val="16"/>
              </w:rPr>
              <w:t>Technology Innovation and Application</w:t>
            </w:r>
          </w:p>
        </w:tc>
        <w:tc>
          <w:tcPr>
            <w:tcW w:type="dxa" w:w="3569"/>
            <w:vMerge/>
            <w:tcBorders>
              <w:bottom w:sz="8.0" w:val="single" w:color="#221F1F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136"/>
        <w:ind w:left="0" w:right="0"/>
      </w:pPr>
    </w:p>
    <w:p>
      <w:pPr>
        <w:sectPr>
          <w:pgSz w:w="11904" w:h="16440"/>
          <w:pgMar w:top="394" w:right="79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0"/>
        <w:ind w:left="618" w:right="14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符性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为了保证运输质量，工作人员需要制定科学可行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的运输方案，并且做好各项预备工作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严格按规范和设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计要求正确安装管片防水材料，加强管片运输过程保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护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ZCQIW3" w:hAnsi="ZCQIW3" w:eastAsia="ZCQIW3"/>
          <w:b w:val="0"/>
          <w:i w:val="0"/>
          <w:color w:val="221F1F"/>
          <w:sz w:val="21"/>
        </w:rPr>
        <w:t>②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防止已拼装管片错台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首先安装管片时要做到该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环第一块管片与前一环的管片接触紧密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ZCQIW3" w:hAnsi="ZCQIW3" w:eastAsia="ZCQIW3"/>
          <w:b w:val="0"/>
          <w:i w:val="0"/>
          <w:color w:val="221F1F"/>
          <w:sz w:val="21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片管片的曲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面要横向水平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ZCQIW3" w:hAnsi="ZCQIW3" w:eastAsia="ZCQIW3"/>
          <w:b w:val="0"/>
          <w:i w:val="0"/>
          <w:color w:val="221F1F"/>
          <w:sz w:val="21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个连接螺栓孔三角必须对齐；然后注意</w:t>
      </w:r>
    </w:p>
    <w:p>
      <w:pPr>
        <w:sectPr>
          <w:type w:val="continuous"/>
          <w:pgSz w:w="11904" w:h="16440"/>
          <w:pgMar w:top="394" w:right="798" w:bottom="170" w:left="400" w:header="720" w:footer="720" w:gutter="0"/>
          <w:cols w:num="2" w:equalWidth="0">
            <w:col w:w="5608" w:space="0"/>
            <w:col w:w="5098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70"/>
        <w:ind w:left="142" w:right="108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影响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第二，严格控制好施工声音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施工人员应当尽量使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用低噪声的机械和设备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如果要使用强噪声的施工设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备，应当搭建好封闭式的机棚，机棚的位置应当尽量远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离居民住宅区，避免对周边居民造成噪声污染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针对夜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间的作业，也要严格控制好声音，如夜间的运输车辆应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当禁止鸣笛，而且要轻拿轻放施工材料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sectPr>
          <w:type w:val="nextColumn"/>
          <w:pgSz w:w="11904" w:h="16440"/>
          <w:pgMar w:top="394" w:right="798" w:bottom="170" w:left="400" w:header="720" w:footer="720" w:gutter="0"/>
          <w:cols w:num="2" w:equalWidth="0">
            <w:col w:w="5608" w:space="0"/>
            <w:col w:w="50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569"/>
        <w:gridCol w:w="3569"/>
        <w:gridCol w:w="3569"/>
      </w:tblGrid>
      <w:tr>
        <w:trPr>
          <w:trHeight w:hRule="exact" w:val="280"/>
        </w:trPr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6" w:after="0"/>
              <w:ind w:left="31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其他顺序，要先抵油缸，再穿螺栓，最后松开管片安装机</w:t>
            </w:r>
            <w:r>
              <w:rPr>
                <w:rFonts w:ascii="ZCQIV1" w:hAnsi="ZCQIV1" w:eastAsia="ZCQIV1"/>
                <w:b w:val="0"/>
                <w:i w:val="0"/>
                <w:color w:val="221F1F"/>
                <w:sz w:val="21"/>
              </w:rPr>
              <w:t>。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0" w:right="0" w:firstLine="0"/>
              <w:jc w:val="center"/>
            </w:pPr>
            <w:r>
              <w:rPr>
                <w:rFonts w:ascii="ZCQIW3" w:hAnsi="ZCQIW3" w:eastAsia="ZCQIW3"/>
                <w:b w:val="0"/>
                <w:i w:val="0"/>
                <w:color w:val="221F1F"/>
                <w:sz w:val="21"/>
              </w:rPr>
              <w:t>2.2.3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大气污染控制措施</w:t>
            </w:r>
          </w:p>
        </w:tc>
      </w:tr>
    </w:tbl>
    <w:p>
      <w:pPr>
        <w:autoSpaceDN w:val="0"/>
        <w:autoSpaceDE w:val="0"/>
        <w:widowControl/>
        <w:spacing w:line="14" w:lineRule="exact" w:before="0" w:after="76"/>
        <w:ind w:left="0" w:right="0"/>
      </w:pPr>
    </w:p>
    <w:p>
      <w:pPr>
        <w:sectPr>
          <w:type w:val="continuous"/>
          <w:pgSz w:w="11904" w:h="16440"/>
          <w:pgMar w:top="394" w:right="79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0"/>
        <w:ind w:left="618" w:right="140" w:firstLine="0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要求管片纵缝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环缝错台不能超过</w:t>
      </w:r>
      <w:r>
        <w:rPr>
          <w:rFonts w:ascii="ZCQIW3" w:hAnsi="ZCQIW3" w:eastAsia="ZCQIW3"/>
          <w:b w:val="0"/>
          <w:i w:val="0"/>
          <w:color w:val="221F1F"/>
          <w:sz w:val="21"/>
        </w:rPr>
        <w:t>2 mm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ZCQIW3" w:hAnsi="ZCQIW3" w:eastAsia="ZCQIW3"/>
          <w:b w:val="0"/>
          <w:i w:val="0"/>
          <w:color w:val="221F1F"/>
          <w:sz w:val="21"/>
        </w:rPr>
        <w:t>③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防止已拼装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管片不破损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要求顶油缸时按照顺序进行施工，顶油缸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的顺序为先中间后两边，待</w:t>
      </w:r>
      <w:r>
        <w:rPr>
          <w:rFonts w:ascii="ZCQIW3" w:hAnsi="ZCQIW3" w:eastAsia="ZCQIW3"/>
          <w:b w:val="0"/>
          <w:i w:val="0"/>
          <w:color w:val="221F1F"/>
          <w:sz w:val="21"/>
        </w:rPr>
        <w:t>F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块装好后，必须从</w:t>
      </w:r>
      <w:r>
        <w:rPr>
          <w:rFonts w:ascii="ZCQIW3" w:hAnsi="ZCQIW3" w:eastAsia="ZCQIW3"/>
          <w:b w:val="0"/>
          <w:i w:val="0"/>
          <w:color w:val="221F1F"/>
          <w:sz w:val="21"/>
        </w:rPr>
        <w:t>1</w:t>
      </w:r>
      <w:r>
        <w:rPr>
          <w:rFonts w:ascii="ZCQIV1" w:hAnsi="ZCQIV1" w:eastAsia="ZCQIV1"/>
          <w:b w:val="0"/>
          <w:i w:val="0"/>
          <w:color w:val="221F1F"/>
          <w:sz w:val="21"/>
        </w:rPr>
        <w:t>—</w:t>
      </w:r>
      <w:r>
        <w:rPr>
          <w:rFonts w:ascii="ZCQIW3" w:hAnsi="ZCQIW3" w:eastAsia="ZCQIW3"/>
          <w:b w:val="0"/>
          <w:i w:val="0"/>
          <w:color w:val="221F1F"/>
          <w:sz w:val="21"/>
        </w:rPr>
        <w:t>16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号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整体检查一遍所有油缸是否顶完顶紧，确保每根油缸都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给管片作用力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ZCQIW3" w:hAnsi="ZCQIW3" w:eastAsia="ZCQIW3"/>
          <w:b w:val="0"/>
          <w:i w:val="0"/>
          <w:color w:val="221F1F"/>
          <w:sz w:val="21"/>
        </w:rPr>
        <w:t>④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防止已拼装管片漏水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要求止水条用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专用胶水正确粘贴牢固，如发现已粘贴好的止水条遇水</w:t>
      </w:r>
    </w:p>
    <w:p>
      <w:pPr>
        <w:sectPr>
          <w:type w:val="continuous"/>
          <w:pgSz w:w="11904" w:h="16440"/>
          <w:pgMar w:top="394" w:right="798" w:bottom="170" w:left="400" w:header="720" w:footer="720" w:gutter="0"/>
          <w:cols w:num="2" w:equalWidth="0">
            <w:col w:w="5608" w:space="0"/>
            <w:col w:w="5098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72"/>
        <w:ind w:left="142" w:right="106" w:firstLine="418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在施工过程中，也会造成大气污染，因此施工人员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要制定相应的控制措施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例如，在施工现场，要设置密闭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式的垃圾站，并且定期清运垃圾，要对施工材料进行遮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盖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施工中，要优先选用电动机械，尽量减少内燃机械对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空气的污染，并指派专职人员每天用环境检测仪器负责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检测空气质量，并及时汇报和处理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sectPr>
          <w:type w:val="nextColumn"/>
          <w:pgSz w:w="11904" w:h="16440"/>
          <w:pgMar w:top="394" w:right="798" w:bottom="170" w:left="400" w:header="720" w:footer="720" w:gutter="0"/>
          <w:cols w:num="2" w:equalWidth="0">
            <w:col w:w="5608" w:space="0"/>
            <w:col w:w="50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569"/>
        <w:gridCol w:w="3569"/>
        <w:gridCol w:w="3569"/>
      </w:tblGrid>
      <w:tr>
        <w:trPr>
          <w:trHeight w:hRule="exact" w:val="308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54" w:after="0"/>
              <w:ind w:left="318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泡涨后须立即更换；在装管片连接螺栓时，两头的密封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2" w:after="0"/>
              <w:ind w:left="0" w:right="0" w:firstLine="0"/>
              <w:jc w:val="center"/>
            </w:pPr>
            <w:r>
              <w:rPr>
                <w:rFonts w:ascii="ZCQIW3" w:hAnsi="ZCQIW3" w:eastAsia="ZCQIW3"/>
                <w:b w:val="0"/>
                <w:i w:val="0"/>
                <w:color w:val="221F1F"/>
                <w:sz w:val="21"/>
              </w:rPr>
              <w:t>2.2.4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12" w:right="0" w:firstLine="0"/>
              <w:jc w:val="left"/>
            </w:pPr>
            <w:r>
              <w:rPr>
                <w:rFonts w:ascii="方正书宋_GBK" w:hAnsi="方正书宋_GBK" w:eastAsia="方正书宋_GBK"/>
                <w:b w:val="0"/>
                <w:i w:val="0"/>
                <w:color w:val="221F1F"/>
                <w:sz w:val="21"/>
              </w:rPr>
              <w:t>水污染控制措施</w:t>
            </w:r>
          </w:p>
        </w:tc>
      </w:tr>
    </w:tbl>
    <w:p>
      <w:pPr>
        <w:autoSpaceDN w:val="0"/>
        <w:autoSpaceDE w:val="0"/>
        <w:widowControl/>
        <w:spacing w:line="14" w:lineRule="exact" w:before="0" w:after="74"/>
        <w:ind w:left="0" w:right="0"/>
      </w:pPr>
    </w:p>
    <w:p>
      <w:pPr>
        <w:sectPr>
          <w:type w:val="continuous"/>
          <w:pgSz w:w="11904" w:h="16440"/>
          <w:pgMar w:top="394" w:right="798" w:bottom="170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2" w:lineRule="exact" w:before="0" w:after="0"/>
        <w:ind w:left="618" w:right="0" w:firstLine="0"/>
        <w:jc w:val="left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圈必须得装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ZCQIW3" w:hAnsi="ZCQIW3" w:eastAsia="ZCQIW3"/>
          <w:b w:val="0"/>
          <w:i w:val="0"/>
          <w:color w:val="221F1F"/>
          <w:sz w:val="21"/>
        </w:rPr>
        <w:t>⑤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防止管片错台导致管片纵缝</w:t>
      </w:r>
      <w:r>
        <w:rPr>
          <w:rFonts w:ascii="ZCQIV1" w:hAnsi="ZCQIV1" w:eastAsia="ZCQIV1"/>
          <w:b w:val="0"/>
          <w:i w:val="0"/>
          <w:color w:val="221F1F"/>
          <w:sz w:val="21"/>
        </w:rPr>
        <w:t>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环缝漏水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要求对管片连接螺栓进行</w:t>
      </w:r>
      <w:r>
        <w:rPr>
          <w:rFonts w:ascii="ZCQIW3" w:hAnsi="ZCQIW3" w:eastAsia="ZCQIW3"/>
          <w:b w:val="0"/>
          <w:i w:val="0"/>
          <w:color w:val="221F1F"/>
          <w:sz w:val="21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次紧固：第</w:t>
      </w:r>
      <w:r>
        <w:rPr>
          <w:rFonts w:ascii="ZCQIW3" w:hAnsi="ZCQIW3" w:eastAsia="ZCQIW3"/>
          <w:b w:val="0"/>
          <w:i w:val="0"/>
          <w:color w:val="221F1F"/>
          <w:sz w:val="21"/>
        </w:rPr>
        <w:t>1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次在</w:t>
      </w:r>
      <w:r>
        <w:rPr>
          <w:rFonts w:ascii="ZCQIW3" w:hAnsi="ZCQIW3" w:eastAsia="ZCQIW3"/>
          <w:b w:val="0"/>
          <w:i w:val="0"/>
          <w:color w:val="221F1F"/>
          <w:sz w:val="21"/>
        </w:rPr>
        <w:t>F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块装完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后立刻紧固；第</w:t>
      </w:r>
      <w:r>
        <w:rPr>
          <w:rFonts w:ascii="ZCQIW3" w:hAnsi="ZCQIW3" w:eastAsia="ZCQIW3"/>
          <w:b w:val="0"/>
          <w:i w:val="0"/>
          <w:color w:val="221F1F"/>
          <w:sz w:val="21"/>
        </w:rPr>
        <w:t>2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次在下一环掘进</w:t>
      </w:r>
      <w:r>
        <w:rPr>
          <w:rFonts w:ascii="ZCQIW3" w:hAnsi="ZCQIW3" w:eastAsia="ZCQIW3"/>
          <w:b w:val="0"/>
          <w:i w:val="0"/>
          <w:color w:val="221F1F"/>
          <w:sz w:val="21"/>
        </w:rPr>
        <w:t>100 mm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时必须紧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固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ZCQIW3" w:hAnsi="ZCQIW3" w:eastAsia="ZCQIW3"/>
          <w:b w:val="0"/>
          <w:i w:val="0"/>
          <w:color w:val="221F1F"/>
          <w:sz w:val="21"/>
        </w:rPr>
        <w:t>⑥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防止管片吊装孔及吊装中心表面完好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要求：严禁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管片安装司机用高速档旋转抓有管片的管片安装机；油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缸顶住管片后严禁操作管片安装机（除松开和离开管片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操作）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ZCQIW3" w:hAnsi="ZCQIW3" w:eastAsia="ZCQIW3"/>
          <w:b w:val="0"/>
          <w:i w:val="0"/>
          <w:color w:val="221F1F"/>
          <w:sz w:val="21"/>
        </w:rPr>
        <w:t>⑦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防止管片螺栓孔内</w:t>
      </w:r>
      <w:r>
        <w:rPr>
          <w:rFonts w:ascii="ZCQIW3" w:hAnsi="ZCQIW3" w:eastAsia="ZCQIW3"/>
          <w:b w:val="0"/>
          <w:i w:val="0"/>
          <w:color w:val="221F1F"/>
          <w:sz w:val="21"/>
        </w:rPr>
        <w:t>PVC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 xml:space="preserve"> 管不破损和不掉落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要求：严禁用铁锤猛击管片连接螺栓；禁止用已损坏的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管片连接螺栓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1080" w:val="left"/>
        </w:tabs>
        <w:autoSpaceDE w:val="0"/>
        <w:widowControl/>
        <w:spacing w:line="260" w:lineRule="exact" w:before="36" w:after="0"/>
        <w:ind w:left="618" w:right="0" w:firstLine="0"/>
        <w:jc w:val="left"/>
      </w:pPr>
      <w:r>
        <w:rPr>
          <w:rFonts w:ascii="ZCQIW3" w:hAnsi="ZCQIW3" w:eastAsia="ZCQIW3"/>
          <w:b w:val="0"/>
          <w:i w:val="0"/>
          <w:color w:val="221F1F"/>
          <w:sz w:val="21"/>
        </w:rPr>
        <w:t>2.2</w:t>
      </w:r>
      <w:r>
        <w:tab/>
      </w:r>
      <w:r>
        <w:rPr>
          <w:w w:val="98.97574424743652"/>
          <w:rFonts w:ascii="方正黑体_GBK" w:hAnsi="方正黑体_GBK" w:eastAsia="方正黑体_GBK"/>
          <w:b w:val="0"/>
          <w:i w:val="0"/>
          <w:color w:val="221F1F"/>
          <w:sz w:val="20"/>
        </w:rPr>
        <w:t>环境保证措施</w:t>
      </w:r>
    </w:p>
    <w:p>
      <w:pPr>
        <w:autoSpaceDN w:val="0"/>
        <w:tabs>
          <w:tab w:pos="1038" w:val="left"/>
          <w:tab w:pos="1220" w:val="left"/>
        </w:tabs>
        <w:autoSpaceDE w:val="0"/>
        <w:widowControl/>
        <w:spacing w:line="352" w:lineRule="exact" w:before="0" w:after="0"/>
        <w:ind w:left="618" w:right="0" w:firstLine="0"/>
        <w:jc w:val="left"/>
      </w:pPr>
      <w:r>
        <w:rPr>
          <w:rFonts w:ascii="ZCQIW3" w:hAnsi="ZCQIW3" w:eastAsia="ZCQIW3"/>
          <w:b w:val="0"/>
          <w:i w:val="0"/>
          <w:color w:val="221F1F"/>
          <w:sz w:val="21"/>
        </w:rPr>
        <w:t>2.2.1</w:t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自然环境保护</w:t>
      </w:r>
      <w:r>
        <w:br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第一，在施工过程中，工作人员不能私自移除或者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破坏周边的树木，而且要做好树木的保护工作，特别是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古树木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第二，施工人员要做好施工现场垃圾的清运工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作，按照要求，将施工垃圾清运到指定的地点，不能随意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丢弃在施工现场周边，避免对周边环境造成影响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第三，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必须落实好</w:t>
      </w:r>
      <w:r>
        <w:rPr>
          <w:rFonts w:ascii="ZCQIV1" w:hAnsi="ZCQIV1" w:eastAsia="ZCQIV1"/>
          <w:b w:val="0"/>
          <w:i w:val="0"/>
          <w:color w:val="221F1F"/>
          <w:sz w:val="21"/>
        </w:rPr>
        <w:t>“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门前三包</w:t>
      </w:r>
      <w:r>
        <w:rPr>
          <w:rFonts w:ascii="ZCQIV1" w:hAnsi="ZCQIV1" w:eastAsia="ZCQIV1"/>
          <w:b w:val="0"/>
          <w:i w:val="0"/>
          <w:color w:val="221F1F"/>
          <w:sz w:val="21"/>
        </w:rPr>
        <w:t>”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责任制度，及时处理好施工所产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生的垃圾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针对一些特殊的施工废弃物，要进行特殊处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理，例如针对可以回收使用的应当尽量回收使用，不能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回收的要严格按照规定清运到指定地点，特制的泥浆和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固体废弃物要运用特定的车辆进行运输和清理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1038" w:val="left"/>
          <w:tab w:pos="1220" w:val="left"/>
        </w:tabs>
        <w:autoSpaceDE w:val="0"/>
        <w:widowControl/>
        <w:spacing w:line="350" w:lineRule="exact" w:before="0" w:after="0"/>
        <w:ind w:left="618" w:right="144" w:firstLine="0"/>
        <w:jc w:val="left"/>
      </w:pPr>
      <w:r>
        <w:rPr>
          <w:rFonts w:ascii="ZCQIW3" w:hAnsi="ZCQIW3" w:eastAsia="ZCQIW3"/>
          <w:b w:val="0"/>
          <w:i w:val="0"/>
          <w:color w:val="221F1F"/>
          <w:sz w:val="21"/>
        </w:rPr>
        <w:t>2.2.2</w:t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噪声污染控制措施</w:t>
      </w:r>
      <w:r>
        <w:br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第一，在进行施工时，必须要严格控制好施工现场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噪声的大小，减少对周边居民的影响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而且要结合周边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居民的作息时间来制定合理的施工时间，例如，施工时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间尽量安排在居民的上班时间，避免对居民的休息造成</w:t>
      </w:r>
    </w:p>
    <w:p>
      <w:pPr>
        <w:sectPr>
          <w:type w:val="continuous"/>
          <w:pgSz w:w="11904" w:h="16440"/>
          <w:pgMar w:top="394" w:right="798" w:bottom="170" w:left="400" w:header="720" w:footer="720" w:gutter="0"/>
          <w:cols w:num="2" w:equalWidth="0">
            <w:col w:w="566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0"/>
        <w:ind w:left="88" w:right="106" w:firstLine="418"/>
        <w:jc w:val="both"/>
      </w:pP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第一，在施工之前，要做好排水设施的建设，保证废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水能够按照规定排入到指定的下水道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第二，在进行废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水排放时，必须要严格按照相关的标准，不能出现超标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排放，避免对周边土体造成污染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例如，食堂要设置隔油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池，生活污水不能直接排入到施工场地外面，需要接入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到指定的地下水管道中进行排放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506" w:val="left"/>
          <w:tab w:pos="690" w:val="left"/>
        </w:tabs>
        <w:autoSpaceDE w:val="0"/>
        <w:widowControl/>
        <w:spacing w:line="346" w:lineRule="exact" w:before="0" w:after="0"/>
        <w:ind w:left="88" w:right="0" w:firstLine="0"/>
        <w:jc w:val="left"/>
      </w:pPr>
      <w:r>
        <w:rPr>
          <w:rFonts w:ascii="ZCQIW3" w:hAnsi="ZCQIW3" w:eastAsia="ZCQIW3"/>
          <w:b w:val="0"/>
          <w:i w:val="0"/>
          <w:color w:val="221F1F"/>
          <w:sz w:val="21"/>
        </w:rPr>
        <w:t>2.2.5</w:t>
      </w:r>
      <w:r>
        <w:tab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文物保护措施</w:t>
      </w:r>
      <w:r>
        <w:br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在施工过程中，全体人员都应当树立良好的文物保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护意识，避免对文物造成破坏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如果在施工过程中发现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文物，要及时上报给相关的部门，并且按照规定立刻停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止施工，协助相关部门做好保护现场的设置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396" w:val="left"/>
          <w:tab w:pos="506" w:val="left"/>
        </w:tabs>
        <w:autoSpaceDE w:val="0"/>
        <w:widowControl/>
        <w:spacing w:line="346" w:lineRule="exact" w:before="0" w:after="0"/>
        <w:ind w:left="88" w:right="0" w:firstLine="0"/>
        <w:jc w:val="left"/>
      </w:pPr>
      <w:r>
        <w:rPr>
          <w:rFonts w:ascii="ZCQIW3" w:hAnsi="ZCQIW3" w:eastAsia="ZCQIW3"/>
          <w:b w:val="0"/>
          <w:i w:val="0"/>
          <w:color w:val="221F1F"/>
          <w:sz w:val="21"/>
        </w:rPr>
        <w:t>3</w:t>
      </w:r>
      <w:r>
        <w:rPr>
          <w:w w:val="98.97574424743652"/>
          <w:rFonts w:ascii="方正黑体_GBK" w:hAnsi="方正黑体_GBK" w:eastAsia="方正黑体_GBK"/>
          <w:b w:val="0"/>
          <w:i w:val="0"/>
          <w:color w:val="221F1F"/>
          <w:sz w:val="20"/>
        </w:rPr>
        <w:t>结束语</w:t>
      </w:r>
      <w:r>
        <w:br/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为了进一步保证盾构施工的安全，工作人员应当要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全面且准确地认识到施工中存在的风险，了解风险的产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生原因，结合不同的风险，采取不同的应对措施，确保施</w:t>
      </w:r>
      <w:r>
        <w:rPr>
          <w:rFonts w:ascii="方正书宋_GBK" w:hAnsi="方正书宋_GBK" w:eastAsia="方正书宋_GBK"/>
          <w:b w:val="0"/>
          <w:i w:val="0"/>
          <w:color w:val="221F1F"/>
          <w:sz w:val="21"/>
        </w:rPr>
        <w:t>工质量的同时，又可以进一步保证施工人员的人身安全</w:t>
      </w:r>
      <w:r>
        <w:rPr>
          <w:rFonts w:ascii="ZCQIV1" w:hAnsi="ZCQIV1" w:eastAsia="ZCQIV1"/>
          <w:b w:val="0"/>
          <w:i w:val="0"/>
          <w:color w:val="221F1F"/>
          <w:sz w:val="21"/>
        </w:rPr>
        <w:t>。</w:t>
      </w:r>
    </w:p>
    <w:p>
      <w:pPr>
        <w:autoSpaceDN w:val="0"/>
        <w:tabs>
          <w:tab w:pos="304" w:val="left"/>
        </w:tabs>
        <w:autoSpaceDE w:val="0"/>
        <w:widowControl/>
        <w:spacing w:line="316" w:lineRule="exact" w:before="404" w:after="0"/>
        <w:ind w:left="88" w:right="0" w:firstLine="0"/>
        <w:jc w:val="left"/>
      </w:pPr>
      <w:r>
        <w:rPr>
          <w:w w:val="98.72260715650476"/>
          <w:rFonts w:ascii="方正黑体_GBK" w:hAnsi="方正黑体_GBK" w:eastAsia="方正黑体_GBK"/>
          <w:b w:val="0"/>
          <w:i w:val="0"/>
          <w:color w:val="221F1F"/>
          <w:sz w:val="23"/>
        </w:rPr>
        <w:t>参考文献</w:t>
      </w:r>
      <w:r>
        <w:rPr>
          <w:w w:val="98.72260715650476"/>
          <w:rFonts w:ascii="ZCQIW3" w:hAnsi="ZCQIW3" w:eastAsia="ZCQIW3"/>
          <w:b w:val="0"/>
          <w:i w:val="0"/>
          <w:color w:val="221F1F"/>
          <w:sz w:val="23"/>
        </w:rPr>
        <w:t>：</w:t>
      </w:r>
      <w:r>
        <w:br/>
      </w:r>
      <w:r>
        <w:rPr>
          <w:rFonts w:ascii="ZCQIW3" w:hAnsi="ZCQIW3" w:eastAsia="ZCQIW3"/>
          <w:b w:val="0"/>
          <w:i w:val="0"/>
          <w:color w:val="221F1F"/>
          <w:sz w:val="18"/>
        </w:rPr>
        <w:t>[1]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中华人民共和国住房和城乡建设部</w:t>
      </w:r>
      <w:r>
        <w:rPr>
          <w:rFonts w:ascii="ZCQIW3" w:hAnsi="ZCQIW3" w:eastAsia="ZCQIW3"/>
          <w:b w:val="0"/>
          <w:i w:val="0"/>
          <w:color w:val="221F1F"/>
          <w:sz w:val="18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盾构法隧道施工及验收规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范：</w:t>
      </w:r>
      <w:r>
        <w:rPr>
          <w:rFonts w:ascii="ZCQIW3" w:hAnsi="ZCQIW3" w:eastAsia="ZCQIW3"/>
          <w:b w:val="0"/>
          <w:i w:val="0"/>
          <w:color w:val="221F1F"/>
          <w:sz w:val="18"/>
        </w:rPr>
        <w:t>GB50446</w:t>
      </w:r>
      <w:r>
        <w:rPr>
          <w:rFonts w:ascii="ZCQIV1" w:hAnsi="ZCQIV1" w:eastAsia="ZCQIV1"/>
          <w:b w:val="0"/>
          <w:i w:val="0"/>
          <w:color w:val="221F1F"/>
          <w:sz w:val="18"/>
        </w:rPr>
        <w:t>—</w:t>
      </w:r>
      <w:r>
        <w:rPr>
          <w:rFonts w:ascii="ZCQIW3" w:hAnsi="ZCQIW3" w:eastAsia="ZCQIW3"/>
          <w:b w:val="0"/>
          <w:i w:val="0"/>
          <w:color w:val="221F1F"/>
          <w:sz w:val="18"/>
        </w:rPr>
        <w:t>2017[S].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北京：中国建设工业出版社，</w:t>
      </w:r>
      <w:r>
        <w:rPr>
          <w:rFonts w:ascii="ZCQIW3" w:hAnsi="ZCQIW3" w:eastAsia="ZCQIW3"/>
          <w:b w:val="0"/>
          <w:i w:val="0"/>
          <w:color w:val="221F1F"/>
          <w:sz w:val="18"/>
        </w:rPr>
        <w:t>2017.</w:t>
      </w:r>
    </w:p>
    <w:p>
      <w:pPr>
        <w:autoSpaceDN w:val="0"/>
        <w:tabs>
          <w:tab w:pos="304" w:val="left"/>
        </w:tabs>
        <w:autoSpaceDE w:val="0"/>
        <w:widowControl/>
        <w:spacing w:line="316" w:lineRule="exact" w:before="2" w:after="0"/>
        <w:ind w:left="88" w:right="0" w:firstLine="0"/>
        <w:jc w:val="left"/>
      </w:pPr>
      <w:r>
        <w:rPr>
          <w:rFonts w:ascii="ZCQIW3" w:hAnsi="ZCQIW3" w:eastAsia="ZCQIW3"/>
          <w:b w:val="0"/>
          <w:i w:val="0"/>
          <w:color w:val="221F1F"/>
          <w:sz w:val="18"/>
        </w:rPr>
        <w:t>[2]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国家质量技术监督局</w:t>
      </w:r>
      <w:r>
        <w:rPr>
          <w:rFonts w:ascii="ZCQIW3" w:hAnsi="ZCQIW3" w:eastAsia="ZCQIW3"/>
          <w:b w:val="0"/>
          <w:i w:val="0"/>
          <w:color w:val="221F1F"/>
          <w:sz w:val="18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地下铁道工程施工及验收规范：</w:t>
      </w:r>
      <w:r>
        <w:tab/>
      </w:r>
      <w:r>
        <w:rPr>
          <w:rFonts w:ascii="ZCQIW3" w:hAnsi="ZCQIW3" w:eastAsia="ZCQIW3"/>
          <w:b w:val="0"/>
          <w:i w:val="0"/>
          <w:color w:val="221F1F"/>
          <w:sz w:val="18"/>
        </w:rPr>
        <w:t>GB50299</w:t>
      </w:r>
      <w:r>
        <w:rPr>
          <w:rFonts w:ascii="ZCQIV1" w:hAnsi="ZCQIV1" w:eastAsia="ZCQIV1"/>
          <w:b w:val="0"/>
          <w:i w:val="0"/>
          <w:color w:val="221F1F"/>
          <w:sz w:val="18"/>
        </w:rPr>
        <w:t>—</w:t>
      </w:r>
      <w:r>
        <w:rPr>
          <w:rFonts w:ascii="ZCQIW3" w:hAnsi="ZCQIW3" w:eastAsia="ZCQIW3"/>
          <w:b w:val="0"/>
          <w:i w:val="0"/>
          <w:color w:val="221F1F"/>
          <w:sz w:val="18"/>
        </w:rPr>
        <w:t>1999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（</w:t>
      </w:r>
      <w:r>
        <w:rPr>
          <w:rFonts w:ascii="ZCQIW3" w:hAnsi="ZCQIW3" w:eastAsia="ZCQIW3"/>
          <w:b w:val="0"/>
          <w:i w:val="0"/>
          <w:color w:val="221F1F"/>
          <w:sz w:val="18"/>
        </w:rPr>
        <w:t>2003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年版）</w:t>
      </w:r>
      <w:r>
        <w:rPr>
          <w:rFonts w:ascii="ZCQIW3" w:hAnsi="ZCQIW3" w:eastAsia="ZCQIW3"/>
          <w:b w:val="0"/>
          <w:i w:val="0"/>
          <w:color w:val="221F1F"/>
          <w:sz w:val="18"/>
        </w:rPr>
        <w:t>[S].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北京：中国计划出版社，</w:t>
      </w:r>
      <w:r>
        <w:rPr>
          <w:rFonts w:ascii="ZCQIW3" w:hAnsi="ZCQIW3" w:eastAsia="ZCQIW3"/>
          <w:b w:val="0"/>
          <w:i w:val="0"/>
          <w:color w:val="221F1F"/>
          <w:sz w:val="18"/>
        </w:rPr>
        <w:t xml:space="preserve">2004. </w:t>
      </w:r>
      <w:r>
        <w:rPr>
          <w:rFonts w:ascii="ZCQIW3" w:hAnsi="ZCQIW3" w:eastAsia="ZCQIW3"/>
          <w:b w:val="0"/>
          <w:i w:val="0"/>
          <w:color w:val="221F1F"/>
          <w:sz w:val="18"/>
        </w:rPr>
        <w:t>[3]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中华人民共和国住房和城乡建设部</w:t>
      </w:r>
      <w:r>
        <w:rPr>
          <w:rFonts w:ascii="ZCQIW3" w:hAnsi="ZCQIW3" w:eastAsia="ZCQIW3"/>
          <w:b w:val="0"/>
          <w:i w:val="0"/>
          <w:color w:val="221F1F"/>
          <w:sz w:val="18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工程测量规范</w:t>
      </w:r>
      <w:r>
        <w:rPr>
          <w:rFonts w:ascii="ZCQIW3" w:hAnsi="ZCQIW3" w:eastAsia="ZCQIW3"/>
          <w:b w:val="0"/>
          <w:i w:val="0"/>
          <w:color w:val="221F1F"/>
          <w:sz w:val="18"/>
        </w:rPr>
        <w:t>:GB</w:t>
      </w:r>
    </w:p>
    <w:p>
      <w:pPr>
        <w:autoSpaceDN w:val="0"/>
        <w:autoSpaceDE w:val="0"/>
        <w:widowControl/>
        <w:spacing w:line="180" w:lineRule="exact" w:before="126" w:after="0"/>
        <w:ind w:left="326" w:right="0" w:firstLine="0"/>
        <w:jc w:val="left"/>
      </w:pPr>
      <w:r>
        <w:rPr>
          <w:rFonts w:ascii="ZCQIW3" w:hAnsi="ZCQIW3" w:eastAsia="ZCQIW3"/>
          <w:b w:val="0"/>
          <w:i w:val="0"/>
          <w:color w:val="221F1F"/>
          <w:sz w:val="18"/>
        </w:rPr>
        <w:t>50026</w:t>
      </w:r>
      <w:r>
        <w:rPr>
          <w:rFonts w:ascii="ZCQIV1" w:hAnsi="ZCQIV1" w:eastAsia="ZCQIV1"/>
          <w:b w:val="0"/>
          <w:i w:val="0"/>
          <w:color w:val="221F1F"/>
          <w:sz w:val="18"/>
        </w:rPr>
        <w:t>—</w:t>
      </w:r>
      <w:r>
        <w:rPr>
          <w:rFonts w:ascii="ZCQIW3" w:hAnsi="ZCQIW3" w:eastAsia="ZCQIW3"/>
          <w:b w:val="0"/>
          <w:i w:val="0"/>
          <w:color w:val="221F1F"/>
          <w:sz w:val="18"/>
        </w:rPr>
        <w:t>2016[S].2017.</w:t>
      </w:r>
    </w:p>
    <w:p>
      <w:pPr>
        <w:autoSpaceDN w:val="0"/>
        <w:tabs>
          <w:tab w:pos="304" w:val="left"/>
        </w:tabs>
        <w:autoSpaceDE w:val="0"/>
        <w:widowControl/>
        <w:spacing w:line="316" w:lineRule="exact" w:before="12" w:after="0"/>
        <w:ind w:left="88" w:right="0" w:firstLine="0"/>
        <w:jc w:val="left"/>
      </w:pPr>
      <w:r>
        <w:rPr>
          <w:rFonts w:ascii="ZCQIW3" w:hAnsi="ZCQIW3" w:eastAsia="ZCQIW3"/>
          <w:b w:val="0"/>
          <w:i w:val="0"/>
          <w:color w:val="221F1F"/>
          <w:sz w:val="18"/>
        </w:rPr>
        <w:t>[4]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 xml:space="preserve"> 中华人民共和国住房和城乡建设部</w:t>
      </w:r>
      <w:r>
        <w:rPr>
          <w:rFonts w:ascii="ZCQIW3" w:hAnsi="ZCQIW3" w:eastAsia="ZCQIW3"/>
          <w:b w:val="0"/>
          <w:i w:val="0"/>
          <w:color w:val="221F1F"/>
          <w:sz w:val="18"/>
        </w:rPr>
        <w:t>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城市轨道交通结构抗震设</w:t>
      </w:r>
      <w:r>
        <w:tab/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计规范：</w:t>
      </w:r>
      <w:r>
        <w:rPr>
          <w:rFonts w:ascii="ZCQIW3" w:hAnsi="ZCQIW3" w:eastAsia="ZCQIW3"/>
          <w:b w:val="0"/>
          <w:i w:val="0"/>
          <w:color w:val="221F1F"/>
          <w:sz w:val="18"/>
        </w:rPr>
        <w:t>GB 50909</w:t>
      </w:r>
      <w:r>
        <w:rPr>
          <w:rFonts w:ascii="ZCQIV1" w:hAnsi="ZCQIV1" w:eastAsia="ZCQIV1"/>
          <w:b w:val="0"/>
          <w:i w:val="0"/>
          <w:color w:val="221F1F"/>
          <w:sz w:val="18"/>
        </w:rPr>
        <w:t>—</w:t>
      </w:r>
      <w:r>
        <w:rPr>
          <w:rFonts w:ascii="ZCQIW3" w:hAnsi="ZCQIW3" w:eastAsia="ZCQIW3"/>
          <w:b w:val="0"/>
          <w:i w:val="0"/>
          <w:color w:val="221F1F"/>
          <w:sz w:val="18"/>
        </w:rPr>
        <w:t>2014[S].</w:t>
      </w:r>
      <w:r>
        <w:rPr>
          <w:rFonts w:ascii="方正书宋_GBK" w:hAnsi="方正书宋_GBK" w:eastAsia="方正书宋_GBK"/>
          <w:b w:val="0"/>
          <w:i w:val="0"/>
          <w:color w:val="221F1F"/>
          <w:sz w:val="18"/>
        </w:rPr>
        <w:t>北京：中国计划出版社，</w:t>
      </w:r>
      <w:r>
        <w:rPr>
          <w:rFonts w:ascii="ZCQIW3" w:hAnsi="ZCQIW3" w:eastAsia="ZCQIW3"/>
          <w:b w:val="0"/>
          <w:i w:val="0"/>
          <w:color w:val="221F1F"/>
          <w:sz w:val="18"/>
        </w:rPr>
        <w:t>2014.</w:t>
      </w:r>
    </w:p>
    <w:p>
      <w:pPr>
        <w:autoSpaceDN w:val="0"/>
        <w:autoSpaceDE w:val="0"/>
        <w:widowControl/>
        <w:spacing w:line="210" w:lineRule="exact" w:before="552" w:after="164"/>
        <w:ind w:left="0" w:right="108" w:firstLine="0"/>
        <w:jc w:val="right"/>
      </w:pPr>
      <w:r>
        <w:rPr>
          <w:rFonts w:ascii="ZCQIW3" w:hAnsi="ZCQIW3" w:eastAsia="ZCQIW3"/>
          <w:b w:val="0"/>
          <w:i w:val="0"/>
          <w:color w:val="221F1F"/>
          <w:sz w:val="21"/>
        </w:rPr>
        <w:t>-</w:t>
      </w:r>
      <w:r>
        <w:rPr>
          <w:rFonts w:ascii="ZCQIW3" w:hAnsi="ZCQIW3" w:eastAsia="ZCQIW3"/>
          <w:b w:val="0"/>
          <w:i w:val="0"/>
          <w:color w:val="221F1F"/>
          <w:sz w:val="21"/>
        </w:rPr>
        <w:t>149</w:t>
      </w:r>
      <w:r>
        <w:rPr>
          <w:rFonts w:ascii="ZCQIW3" w:hAnsi="ZCQIW3" w:eastAsia="ZCQIW3"/>
          <w:b w:val="0"/>
          <w:i w:val="0"/>
          <w:color w:val="221F1F"/>
          <w:sz w:val="21"/>
        </w:rPr>
        <w:t>-</w:t>
      </w:r>
    </w:p>
    <w:p>
      <w:pPr>
        <w:sectPr>
          <w:type w:val="nextColumn"/>
          <w:pgSz w:w="11904" w:h="16440"/>
          <w:pgMar w:top="394" w:right="798" w:bottom="170" w:left="400" w:header="720" w:footer="720" w:gutter="0"/>
          <w:cols w:num="2" w:equalWidth="0">
            <w:col w:w="5662" w:space="0"/>
            <w:col w:w="5043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440"/>
      <w:pgMar w:top="394" w:right="798" w:bottom="170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