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647"/>
        <w:gridCol w:w="3647"/>
        <w:gridCol w:w="3647"/>
      </w:tblGrid>
      <w:tr>
        <w:trPr>
          <w:trHeight w:hRule="exact" w:val="546"/>
        </w:trPr>
        <w:tc>
          <w:tcPr>
            <w:tcW w:type="dxa" w:w="1860"/>
            <w:tcBorders>
              <w:top w:sz="24.944000244140625" w:val="single" w:color="#9D9FA1"/>
              <w:bottom w:sz="3.4000000953674316" w:val="single" w:color="#80828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284" w:right="0" w:firstLine="0"/>
              <w:jc w:val="left"/>
            </w:pPr>
            <w:r>
              <w:rPr>
                <w:rFonts w:ascii="YouYuan" w:hAnsi="YouYuan" w:eastAsia="YouYuan"/>
                <w:b w:val="0"/>
                <w:i w:val="0"/>
                <w:color w:val="221F1F"/>
                <w:sz w:val="15"/>
              </w:rPr>
              <w:t>《自动化技术与应用》</w:t>
            </w:r>
          </w:p>
        </w:tc>
        <w:tc>
          <w:tcPr>
            <w:tcW w:type="dxa" w:w="1910"/>
            <w:tcBorders>
              <w:top w:sz="24.944000244140625" w:val="single" w:color="#9D9FA1"/>
              <w:bottom w:sz="3.4000000953674316" w:val="single" w:color="#80828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84" w:right="0" w:firstLine="0"/>
              <w:jc w:val="left"/>
            </w:pPr>
            <w:r>
              <w:rPr>
                <w:rFonts w:ascii="YouYuan" w:hAnsi="YouYuan" w:eastAsia="YouYuan"/>
                <w:b w:val="0"/>
                <w:i w:val="0"/>
                <w:color w:val="221F1F"/>
                <w:sz w:val="15"/>
              </w:rPr>
              <w:t>2022 年第41 卷第9 期</w:t>
            </w:r>
          </w:p>
        </w:tc>
        <w:tc>
          <w:tcPr>
            <w:tcW w:type="dxa" w:w="6806"/>
            <w:tcBorders>
              <w:top w:sz="24.944000244140625" w:val="single" w:color="#9D9FA1"/>
              <w:bottom w:sz="3.4000000953674316" w:val="single" w:color="#80828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54" w:after="0"/>
              <w:ind w:left="144" w:right="3600" w:firstLine="0"/>
              <w:jc w:val="center"/>
            </w:pPr>
            <w:r>
              <w:rPr>
                <w:rFonts w:ascii="FZBSK--GBK1-0" w:hAnsi="FZBSK--GBK1-0" w:eastAsia="FZBSK--GBK1-0"/>
                <w:b w:val="0"/>
                <w:i w:val="0"/>
                <w:color w:val="221F1F"/>
                <w:sz w:val="27"/>
              </w:rPr>
              <w:t>行业应用与交流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1F1F"/>
                <w:sz w:val="15"/>
              </w:rPr>
              <w:t>Industrial Applications and Communications</w:t>
            </w:r>
          </w:p>
        </w:tc>
      </w:tr>
    </w:tbl>
    <w:p>
      <w:pPr>
        <w:autoSpaceDN w:val="0"/>
        <w:autoSpaceDE w:val="0"/>
        <w:widowControl/>
        <w:spacing w:line="188" w:lineRule="exact" w:before="0" w:after="0"/>
        <w:ind w:left="0" w:right="158" w:firstLine="0"/>
        <w:jc w:val="right"/>
      </w:pPr>
      <w:r>
        <w:rPr>
          <w:rFonts w:ascii="TimesNewRoman" w:hAnsi="TimesNewRoman" w:eastAsia="TimesNewRoman"/>
          <w:b w:val="0"/>
          <w:i w:val="0"/>
          <w:color w:val="221F1F"/>
          <w:sz w:val="17"/>
        </w:rPr>
        <w:t>DOI:10.20033/j.1003-7241</w:t>
      </w:r>
      <w:r>
        <w:rPr>
          <w:rFonts w:ascii="HYa6gj" w:hAnsi="HYa6gj" w:eastAsia="HYa6gj"/>
          <w:b w:val="0"/>
          <w:i w:val="0"/>
          <w:color w:val="221F1F"/>
          <w:sz w:val="17"/>
        </w:rPr>
        <w:t>（</w:t>
      </w:r>
      <w:r>
        <w:rPr>
          <w:rFonts w:ascii="TimesNewRoman" w:hAnsi="TimesNewRoman" w:eastAsia="TimesNewRoman"/>
          <w:b w:val="0"/>
          <w:i w:val="0"/>
          <w:color w:val="221F1F"/>
          <w:sz w:val="17"/>
        </w:rPr>
        <w:t>2022</w:t>
      </w:r>
      <w:r>
        <w:rPr>
          <w:rFonts w:ascii="HYa6gj" w:hAnsi="HYa6gj" w:eastAsia="HYa6gj"/>
          <w:b w:val="0"/>
          <w:i w:val="0"/>
          <w:color w:val="221F1F"/>
          <w:sz w:val="17"/>
        </w:rPr>
        <w:t>）</w:t>
      </w:r>
      <w:r>
        <w:rPr>
          <w:rFonts w:ascii="TimesNewRoman" w:hAnsi="TimesNewRoman" w:eastAsia="TimesNewRoman"/>
          <w:b w:val="0"/>
          <w:i w:val="0"/>
          <w:color w:val="221F1F"/>
          <w:sz w:val="17"/>
        </w:rPr>
        <w:t>09-0136-04</w:t>
      </w:r>
    </w:p>
    <w:p>
      <w:pPr>
        <w:autoSpaceDN w:val="0"/>
        <w:autoSpaceDE w:val="0"/>
        <w:widowControl/>
        <w:spacing w:line="424" w:lineRule="exact" w:before="588" w:after="0"/>
        <w:ind w:left="1030" w:right="0" w:firstLine="0"/>
        <w:jc w:val="left"/>
      </w:pPr>
      <w:r>
        <w:rPr>
          <w:rFonts w:ascii="HeitiCSEG-Medium-GB" w:hAnsi="HeitiCSEG-Medium-GB" w:eastAsia="HeitiCSEG-Medium-GB"/>
          <w:b w:val="0"/>
          <w:i w:val="0"/>
          <w:color w:val="221F1F"/>
          <w:sz w:val="38"/>
        </w:rPr>
        <w:t>基于</w:t>
      </w:r>
      <w:r>
        <w:rPr>
          <w:rFonts w:ascii="Arial" w:hAnsi="Arial" w:eastAsia="Arial"/>
          <w:b w:val="0"/>
          <w:i w:val="0"/>
          <w:color w:val="221F1F"/>
          <w:sz w:val="38"/>
        </w:rPr>
        <w:t>Cloud&amp;BIM</w:t>
      </w:r>
      <w:r>
        <w:rPr>
          <w:rFonts w:ascii="HeitiCSEG-Medium-GB" w:hAnsi="HeitiCSEG-Medium-GB" w:eastAsia="HeitiCSEG-Medium-GB"/>
          <w:b w:val="0"/>
          <w:i w:val="0"/>
          <w:color w:val="221F1F"/>
          <w:sz w:val="38"/>
        </w:rPr>
        <w:t>的地铁盾构施工风险监测信息平台设计</w:t>
      </w:r>
      <w:r>
        <w:rPr>
          <w:rFonts w:ascii="Arial" w:hAnsi="Arial" w:eastAsia="Arial"/>
          <w:b w:val="0"/>
          <w:i w:val="0"/>
          <w:color w:val="221F1F"/>
          <w:sz w:val="38"/>
        </w:rPr>
        <w:t>*</w:t>
      </w:r>
    </w:p>
    <w:p>
      <w:pPr>
        <w:autoSpaceDN w:val="0"/>
        <w:autoSpaceDE w:val="0"/>
        <w:widowControl/>
        <w:spacing w:line="210" w:lineRule="exact" w:before="270" w:after="0"/>
        <w:ind w:left="0" w:right="4902" w:firstLine="0"/>
        <w:jc w:val="right"/>
      </w:pPr>
      <w:r>
        <w:rPr>
          <w:rFonts w:ascii="HeitiCSEG-Medium-GB" w:hAnsi="HeitiCSEG-Medium-GB" w:eastAsia="HeitiCSEG-Medium-GB"/>
          <w:b w:val="0"/>
          <w:i w:val="0"/>
          <w:color w:val="221F1F"/>
          <w:sz w:val="21"/>
        </w:rPr>
        <w:t>杨醒宇</w:t>
      </w:r>
    </w:p>
    <w:p>
      <w:pPr>
        <w:autoSpaceDN w:val="0"/>
        <w:autoSpaceDE w:val="0"/>
        <w:widowControl/>
        <w:spacing w:line="190" w:lineRule="exact" w:before="170" w:after="0"/>
        <w:ind w:left="0" w:right="2672" w:firstLine="0"/>
        <w:jc w:val="right"/>
      </w:pPr>
      <w:r>
        <w:rPr>
          <w:rFonts w:ascii="HYa6gj" w:hAnsi="HYa6gj" w:eastAsia="HYa6gj"/>
          <w:b w:val="0"/>
          <w:i w:val="0"/>
          <w:color w:val="221F1F"/>
          <w:sz w:val="19"/>
        </w:rPr>
        <w:t>（中铁四院集团西南勘察设计有限公司，云南昆明650206）</w:t>
      </w:r>
    </w:p>
    <w:p>
      <w:pPr>
        <w:autoSpaceDN w:val="0"/>
        <w:tabs>
          <w:tab w:pos="980" w:val="left"/>
        </w:tabs>
        <w:autoSpaceDE w:val="0"/>
        <w:widowControl/>
        <w:spacing w:line="180" w:lineRule="exact" w:before="260" w:after="0"/>
        <w:ind w:left="620" w:right="0" w:firstLine="0"/>
        <w:jc w:val="left"/>
      </w:pPr>
      <w:r>
        <w:rPr>
          <w:rFonts w:ascii="HeitiCSEG-Medium-GB" w:hAnsi="HeitiCSEG-Medium-GB" w:eastAsia="HeitiCSEG-Medium-GB"/>
          <w:b w:val="0"/>
          <w:i w:val="0"/>
          <w:color w:val="221F1F"/>
          <w:sz w:val="18"/>
        </w:rPr>
        <w:t>摘</w:t>
      </w:r>
      <w:r>
        <w:tab/>
      </w:r>
      <w:r>
        <w:rPr>
          <w:rFonts w:ascii="HeitiCSEG-Medium-GB" w:hAnsi="HeitiCSEG-Medium-GB" w:eastAsia="HeitiCSEG-Medium-GB"/>
          <w:b w:val="0"/>
          <w:i w:val="0"/>
          <w:color w:val="221F1F"/>
          <w:sz w:val="18"/>
        </w:rPr>
        <w:t>要:</w:t>
      </w:r>
      <w:r>
        <w:rPr>
          <w:rFonts w:ascii="HYa6gj" w:hAnsi="HYa6gj" w:eastAsia="HYa6gj"/>
          <w:b w:val="0"/>
          <w:i w:val="0"/>
          <w:color w:val="221F1F"/>
          <w:sz w:val="18"/>
        </w:rPr>
        <w:t>传统盾构施工风险监测风险评估误差较大，为此设计了基于Cloud&amp;BIM的地铁盾构施工风险监测信息平台。首先根据盾构</w:t>
      </w:r>
    </w:p>
    <w:p>
      <w:pPr>
        <w:autoSpaceDN w:val="0"/>
        <w:autoSpaceDE w:val="0"/>
        <w:widowControl/>
        <w:spacing w:line="180" w:lineRule="exact" w:before="102" w:after="0"/>
        <w:ind w:left="1252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8"/>
        </w:rPr>
        <w:t>施工情况设计平台整体架构，优化数据采集与通信的外设条件；建立施工风险指标体系和风险评估模型，确定各种风险发生</w:t>
      </w:r>
    </w:p>
    <w:p>
      <w:pPr>
        <w:autoSpaceDN w:val="0"/>
        <w:autoSpaceDE w:val="0"/>
        <w:widowControl/>
        <w:spacing w:line="180" w:lineRule="exact" w:before="102" w:after="0"/>
        <w:ind w:left="1252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8"/>
        </w:rPr>
        <w:t>的概率以及风险发生后所产生的损失，最后实现风险监测。通过对真实的盾构施工工程进行仿真，得到的实验结果表明，平</w:t>
      </w:r>
    </w:p>
    <w:p>
      <w:pPr>
        <w:autoSpaceDN w:val="0"/>
        <w:autoSpaceDE w:val="0"/>
        <w:widowControl/>
        <w:spacing w:line="180" w:lineRule="exact" w:before="102" w:after="0"/>
        <w:ind w:left="1252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8"/>
        </w:rPr>
        <w:t>台得到的风险监测结果与仿真的实际施工风险出现概率相近，验证了设计的监测平台的有效性。</w:t>
      </w:r>
    </w:p>
    <w:p>
      <w:pPr>
        <w:autoSpaceDN w:val="0"/>
        <w:autoSpaceDE w:val="0"/>
        <w:widowControl/>
        <w:spacing w:line="180" w:lineRule="exact" w:before="102" w:after="50"/>
        <w:ind w:left="620" w:right="0" w:firstLine="0"/>
        <w:jc w:val="left"/>
      </w:pPr>
      <w:r>
        <w:rPr>
          <w:rFonts w:ascii="HeitiCSEG-Medium-GB" w:hAnsi="HeitiCSEG-Medium-GB" w:eastAsia="HeitiCSEG-Medium-GB"/>
          <w:b w:val="0"/>
          <w:i w:val="0"/>
          <w:color w:val="221F1F"/>
          <w:sz w:val="18"/>
        </w:rPr>
        <w:t>关键词:</w:t>
      </w:r>
      <w:r>
        <w:rPr>
          <w:rFonts w:ascii="HYa6gj" w:hAnsi="HYa6gj" w:eastAsia="HYa6gj"/>
          <w:b w:val="0"/>
          <w:i w:val="0"/>
          <w:color w:val="221F1F"/>
          <w:sz w:val="18"/>
        </w:rPr>
        <w:t>Cloud&amp;BIM；地铁盾构；施工风险监测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647"/>
        <w:gridCol w:w="3647"/>
        <w:gridCol w:w="3647"/>
      </w:tblGrid>
      <w:tr>
        <w:trPr>
          <w:trHeight w:hRule="exact" w:val="292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320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8"/>
              </w:rPr>
              <w:t>中图分类号：TP277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8"/>
              </w:rPr>
              <w:t>文献标识码:A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186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8"/>
              </w:rPr>
              <w:t>文章编号:1003-7241(2022)09-0136-04</w:t>
            </w:r>
          </w:p>
        </w:tc>
      </w:tr>
    </w:tbl>
    <w:p>
      <w:pPr>
        <w:autoSpaceDN w:val="0"/>
        <w:tabs>
          <w:tab w:pos="3096" w:val="left"/>
        </w:tabs>
        <w:autoSpaceDE w:val="0"/>
        <w:widowControl/>
        <w:spacing w:line="254" w:lineRule="auto" w:before="282" w:after="0"/>
        <w:ind w:left="914" w:right="432" w:firstLine="0"/>
        <w:jc w:val="left"/>
      </w:pPr>
      <w:r>
        <w:rPr>
          <w:rFonts w:ascii="Arial" w:hAnsi="Arial" w:eastAsia="Arial"/>
          <w:b w:val="0"/>
          <w:i w:val="0"/>
          <w:color w:val="221F1F"/>
          <w:sz w:val="34"/>
        </w:rPr>
        <w:t xml:space="preserve">Design of Risk Monitoring Information Platform for Metro Shield </w:t>
      </w:r>
      <w:r>
        <w:tab/>
      </w:r>
      <w:r>
        <w:rPr>
          <w:rFonts w:ascii="Arial" w:hAnsi="Arial" w:eastAsia="Arial"/>
          <w:b w:val="0"/>
          <w:i w:val="0"/>
          <w:color w:val="221F1F"/>
          <w:sz w:val="34"/>
        </w:rPr>
        <w:t>Construction Based on Cloud&amp;BIM</w:t>
      </w:r>
    </w:p>
    <w:p>
      <w:pPr>
        <w:autoSpaceDN w:val="0"/>
        <w:autoSpaceDE w:val="0"/>
        <w:widowControl/>
        <w:spacing w:line="250" w:lineRule="exact" w:before="138" w:after="0"/>
        <w:ind w:left="0" w:right="4522" w:firstLine="0"/>
        <w:jc w:val="right"/>
      </w:pPr>
      <w:r>
        <w:rPr>
          <w:rFonts w:ascii="FZXBSJW--GB1-0" w:hAnsi="FZXBSJW--GB1-0" w:eastAsia="FZXBSJW--GB1-0"/>
          <w:b w:val="0"/>
          <w:i w:val="0"/>
          <w:color w:val="221F1F"/>
          <w:sz w:val="21"/>
        </w:rPr>
        <w:t>YANG Xing</w:t>
      </w:r>
      <w:r>
        <w:rPr>
          <w:rFonts w:ascii="Arial" w:hAnsi="Arial" w:eastAsia="Arial"/>
          <w:b w:val="0"/>
          <w:i w:val="0"/>
          <w:color w:val="221F1F"/>
          <w:sz w:val="21"/>
        </w:rPr>
        <w:t>-</w:t>
      </w:r>
      <w:r>
        <w:rPr>
          <w:rFonts w:ascii="FZXBSJW--GB1-0" w:hAnsi="FZXBSJW--GB1-0" w:eastAsia="FZXBSJW--GB1-0"/>
          <w:b w:val="0"/>
          <w:i w:val="0"/>
          <w:color w:val="221F1F"/>
          <w:sz w:val="21"/>
        </w:rPr>
        <w:t>yu</w:t>
      </w:r>
    </w:p>
    <w:p>
      <w:pPr>
        <w:autoSpaceDN w:val="0"/>
        <w:autoSpaceDE w:val="0"/>
        <w:widowControl/>
        <w:spacing w:line="230" w:lineRule="auto" w:before="134" w:after="0"/>
        <w:ind w:left="188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221F1F"/>
          <w:sz w:val="19"/>
        </w:rPr>
        <w:t>( Southwest Survey and Design Co., Ltd., of China Railway Fourth Group, Kunming 650206 China )</w:t>
      </w:r>
    </w:p>
    <w:p>
      <w:pPr>
        <w:autoSpaceDN w:val="0"/>
        <w:autoSpaceDE w:val="0"/>
        <w:widowControl/>
        <w:spacing w:line="268" w:lineRule="exact" w:before="186" w:after="0"/>
        <w:ind w:left="1390" w:right="114" w:hanging="770"/>
        <w:jc w:val="both"/>
      </w:pPr>
      <w:r>
        <w:rPr>
          <w:rFonts w:ascii="FZXBSJW--GB1-0" w:hAnsi="FZXBSJW--GB1-0" w:eastAsia="FZXBSJW--GB1-0"/>
          <w:b w:val="0"/>
          <w:i w:val="0"/>
          <w:color w:val="221F1F"/>
          <w:sz w:val="18"/>
        </w:rPr>
        <w:t>Abstract:</w:t>
      </w:r>
      <w:r>
        <w:rPr>
          <w:rFonts w:ascii="TimesNewRoman" w:hAnsi="TimesNewRoman" w:eastAsia="TimesNewRoman"/>
          <w:b w:val="0"/>
          <w:i w:val="0"/>
          <w:color w:val="221F1F"/>
          <w:sz w:val="18"/>
        </w:rPr>
        <w:t xml:space="preserve"> The traditional shield construction risk monitoring risk assessment has a large error, so, a subway shield construction risk monitor-</w:t>
      </w:r>
      <w:r>
        <w:rPr>
          <w:rFonts w:ascii="TimesNewRoman" w:hAnsi="TimesNewRoman" w:eastAsia="TimesNewRoman"/>
          <w:b w:val="0"/>
          <w:i w:val="0"/>
          <w:color w:val="221F1F"/>
          <w:sz w:val="18"/>
        </w:rPr>
        <w:t xml:space="preserve">ing information platform based on Cloud&amp;BIM is designed. Firstly, according to the shield construction situation, the overall </w:t>
      </w:r>
      <w:r>
        <w:rPr>
          <w:rFonts w:ascii="TimesNewRoman" w:hAnsi="TimesNewRoman" w:eastAsia="TimesNewRoman"/>
          <w:b w:val="0"/>
          <w:i w:val="0"/>
          <w:color w:val="221F1F"/>
          <w:sz w:val="18"/>
        </w:rPr>
        <w:t>framework of the platform is designed to optimize the peripheral conditions of data acquisition and communication; The risk in-</w:t>
      </w:r>
      <w:r>
        <w:rPr>
          <w:rFonts w:ascii="TimesNewRoman" w:hAnsi="TimesNewRoman" w:eastAsia="TimesNewRoman"/>
          <w:b w:val="0"/>
          <w:i w:val="0"/>
          <w:color w:val="221F1F"/>
          <w:sz w:val="18"/>
        </w:rPr>
        <w:t xml:space="preserve">dex system and risk assessment model of subway shield construction are established to determine the probability of various risks </w:t>
      </w:r>
      <w:r>
        <w:rPr>
          <w:rFonts w:ascii="TimesNewRoman" w:hAnsi="TimesNewRoman" w:eastAsia="TimesNewRoman"/>
          <w:b w:val="0"/>
          <w:i w:val="0"/>
          <w:color w:val="221F1F"/>
          <w:sz w:val="18"/>
        </w:rPr>
        <w:t xml:space="preserve">and the loss after the risk occurs. Finally, the risk monitoring of subway shield construction based on Cloud&amp;BIM is realized. </w:t>
      </w:r>
      <w:r>
        <w:rPr>
          <w:rFonts w:ascii="TimesNewRoman" w:hAnsi="TimesNewRoman" w:eastAsia="TimesNewRoman"/>
          <w:b w:val="0"/>
          <w:i w:val="0"/>
          <w:color w:val="221F1F"/>
          <w:sz w:val="18"/>
        </w:rPr>
        <w:t xml:space="preserve">Through the simulation of the real shield construction project, the experimental results show that the risk monitoring results of the </w:t>
      </w:r>
      <w:r>
        <w:rPr>
          <w:rFonts w:ascii="TimesNewRoman" w:hAnsi="TimesNewRoman" w:eastAsia="TimesNewRoman"/>
          <w:b w:val="0"/>
          <w:i w:val="0"/>
          <w:color w:val="221F1F"/>
          <w:sz w:val="18"/>
        </w:rPr>
        <w:t xml:space="preserve">designed platform are close to the probability of the actual shield construction risk in the simulation software, which verifies the </w:t>
      </w:r>
      <w:r>
        <w:rPr>
          <w:rFonts w:ascii="TimesNewRoman" w:hAnsi="TimesNewRoman" w:eastAsia="TimesNewRoman"/>
          <w:b w:val="0"/>
          <w:i w:val="0"/>
          <w:color w:val="221F1F"/>
          <w:sz w:val="18"/>
        </w:rPr>
        <w:t>effectiveness of the designed monitoring platform.</w:t>
      </w:r>
    </w:p>
    <w:p>
      <w:pPr>
        <w:autoSpaceDN w:val="0"/>
        <w:autoSpaceDE w:val="0"/>
        <w:widowControl/>
        <w:spacing w:line="216" w:lineRule="exact" w:before="68" w:after="320"/>
        <w:ind w:left="620" w:right="0" w:firstLine="0"/>
        <w:jc w:val="left"/>
      </w:pPr>
      <w:r>
        <w:rPr>
          <w:rFonts w:ascii="FZXBSJW--GB1-0" w:hAnsi="FZXBSJW--GB1-0" w:eastAsia="FZXBSJW--GB1-0"/>
          <w:b w:val="0"/>
          <w:i w:val="0"/>
          <w:color w:val="221F1F"/>
          <w:sz w:val="18"/>
        </w:rPr>
        <w:t>Keywords:</w:t>
      </w:r>
      <w:r>
        <w:rPr>
          <w:rFonts w:ascii="TimesNewRoman" w:hAnsi="TimesNewRoman" w:eastAsia="TimesNewRoman"/>
          <w:b w:val="0"/>
          <w:i w:val="0"/>
          <w:color w:val="221F1F"/>
          <w:sz w:val="18"/>
        </w:rPr>
        <w:t xml:space="preserve"> Cloud&amp;BIM; Shield of metro; Construction risk monitoring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647"/>
        <w:gridCol w:w="3647"/>
        <w:gridCol w:w="3647"/>
      </w:tblGrid>
      <w:tr>
        <w:trPr>
          <w:trHeight w:hRule="exact" w:val="282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120" w:firstLine="0"/>
              <w:jc w:val="righ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4"/>
              </w:rPr>
              <w:t>1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120" w:right="0" w:firstLine="0"/>
              <w:jc w:val="lef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4"/>
              </w:rPr>
              <w:t>引言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54" w:firstLine="0"/>
              <w:jc w:val="righ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根据不同地质灾害的风险等级利用BIM 模型进行风险评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pgSz w:w="12246" w:h="16498"/>
          <w:pgMar w:top="370" w:right="9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0"/>
        <w:ind w:left="620" w:right="226" w:firstLine="380"/>
        <w:jc w:val="both"/>
      </w:pPr>
      <w:r>
        <w:rPr>
          <w:rFonts w:ascii="HYa6gj" w:hAnsi="HYa6gj" w:eastAsia="HYa6gj"/>
          <w:b w:val="0"/>
          <w:i w:val="0"/>
          <w:color w:val="221F1F"/>
          <w:sz w:val="19"/>
        </w:rPr>
        <w:t>我国交通的发展已经逐渐从地面之上转移到地下，地铁</w:t>
      </w:r>
      <w:r>
        <w:rPr>
          <w:rFonts w:ascii="HYa6gj" w:hAnsi="HYa6gj" w:eastAsia="HYa6gj"/>
          <w:b w:val="0"/>
          <w:i w:val="0"/>
          <w:color w:val="221F1F"/>
          <w:sz w:val="19"/>
        </w:rPr>
        <w:t>在各个城市中的建设速度发展很快。为了保证地铁工程建</w:t>
      </w:r>
      <w:r>
        <w:rPr>
          <w:rFonts w:ascii="HYa6gj" w:hAnsi="HYa6gj" w:eastAsia="HYa6gj"/>
          <w:b w:val="0"/>
          <w:i w:val="0"/>
          <w:color w:val="221F1F"/>
          <w:sz w:val="19"/>
        </w:rPr>
        <w:t>设对城市环境的影响最小，一般采用盾构施工方法对地铁隧</w:t>
      </w:r>
      <w:r>
        <w:rPr>
          <w:rFonts w:ascii="HYa6gj" w:hAnsi="HYa6gj" w:eastAsia="HYa6gj"/>
          <w:b w:val="0"/>
          <w:i w:val="0"/>
          <w:color w:val="221F1F"/>
          <w:sz w:val="19"/>
        </w:rPr>
        <w:t>道进行建设。但是这种施工方法的风险较高，建设过程中发</w:t>
      </w:r>
      <w:r>
        <w:rPr>
          <w:rFonts w:ascii="HYa6gj" w:hAnsi="HYa6gj" w:eastAsia="HYa6gj"/>
          <w:b w:val="0"/>
          <w:i w:val="0"/>
          <w:color w:val="221F1F"/>
          <w:sz w:val="19"/>
        </w:rPr>
        <w:t>生事故的频率较高。主要是由于施工过程中地下施工需要</w:t>
      </w:r>
      <w:r>
        <w:rPr>
          <w:rFonts w:ascii="HYa6gj" w:hAnsi="HYa6gj" w:eastAsia="HYa6gj"/>
          <w:b w:val="0"/>
          <w:i w:val="0"/>
          <w:color w:val="221F1F"/>
          <w:sz w:val="19"/>
        </w:rPr>
        <w:t>考虑的地质条件数量较多，地铁盾构在保证对地质环境影响</w:t>
      </w:r>
      <w:r>
        <w:rPr>
          <w:rFonts w:ascii="HYa6gj" w:hAnsi="HYa6gj" w:eastAsia="HYa6gj"/>
          <w:b w:val="0"/>
          <w:i w:val="0"/>
          <w:color w:val="221F1F"/>
          <w:sz w:val="19"/>
        </w:rPr>
        <w:t>最小的条件下，应用了复杂的施工方法，隧道围岩的稳定性</w:t>
      </w:r>
      <w:r>
        <w:rPr>
          <w:rFonts w:ascii="HYa6gj" w:hAnsi="HYa6gj" w:eastAsia="HYa6gj"/>
          <w:b w:val="0"/>
          <w:i w:val="0"/>
          <w:color w:val="221F1F"/>
          <w:sz w:val="19"/>
        </w:rPr>
        <w:t>判断存在困难。对地铁盾构隧道施工中的风险进行监测，具</w:t>
      </w:r>
    </w:p>
    <w:p>
      <w:pPr>
        <w:sectPr>
          <w:type w:val="continuous"/>
          <w:pgSz w:w="12246" w:h="16498"/>
          <w:pgMar w:top="370" w:right="906" w:bottom="168" w:left="400" w:header="720" w:footer="720" w:gutter="0"/>
          <w:cols w:num="2" w:equalWidth="0">
            <w:col w:w="5722" w:space="0"/>
            <w:col w:w="5218" w:space="0"/>
          </w:cols>
          <w:docGrid w:linePitch="360"/>
        </w:sectPr>
      </w:pPr>
    </w:p>
    <w:p>
      <w:pPr>
        <w:autoSpaceDN w:val="0"/>
        <w:autoSpaceDE w:val="0"/>
        <w:widowControl/>
        <w:spacing w:line="288" w:lineRule="exact" w:before="0" w:after="418"/>
        <w:ind w:left="226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9"/>
        </w:rPr>
        <w:t>估，并根据实际情况进行灾害预警并采取相应措施。但是以</w:t>
      </w:r>
      <w:r>
        <w:rPr>
          <w:rFonts w:ascii="HYa6gj" w:hAnsi="HYa6gj" w:eastAsia="HYa6gj"/>
          <w:b w:val="0"/>
          <w:i w:val="0"/>
          <w:color w:val="221F1F"/>
          <w:sz w:val="19"/>
        </w:rPr>
        <w:t>上两种盾构施工风险监测都存在一定的局限性，在风险评估</w:t>
      </w:r>
      <w:r>
        <w:rPr>
          <w:rFonts w:ascii="HYa6gj" w:hAnsi="HYa6gj" w:eastAsia="HYa6gj"/>
          <w:b w:val="0"/>
          <w:i w:val="0"/>
          <w:color w:val="221F1F"/>
          <w:sz w:val="19"/>
        </w:rPr>
        <w:t>与监测过程中的性能较差，评估结果与实际情况相差比较</w:t>
      </w:r>
      <w:r>
        <w:rPr>
          <w:rFonts w:ascii="HYa6gj" w:hAnsi="HYa6gj" w:eastAsia="HYa6gj"/>
          <w:b w:val="0"/>
          <w:i w:val="0"/>
          <w:color w:val="221F1F"/>
          <w:sz w:val="19"/>
        </w:rPr>
        <w:t>大。近年来随着云计算(Cloud)和BIM在建筑施工中的应用</w:t>
      </w:r>
      <w:r>
        <w:rPr>
          <w:rFonts w:ascii="HYa6gj" w:hAnsi="HYa6gj" w:eastAsia="HYa6gj"/>
          <w:b w:val="0"/>
          <w:i w:val="0"/>
          <w:color w:val="221F1F"/>
          <w:sz w:val="19"/>
        </w:rPr>
        <w:t>与发展，想要解决传统盾构施工风险监测的问题，本文设计</w:t>
      </w:r>
      <w:r>
        <w:rPr>
          <w:rFonts w:ascii="HYa6gj" w:hAnsi="HYa6gj" w:eastAsia="HYa6gj"/>
          <w:b w:val="0"/>
          <w:i w:val="0"/>
          <w:color w:val="221F1F"/>
          <w:sz w:val="19"/>
        </w:rPr>
        <w:t>一种基于Cloud&amp;BIM 的地铁盾构施工风险监测信息平台，</w:t>
      </w:r>
      <w:r>
        <w:rPr>
          <w:rFonts w:ascii="HYa6gj" w:hAnsi="HYa6gj" w:eastAsia="HYa6gj"/>
          <w:b w:val="0"/>
          <w:i w:val="0"/>
          <w:color w:val="221F1F"/>
          <w:sz w:val="19"/>
        </w:rPr>
        <w:t>结合云计算与BIM之间的优势，优化风险监测效果。</w:t>
      </w:r>
    </w:p>
    <w:p>
      <w:pPr>
        <w:sectPr>
          <w:type w:val="nextColumn"/>
          <w:pgSz w:w="12246" w:h="16498"/>
          <w:pgMar w:top="370" w:right="906" w:bottom="168" w:left="400" w:header="720" w:footer="720" w:gutter="0"/>
          <w:cols w:num="2" w:equalWidth="0">
            <w:col w:w="5722" w:space="0"/>
            <w:col w:w="52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647"/>
        <w:gridCol w:w="3647"/>
        <w:gridCol w:w="3647"/>
      </w:tblGrid>
      <w:tr>
        <w:trPr>
          <w:trHeight w:hRule="exact" w:val="226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0" w:firstLine="0"/>
              <w:jc w:val="center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有重要的意义。很多学者在此方面进行了研究。文献[1]开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4"/>
              </w:rPr>
              <w:t>2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30" w:right="0" w:firstLine="0"/>
              <w:jc w:val="lef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4"/>
              </w:rPr>
              <w:t>地铁盾构施工风险监测平台设计</w:t>
            </w:r>
          </w:p>
        </w:tc>
      </w:tr>
      <w:tr>
        <w:trPr>
          <w:trHeight w:hRule="exact" w:val="326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6" w:after="0"/>
              <w:ind w:left="320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发了基于智慧互联技术的盾构施工安全风险管理信息系统，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6" w:after="0"/>
              <w:ind w:left="0" w:right="0" w:firstLine="0"/>
              <w:jc w:val="righ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2"/>
              </w:rPr>
              <w:t>2.1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6" w:after="0"/>
              <w:ind w:left="220" w:right="0" w:firstLine="0"/>
              <w:jc w:val="lef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2"/>
              </w:rPr>
              <w:t>平台整体架构</w:t>
            </w:r>
          </w:p>
        </w:tc>
      </w:tr>
    </w:tbl>
    <w:p>
      <w:pPr>
        <w:autoSpaceDN w:val="0"/>
        <w:autoSpaceDE w:val="0"/>
        <w:widowControl/>
        <w:spacing w:line="14" w:lineRule="exact" w:before="0" w:after="82"/>
        <w:ind w:left="0" w:right="0"/>
      </w:pPr>
    </w:p>
    <w:p>
      <w:pPr>
        <w:sectPr>
          <w:type w:val="continuous"/>
          <w:pgSz w:w="12246" w:h="16498"/>
          <w:pgMar w:top="370" w:right="9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620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9"/>
        </w:rPr>
        <w:t>以“互联网+”的思维为理念，结合物联网、</w:t>
      </w:r>
      <w:r>
        <w:rPr>
          <w:rFonts w:ascii="HYa6gj" w:hAnsi="HYa6gj" w:eastAsia="HYa6gj"/>
          <w:b w:val="0"/>
          <w:i w:val="0"/>
          <w:color w:val="221F1F"/>
          <w:sz w:val="19"/>
        </w:rPr>
        <w:t>“Web GIS”及大</w:t>
      </w:r>
    </w:p>
    <w:p>
      <w:pPr>
        <w:autoSpaceDN w:val="0"/>
        <w:autoSpaceDE w:val="0"/>
        <w:widowControl/>
        <w:spacing w:line="190" w:lineRule="exact" w:before="114" w:after="0"/>
        <w:ind w:left="620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9"/>
        </w:rPr>
        <w:t>数据等技术，实现不同类型数据的集成、分析与管理；文献[2]</w:t>
      </w:r>
    </w:p>
    <w:p>
      <w:pPr>
        <w:sectPr>
          <w:type w:val="continuous"/>
          <w:pgSz w:w="12246" w:h="16498"/>
          <w:pgMar w:top="370" w:right="906" w:bottom="168" w:left="400" w:header="720" w:footer="720" w:gutter="0"/>
          <w:cols w:num="2" w:equalWidth="0">
            <w:col w:w="5722" w:space="0"/>
            <w:col w:w="5218" w:space="0"/>
          </w:cols>
          <w:docGrid w:linePitch="360"/>
        </w:sectPr>
      </w:pPr>
    </w:p>
    <w:p>
      <w:pPr>
        <w:autoSpaceDN w:val="0"/>
        <w:tabs>
          <w:tab w:pos="608" w:val="left"/>
        </w:tabs>
        <w:autoSpaceDE w:val="0"/>
        <w:widowControl/>
        <w:spacing w:line="248" w:lineRule="exact" w:before="0" w:after="84"/>
        <w:ind w:left="228" w:right="0" w:firstLine="0"/>
        <w:jc w:val="left"/>
      </w:pPr>
      <w:r>
        <w:tab/>
      </w:r>
      <w:r>
        <w:rPr>
          <w:rFonts w:ascii="HYa6gj" w:hAnsi="HYa6gj" w:eastAsia="HYa6gj"/>
          <w:b w:val="0"/>
          <w:i w:val="0"/>
          <w:color w:val="221F1F"/>
          <w:sz w:val="19"/>
        </w:rPr>
        <w:t>需要利用云计算海量存储、高度共享的强大计算能力，</w:t>
      </w:r>
      <w:r>
        <w:rPr>
          <w:rFonts w:ascii="HYa6gj" w:hAnsi="HYa6gj" w:eastAsia="HYa6gj"/>
          <w:b w:val="0"/>
          <w:i w:val="0"/>
          <w:color w:val="221F1F"/>
          <w:sz w:val="19"/>
        </w:rPr>
        <w:t>与施工专业软件BIM 相结合，实现大规模智能化的数据采</w:t>
      </w:r>
    </w:p>
    <w:p>
      <w:pPr>
        <w:sectPr>
          <w:type w:val="nextColumn"/>
          <w:pgSz w:w="12246" w:h="16498"/>
          <w:pgMar w:top="370" w:right="906" w:bottom="168" w:left="400" w:header="720" w:footer="720" w:gutter="0"/>
          <w:cols w:num="2" w:equalWidth="0">
            <w:col w:w="5722" w:space="0"/>
            <w:col w:w="5218" w:space="0"/>
          </w:cols>
          <w:docGrid w:linePitch="360"/>
        </w:sectPr>
      </w:pPr>
    </w:p>
    <w:p>
      <w:pPr>
        <w:autoSpaceDN w:val="0"/>
        <w:tabs>
          <w:tab w:pos="5950" w:val="left"/>
          <w:tab w:pos="6144" w:val="left"/>
        </w:tabs>
        <w:autoSpaceDE w:val="0"/>
        <w:widowControl/>
        <w:spacing w:line="190" w:lineRule="exact" w:before="0" w:after="0"/>
        <w:ind w:left="620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9"/>
        </w:rPr>
        <w:t>为提高地铁运营期的安全性，利用Copula相依性建模理论，</w:t>
      </w:r>
      <w:r>
        <w:tab/>
      </w:r>
      <w:r>
        <w:rPr>
          <w:rFonts w:ascii="HYa6gj" w:hAnsi="HYa6gj" w:eastAsia="HYa6gj"/>
          <w:b w:val="0"/>
          <w:i w:val="0"/>
          <w:color w:val="221F1F"/>
          <w:sz w:val="19"/>
        </w:rPr>
        <w:t>集</w:t>
      </w:r>
      <w:r>
        <w:rPr>
          <w:w w:val="105.55333031548395"/>
          <w:rFonts w:ascii="HYa6gj" w:hAnsi="HYa6gj" w:eastAsia="HYa6gj"/>
          <w:b w:val="0"/>
          <w:i w:val="0"/>
          <w:color w:val="221F1F"/>
          <w:sz w:val="9"/>
        </w:rPr>
        <w:t>[3-4]</w:t>
      </w:r>
      <w:r>
        <w:rPr>
          <w:rFonts w:ascii="HYa6gj" w:hAnsi="HYa6gj" w:eastAsia="HYa6gj"/>
          <w:b w:val="0"/>
          <w:i w:val="0"/>
          <w:color w:val="221F1F"/>
          <w:sz w:val="19"/>
        </w:rPr>
        <w:t>，设计基于Cloud&amp;BIM 的地铁盾构施工风险监测信息</w:t>
      </w:r>
    </w:p>
    <w:p>
      <w:pPr>
        <w:autoSpaceDN w:val="0"/>
        <w:tabs>
          <w:tab w:pos="5950" w:val="left"/>
        </w:tabs>
        <w:autoSpaceDE w:val="0"/>
        <w:widowControl/>
        <w:spacing w:line="220" w:lineRule="exact" w:before="54" w:after="0"/>
        <w:ind w:left="620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9"/>
        </w:rPr>
        <w:t>研究了时变效应下邻近环境变化对地铁结构安全的影响。</w:t>
      </w:r>
      <w:r>
        <w:tab/>
      </w:r>
      <w:r>
        <w:rPr>
          <w:rFonts w:ascii="HYa6gj" w:hAnsi="HYa6gj" w:eastAsia="HYa6gj"/>
          <w:b w:val="0"/>
          <w:i w:val="0"/>
          <w:color w:val="221F1F"/>
          <w:sz w:val="19"/>
        </w:rPr>
        <w:t>平台，为施工过程中的各个用户提供决策支持。平台整体架</w:t>
      </w:r>
    </w:p>
    <w:p>
      <w:pPr>
        <w:autoSpaceDN w:val="0"/>
        <w:autoSpaceDE w:val="0"/>
        <w:widowControl/>
        <w:spacing w:line="190" w:lineRule="exact" w:before="114" w:after="72"/>
        <w:ind w:left="0" w:right="3708" w:firstLine="0"/>
        <w:jc w:val="right"/>
      </w:pPr>
      <w:r>
        <w:rPr>
          <w:rFonts w:ascii="HYa6gj" w:hAnsi="HYa6gj" w:eastAsia="HYa6gj"/>
          <w:b w:val="0"/>
          <w:i w:val="0"/>
          <w:color w:val="221F1F"/>
          <w:sz w:val="19"/>
        </w:rPr>
        <w:t>构如图1所示。</w:t>
      </w:r>
    </w:p>
    <w:p>
      <w:pPr>
        <w:sectPr>
          <w:type w:val="continuous"/>
          <w:pgSz w:w="12246" w:h="16498"/>
          <w:pgMar w:top="370" w:right="9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0" w:after="0"/>
        <w:ind w:left="620" w:right="288" w:firstLine="0"/>
        <w:jc w:val="left"/>
      </w:pPr>
      <w:r>
        <w:rPr>
          <w:rFonts w:ascii="KaiTi_GB2312" w:hAnsi="KaiTi_GB2312" w:eastAsia="KaiTi_GB2312"/>
          <w:b w:val="0"/>
          <w:i w:val="0"/>
          <w:color w:val="221F1F"/>
          <w:sz w:val="16"/>
        </w:rPr>
        <w:t>*基金项目：中铁第四勘察设计院集团有限公司内部科研项目（2018D061）</w:t>
      </w:r>
      <w:r>
        <w:rPr>
          <w:rFonts w:ascii="KaiTi_GB2312" w:hAnsi="KaiTi_GB2312" w:eastAsia="KaiTi_GB2312"/>
          <w:b w:val="0"/>
          <w:i w:val="0"/>
          <w:color w:val="221F1F"/>
          <w:sz w:val="16"/>
        </w:rPr>
        <w:t>收稿日期:2021-07-07</w:t>
      </w:r>
    </w:p>
    <w:p>
      <w:pPr>
        <w:sectPr>
          <w:type w:val="continuous"/>
          <w:pgSz w:w="12246" w:h="16498"/>
          <w:pgMar w:top="370" w:right="906" w:bottom="168" w:left="400" w:header="720" w:footer="720" w:gutter="0"/>
          <w:cols w:num="2" w:equalWidth="0">
            <w:col w:w="5934" w:space="0"/>
            <w:col w:w="5006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450"/>
        <w:ind w:left="396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9"/>
        </w:rPr>
        <w:t>从图1的整体平台架构上可以看出，最上面的一层为用</w:t>
      </w:r>
    </w:p>
    <w:p>
      <w:pPr>
        <w:sectPr>
          <w:type w:val="nextColumn"/>
          <w:pgSz w:w="12246" w:h="16498"/>
          <w:pgMar w:top="370" w:right="906" w:bottom="168" w:left="400" w:header="720" w:footer="720" w:gutter="0"/>
          <w:cols w:num="2" w:equalWidth="0">
            <w:col w:w="5934" w:space="0"/>
            <w:col w:w="5006" w:space="0"/>
          </w:cols>
          <w:docGrid w:linePitch="360"/>
        </w:sectPr>
      </w:pPr>
    </w:p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470"/>
        <w:gridCol w:w="5470"/>
      </w:tblGrid>
      <w:tr>
        <w:trPr>
          <w:trHeight w:hRule="exact" w:val="144"/>
        </w:trPr>
        <w:tc>
          <w:tcPr>
            <w:tcW w:type="dxa" w:w="586"/>
            <w:tcBorders>
              <w:end w:sz="4.53599977493286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4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136</w:t>
            </w:r>
          </w:p>
        </w:tc>
        <w:tc>
          <w:tcPr>
            <w:tcW w:type="dxa" w:w="6134"/>
            <w:tcBorders>
              <w:start w:sz="4.53599977493286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56" w:right="0" w:firstLine="0"/>
              <w:jc w:val="left"/>
            </w:pPr>
            <w:r>
              <w:rPr>
                <w:w w:val="101.65297434880183"/>
                <w:rFonts w:ascii="Arial" w:hAnsi="Arial" w:eastAsia="Arial"/>
                <w:b w:val="0"/>
                <w:i w:val="0"/>
                <w:color w:val="221F1F"/>
                <w:sz w:val="13"/>
              </w:rPr>
              <w:t>Techniques of Automation &amp; Applications</w:t>
            </w:r>
          </w:p>
        </w:tc>
      </w:tr>
    </w:tbl>
    <w:p>
      <w:pPr>
        <w:autoSpaceDN w:val="0"/>
        <w:autoSpaceDE w:val="0"/>
        <w:widowControl/>
        <w:spacing w:line="240" w:lineRule="auto" w:before="8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6498"/>
          <w:pgMar w:top="370" w:right="9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792480</wp:posOffset>
            </wp:positionH>
            <wp:positionV relativeFrom="page">
              <wp:posOffset>2724150</wp:posOffset>
            </wp:positionV>
            <wp:extent cx="2806699" cy="371625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6699" cy="37162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6045200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6045200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6045200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6045200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6032500</wp:posOffset>
            </wp:positionV>
            <wp:extent cx="635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6032500</wp:posOffset>
            </wp:positionV>
            <wp:extent cx="381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6032500</wp:posOffset>
            </wp:positionV>
            <wp:extent cx="381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6032500</wp:posOffset>
            </wp:positionV>
            <wp:extent cx="50800" cy="508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3149600</wp:posOffset>
            </wp:positionH>
            <wp:positionV relativeFrom="page">
              <wp:posOffset>6019800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6019800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6019800</wp:posOffset>
            </wp:positionV>
            <wp:extent cx="381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3276600</wp:posOffset>
            </wp:positionH>
            <wp:positionV relativeFrom="page">
              <wp:posOffset>6007100</wp:posOffset>
            </wp:positionV>
            <wp:extent cx="88900" cy="762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6007100</wp:posOffset>
            </wp:positionV>
            <wp:extent cx="63500" cy="762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3175000</wp:posOffset>
            </wp:positionH>
            <wp:positionV relativeFrom="page">
              <wp:posOffset>5981700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5969000</wp:posOffset>
            </wp:positionV>
            <wp:extent cx="50800" cy="508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5969000</wp:posOffset>
            </wp:positionV>
            <wp:extent cx="381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5943600</wp:posOffset>
            </wp:positionV>
            <wp:extent cx="38100" cy="381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5397500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5384800</wp:posOffset>
            </wp:positionV>
            <wp:extent cx="127000" cy="508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4610100</wp:posOffset>
            </wp:positionV>
            <wp:extent cx="127000" cy="50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4610100</wp:posOffset>
            </wp:positionV>
            <wp:extent cx="76200" cy="508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5194300</wp:posOffset>
            </wp:positionV>
            <wp:extent cx="381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5194300</wp:posOffset>
            </wp:positionV>
            <wp:extent cx="50800" cy="38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5194300</wp:posOffset>
            </wp:positionV>
            <wp:extent cx="635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5080000</wp:posOffset>
            </wp:positionV>
            <wp:extent cx="381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5029200</wp:posOffset>
            </wp:positionV>
            <wp:extent cx="381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4737100</wp:posOffset>
            </wp:positionV>
            <wp:extent cx="50800" cy="38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4610100</wp:posOffset>
            </wp:positionV>
            <wp:extent cx="330200" cy="177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4610100</wp:posOffset>
            </wp:positionV>
            <wp:extent cx="1270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4610100</wp:posOffset>
            </wp:positionV>
            <wp:extent cx="76200" cy="508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4610100</wp:posOffset>
            </wp:positionV>
            <wp:extent cx="177800" cy="1778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3479800</wp:posOffset>
            </wp:positionH>
            <wp:positionV relativeFrom="page">
              <wp:posOffset>4559300</wp:posOffset>
            </wp:positionV>
            <wp:extent cx="381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2768600</wp:posOffset>
            </wp:positionH>
            <wp:positionV relativeFrom="page">
              <wp:posOffset>4267200</wp:posOffset>
            </wp:positionV>
            <wp:extent cx="381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4241800</wp:posOffset>
            </wp:positionV>
            <wp:extent cx="889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3898900</wp:posOffset>
            </wp:positionV>
            <wp:extent cx="381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3403600</wp:posOffset>
            </wp:positionV>
            <wp:extent cx="63500" cy="635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3416300</wp:posOffset>
            </wp:positionV>
            <wp:extent cx="3810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3378200</wp:posOffset>
            </wp:positionV>
            <wp:extent cx="38100" cy="635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3416300</wp:posOffset>
            </wp:positionV>
            <wp:extent cx="38100" cy="381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3378200</wp:posOffset>
            </wp:positionV>
            <wp:extent cx="38100" cy="635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3454400</wp:posOffset>
            </wp:positionV>
            <wp:extent cx="38100" cy="38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3403600</wp:posOffset>
            </wp:positionV>
            <wp:extent cx="177800" cy="1270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3403600</wp:posOffset>
            </wp:positionV>
            <wp:extent cx="63500" cy="635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3429000</wp:posOffset>
            </wp:positionV>
            <wp:extent cx="381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3403600</wp:posOffset>
            </wp:positionV>
            <wp:extent cx="50800" cy="635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3340100</wp:posOffset>
            </wp:positionV>
            <wp:extent cx="520700" cy="1905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3302000</wp:posOffset>
            </wp:positionV>
            <wp:extent cx="381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3302000</wp:posOffset>
            </wp:positionV>
            <wp:extent cx="4953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3416300</wp:posOffset>
            </wp:positionV>
            <wp:extent cx="381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3378200</wp:posOffset>
            </wp:positionV>
            <wp:extent cx="38100" cy="635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3352800</wp:posOffset>
            </wp:positionV>
            <wp:extent cx="406400" cy="177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3340100</wp:posOffset>
            </wp:positionV>
            <wp:extent cx="469900" cy="1905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3340100</wp:posOffset>
            </wp:positionV>
            <wp:extent cx="63500" cy="381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3416300</wp:posOffset>
            </wp:positionV>
            <wp:extent cx="38100" cy="381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3378200</wp:posOffset>
            </wp:positionV>
            <wp:extent cx="38100" cy="635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3352800</wp:posOffset>
            </wp:positionV>
            <wp:extent cx="406400" cy="1778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3340100</wp:posOffset>
            </wp:positionV>
            <wp:extent cx="469900" cy="1905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3340100</wp:posOffset>
            </wp:positionV>
            <wp:extent cx="63500" cy="381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3454400</wp:posOffset>
            </wp:positionV>
            <wp:extent cx="38100" cy="381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3454400</wp:posOffset>
            </wp:positionV>
            <wp:extent cx="165100" cy="762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3429000</wp:posOffset>
            </wp:positionV>
            <wp:extent cx="3810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3416300</wp:posOffset>
            </wp:positionV>
            <wp:extent cx="63500" cy="635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3403600</wp:posOffset>
            </wp:positionV>
            <wp:extent cx="177800" cy="1270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1816100</wp:posOffset>
            </wp:positionH>
            <wp:positionV relativeFrom="page">
              <wp:posOffset>3403600</wp:posOffset>
            </wp:positionV>
            <wp:extent cx="63500" cy="635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3403600</wp:posOffset>
            </wp:positionV>
            <wp:extent cx="50800" cy="635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3340100</wp:posOffset>
            </wp:positionV>
            <wp:extent cx="520700" cy="1905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3340100</wp:posOffset>
            </wp:positionV>
            <wp:extent cx="101600" cy="889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3340100</wp:posOffset>
            </wp:positionV>
            <wp:extent cx="381000" cy="1905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3302000</wp:posOffset>
            </wp:positionV>
            <wp:extent cx="482600" cy="38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3302000</wp:posOffset>
            </wp:positionV>
            <wp:extent cx="38100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3302000</wp:posOffset>
            </wp:positionV>
            <wp:extent cx="38100" cy="381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5918200</wp:posOffset>
            </wp:positionV>
            <wp:extent cx="25400" cy="508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5918200</wp:posOffset>
            </wp:positionV>
            <wp:extent cx="317500" cy="1397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5473700</wp:posOffset>
            </wp:positionV>
            <wp:extent cx="25400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5473700</wp:posOffset>
            </wp:positionV>
            <wp:extent cx="25400" cy="254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5486400</wp:posOffset>
            </wp:positionV>
            <wp:extent cx="38100" cy="254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5105400</wp:posOffset>
            </wp:positionV>
            <wp:extent cx="25400" cy="254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5105400</wp:posOffset>
            </wp:positionV>
            <wp:extent cx="38100" cy="381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4965700</wp:posOffset>
            </wp:positionV>
            <wp:extent cx="25400" cy="254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4953000</wp:posOffset>
            </wp:positionV>
            <wp:extent cx="571500" cy="1524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4876800</wp:posOffset>
            </wp:positionV>
            <wp:extent cx="25400" cy="254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4813300</wp:posOffset>
            </wp:positionV>
            <wp:extent cx="38100" cy="254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4762500</wp:posOffset>
            </wp:positionV>
            <wp:extent cx="584200" cy="2286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4762500</wp:posOffset>
            </wp:positionV>
            <wp:extent cx="25400" cy="381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4737100</wp:posOffset>
            </wp:positionV>
            <wp:extent cx="38100" cy="508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4724400</wp:posOffset>
            </wp:positionV>
            <wp:extent cx="38100" cy="254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4711700</wp:posOffset>
            </wp:positionV>
            <wp:extent cx="25400" cy="381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4711700</wp:posOffset>
            </wp:positionV>
            <wp:extent cx="25400" cy="254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4699000</wp:posOffset>
            </wp:positionV>
            <wp:extent cx="25400" cy="254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4673600</wp:posOffset>
            </wp:positionV>
            <wp:extent cx="38100" cy="254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4648200</wp:posOffset>
            </wp:positionV>
            <wp:extent cx="596900" cy="2667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1028700</wp:posOffset>
            </wp:positionH>
            <wp:positionV relativeFrom="page">
              <wp:posOffset>4635500</wp:posOffset>
            </wp:positionV>
            <wp:extent cx="25400" cy="635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4470400</wp:posOffset>
            </wp:positionV>
            <wp:extent cx="241300" cy="1270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4419600</wp:posOffset>
            </wp:positionV>
            <wp:extent cx="38100" cy="381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4394200</wp:posOffset>
            </wp:positionV>
            <wp:extent cx="609600" cy="2540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5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2324100</wp:posOffset>
            </wp:positionH>
            <wp:positionV relativeFrom="page">
              <wp:posOffset>4368800</wp:posOffset>
            </wp:positionV>
            <wp:extent cx="50800" cy="254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6337300</wp:posOffset>
            </wp:positionH>
            <wp:positionV relativeFrom="page">
              <wp:posOffset>8674100</wp:posOffset>
            </wp:positionV>
            <wp:extent cx="38100" cy="381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8699500</wp:posOffset>
            </wp:positionV>
            <wp:extent cx="38100" cy="381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6337300</wp:posOffset>
            </wp:positionH>
            <wp:positionV relativeFrom="page">
              <wp:posOffset>8674100</wp:posOffset>
            </wp:positionV>
            <wp:extent cx="381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6210300</wp:posOffset>
            </wp:positionH>
            <wp:positionV relativeFrom="page">
              <wp:posOffset>8674100</wp:posOffset>
            </wp:positionV>
            <wp:extent cx="50800" cy="381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8674100</wp:posOffset>
            </wp:positionV>
            <wp:extent cx="63500" cy="381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6032500</wp:posOffset>
            </wp:positionH>
            <wp:positionV relativeFrom="page">
              <wp:posOffset>8674100</wp:posOffset>
            </wp:positionV>
            <wp:extent cx="38100" cy="381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8674100</wp:posOffset>
            </wp:positionV>
            <wp:extent cx="76200" cy="508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8534400</wp:posOffset>
            </wp:positionV>
            <wp:extent cx="38100" cy="381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6375400</wp:posOffset>
            </wp:positionH>
            <wp:positionV relativeFrom="page">
              <wp:posOffset>8534400</wp:posOffset>
            </wp:positionV>
            <wp:extent cx="38100" cy="381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6337300</wp:posOffset>
            </wp:positionH>
            <wp:positionV relativeFrom="page">
              <wp:posOffset>8534400</wp:posOffset>
            </wp:positionV>
            <wp:extent cx="38100" cy="381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6311900</wp:posOffset>
            </wp:positionH>
            <wp:positionV relativeFrom="page">
              <wp:posOffset>8534400</wp:posOffset>
            </wp:positionV>
            <wp:extent cx="38100" cy="381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8534400</wp:posOffset>
            </wp:positionV>
            <wp:extent cx="38100" cy="381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8534400</wp:posOffset>
            </wp:positionV>
            <wp:extent cx="38100" cy="381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8534400</wp:posOffset>
            </wp:positionV>
            <wp:extent cx="50800" cy="381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6108700</wp:posOffset>
            </wp:positionH>
            <wp:positionV relativeFrom="page">
              <wp:posOffset>8534400</wp:posOffset>
            </wp:positionV>
            <wp:extent cx="38100" cy="381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8534400</wp:posOffset>
            </wp:positionV>
            <wp:extent cx="63500" cy="381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8534400</wp:posOffset>
            </wp:positionV>
            <wp:extent cx="50800" cy="381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6438900</wp:posOffset>
            </wp:positionH>
            <wp:positionV relativeFrom="page">
              <wp:posOffset>8521700</wp:posOffset>
            </wp:positionV>
            <wp:extent cx="38100" cy="508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8521700</wp:posOffset>
            </wp:positionV>
            <wp:extent cx="38100" cy="508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5892800</wp:posOffset>
            </wp:positionH>
            <wp:positionV relativeFrom="page">
              <wp:posOffset>8521700</wp:posOffset>
            </wp:positionV>
            <wp:extent cx="50800" cy="508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6438900</wp:posOffset>
            </wp:positionH>
            <wp:positionV relativeFrom="page">
              <wp:posOffset>8521700</wp:posOffset>
            </wp:positionV>
            <wp:extent cx="38100" cy="508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7962900</wp:posOffset>
            </wp:positionV>
            <wp:extent cx="38100" cy="381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7912100</wp:posOffset>
            </wp:positionV>
            <wp:extent cx="38100" cy="381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8026400</wp:posOffset>
            </wp:positionV>
            <wp:extent cx="38100" cy="381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8001000</wp:posOffset>
            </wp:positionV>
            <wp:extent cx="38100" cy="381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7988300</wp:posOffset>
            </wp:positionV>
            <wp:extent cx="38100" cy="508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5270500</wp:posOffset>
            </wp:positionH>
            <wp:positionV relativeFrom="page">
              <wp:posOffset>7937500</wp:posOffset>
            </wp:positionV>
            <wp:extent cx="88900" cy="635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7937500</wp:posOffset>
            </wp:positionV>
            <wp:extent cx="50800" cy="381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7937500</wp:posOffset>
            </wp:positionV>
            <wp:extent cx="88900" cy="762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7937500</wp:posOffset>
            </wp:positionV>
            <wp:extent cx="63500" cy="508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7924800</wp:posOffset>
            </wp:positionV>
            <wp:extent cx="38100" cy="381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4564380</wp:posOffset>
            </wp:positionH>
            <wp:positionV relativeFrom="page">
              <wp:posOffset>5057140</wp:posOffset>
            </wp:positionV>
            <wp:extent cx="2030729" cy="4301626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030729" cy="430162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7912100</wp:posOffset>
            </wp:positionV>
            <wp:extent cx="38100" cy="508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5308600</wp:posOffset>
            </wp:positionH>
            <wp:positionV relativeFrom="page">
              <wp:posOffset>7861300</wp:posOffset>
            </wp:positionV>
            <wp:extent cx="63500" cy="635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7835900</wp:posOffset>
            </wp:positionV>
            <wp:extent cx="38100" cy="381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7835900</wp:posOffset>
            </wp:positionV>
            <wp:extent cx="38100" cy="381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6515100</wp:posOffset>
            </wp:positionH>
            <wp:positionV relativeFrom="page">
              <wp:posOffset>6972300</wp:posOffset>
            </wp:positionV>
            <wp:extent cx="50800" cy="381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6769100</wp:posOffset>
            </wp:positionV>
            <wp:extent cx="63500" cy="762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6731000</wp:posOffset>
            </wp:positionV>
            <wp:extent cx="38100" cy="635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5829300</wp:posOffset>
            </wp:positionH>
            <wp:positionV relativeFrom="page">
              <wp:posOffset>6705600</wp:posOffset>
            </wp:positionV>
            <wp:extent cx="76200" cy="381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6337300</wp:posOffset>
            </wp:positionH>
            <wp:positionV relativeFrom="page">
              <wp:posOffset>6413500</wp:posOffset>
            </wp:positionV>
            <wp:extent cx="38100" cy="381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5321300</wp:posOffset>
            </wp:positionV>
            <wp:extent cx="50800" cy="381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5511800</wp:posOffset>
            </wp:positionV>
            <wp:extent cx="63500" cy="508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5422900</wp:posOffset>
            </wp:positionV>
            <wp:extent cx="38100" cy="381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5346700</wp:posOffset>
            </wp:positionV>
            <wp:extent cx="177800" cy="1016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5321300</wp:posOffset>
            </wp:positionV>
            <wp:extent cx="50800" cy="381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5207000</wp:posOffset>
            </wp:positionH>
            <wp:positionV relativeFrom="page">
              <wp:posOffset>5308600</wp:posOffset>
            </wp:positionV>
            <wp:extent cx="63500" cy="635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6477000</wp:posOffset>
            </wp:positionH>
            <wp:positionV relativeFrom="page">
              <wp:posOffset>8483600</wp:posOffset>
            </wp:positionV>
            <wp:extent cx="25400" cy="254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6692900</wp:posOffset>
            </wp:positionV>
            <wp:extent cx="25400" cy="254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6527800</wp:posOffset>
            </wp:positionH>
            <wp:positionV relativeFrom="page">
              <wp:posOffset>6134100</wp:posOffset>
            </wp:positionV>
            <wp:extent cx="38100" cy="254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6045200</wp:posOffset>
            </wp:positionV>
            <wp:extent cx="444500" cy="2794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6527800</wp:posOffset>
            </wp:positionH>
            <wp:positionV relativeFrom="page">
              <wp:posOffset>5143500</wp:posOffset>
            </wp:positionV>
            <wp:extent cx="38100" cy="254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0.0" w:type="dxa"/>
      </w:tblPr>
      <w:tblGrid>
        <w:gridCol w:w="2735"/>
        <w:gridCol w:w="2735"/>
        <w:gridCol w:w="2735"/>
        <w:gridCol w:w="2735"/>
      </w:tblGrid>
      <w:tr>
        <w:trPr>
          <w:trHeight w:hRule="exact" w:val="546"/>
        </w:trPr>
        <w:tc>
          <w:tcPr>
            <w:tcW w:type="dxa" w:w="6790"/>
            <w:gridSpan w:val="2"/>
            <w:vMerge w:val="restart"/>
            <w:tcBorders>
              <w:top w:sz="24.944799423217773" w:val="single" w:color="#9D9FA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54" w:after="0"/>
              <w:ind w:left="3600" w:right="144" w:firstLine="0"/>
              <w:jc w:val="center"/>
            </w:pPr>
            <w:r>
              <w:rPr>
                <w:rFonts w:ascii="FZBSK--GBK1-0" w:hAnsi="FZBSK--GBK1-0" w:eastAsia="FZBSK--GBK1-0"/>
                <w:b w:val="0"/>
                <w:i w:val="0"/>
                <w:color w:val="221F1F"/>
                <w:sz w:val="27"/>
              </w:rPr>
              <w:t>行业应用与交流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1F1F"/>
                <w:sz w:val="15"/>
              </w:rPr>
              <w:t>Industrial Applications and Communications</w:t>
            </w:r>
          </w:p>
        </w:tc>
        <w:tc>
          <w:tcPr>
            <w:tcW w:type="dxa" w:w="1780"/>
            <w:vMerge w:val="restart"/>
            <w:tcBorders>
              <w:top w:sz="24.944799423217773" w:val="single" w:color="#9D9FA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208" w:right="0" w:firstLine="0"/>
              <w:jc w:val="left"/>
            </w:pPr>
            <w:r>
              <w:rPr>
                <w:rFonts w:ascii="YouYuan" w:hAnsi="YouYuan" w:eastAsia="YouYuan"/>
                <w:b w:val="0"/>
                <w:i w:val="0"/>
                <w:color w:val="221F1F"/>
                <w:sz w:val="15"/>
              </w:rPr>
              <w:t>《自动化技术与应用》</w:t>
            </w:r>
          </w:p>
        </w:tc>
        <w:tc>
          <w:tcPr>
            <w:tcW w:type="dxa" w:w="1760"/>
            <w:tcBorders>
              <w:top w:sz="24.944799423217773" w:val="single" w:color="#9D9FA1"/>
              <w:bottom w:sz="3.401599884033203" w:val="single" w:color="#80828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76" w:right="0" w:firstLine="0"/>
              <w:jc w:val="left"/>
            </w:pPr>
            <w:r>
              <w:rPr>
                <w:rFonts w:ascii="YouYuan" w:hAnsi="YouYuan" w:eastAsia="YouYuan"/>
                <w:b w:val="0"/>
                <w:i w:val="0"/>
                <w:color w:val="221F1F"/>
                <w:sz w:val="15"/>
              </w:rPr>
              <w:t>2022 年第41 卷第9 期</w:t>
            </w:r>
          </w:p>
        </w:tc>
      </w:tr>
      <w:tr>
        <w:trPr>
          <w:trHeight w:hRule="exact" w:val="64"/>
        </w:trPr>
        <w:tc>
          <w:tcPr>
            <w:tcW w:type="dxa" w:w="5470"/>
            <w:gridSpan w:val="2"/>
            <w:vMerge/>
            <w:tcBorders>
              <w:top w:sz="24.944799423217773" w:val="single" w:color="#9D9FA1"/>
            </w:tcBorders>
          </w:tcPr>
          <w:p/>
        </w:tc>
        <w:tc>
          <w:tcPr>
            <w:tcW w:type="dxa" w:w="2735"/>
            <w:vMerge/>
            <w:tcBorders>
              <w:top w:sz="24.944799423217773" w:val="single" w:color="#9D9FA1"/>
            </w:tcBorders>
          </w:tcPr>
          <w:p/>
        </w:tc>
        <w:tc>
          <w:tcPr>
            <w:tcW w:type="dxa" w:w="1760"/>
            <w:tcBorders>
              <w:top w:sz="3.401599884033203" w:val="single" w:color="#808284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5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32" w:after="0"/>
              <w:ind w:left="30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户层，主要涉及施工、建设、监理等单位。在平台架构基础</w:t>
            </w:r>
          </w:p>
        </w:tc>
        <w:tc>
          <w:tcPr>
            <w:tcW w:type="dxa" w:w="5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32" w:after="0"/>
              <w:ind w:left="230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要构建一个风险评估模型对风险进行量化。风险量的计算</w:t>
            </w:r>
          </w:p>
        </w:tc>
      </w:tr>
      <w:tr>
        <w:trPr>
          <w:trHeight w:hRule="exact" w:val="300"/>
        </w:trPr>
        <w:tc>
          <w:tcPr>
            <w:tcW w:type="dxa" w:w="5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6" w:after="0"/>
              <w:ind w:left="30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上，将BIM和云计算之间的优势进行整合，将BIM自身所具</w:t>
            </w:r>
          </w:p>
        </w:tc>
        <w:tc>
          <w:tcPr>
            <w:tcW w:type="dxa" w:w="5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6" w:after="0"/>
              <w:ind w:left="230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公式如下式：</w:t>
            </w:r>
          </w:p>
        </w:tc>
      </w:tr>
      <w:tr>
        <w:trPr>
          <w:trHeight w:hRule="exact" w:val="248"/>
        </w:trPr>
        <w:tc>
          <w:tcPr>
            <w:tcW w:type="dxa" w:w="5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8" w:after="0"/>
              <w:ind w:left="30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有的存储和计算性能在云计算的环境下进行提升,满足各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41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03860" cy="1168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" cy="116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8" w:after="0"/>
              <w:ind w:left="0" w:right="0" w:firstLine="0"/>
              <w:jc w:val="righ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（1）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4"/>
        <w:ind w:left="0" w:right="0"/>
      </w:pPr>
    </w:p>
    <w:p>
      <w:pPr>
        <w:sectPr>
          <w:pgSz w:w="12246" w:h="16498"/>
          <w:pgMar w:top="370" w:right="9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620" w:right="226" w:firstLine="0"/>
        <w:jc w:val="both"/>
      </w:pPr>
      <w:r>
        <w:rPr>
          <w:rFonts w:ascii="HYa6gj" w:hAnsi="HYa6gj" w:eastAsia="HYa6gj"/>
          <w:b w:val="0"/>
          <w:i w:val="0"/>
          <w:color w:val="221F1F"/>
          <w:sz w:val="19"/>
        </w:rPr>
        <w:t>个单位能够在任何时间任何地点通过平台访问到地铁盾构</w:t>
      </w:r>
      <w:r>
        <w:rPr>
          <w:rFonts w:ascii="HYa6gj" w:hAnsi="HYa6gj" w:eastAsia="HYa6gj"/>
          <w:b w:val="0"/>
          <w:i w:val="0"/>
          <w:color w:val="221F1F"/>
          <w:sz w:val="19"/>
        </w:rPr>
        <w:t>施工数据，经过物联网和传感器的采集和传输，能够将施工</w:t>
      </w:r>
      <w:r>
        <w:rPr>
          <w:rFonts w:ascii="HYa6gj" w:hAnsi="HYa6gj" w:eastAsia="HYa6gj"/>
          <w:b w:val="0"/>
          <w:i w:val="0"/>
          <w:color w:val="221F1F"/>
          <w:sz w:val="19"/>
        </w:rPr>
        <w:t>现场中海量的施工数据以及地质数据进行采集并传输到云</w:t>
      </w:r>
    </w:p>
    <w:p>
      <w:pPr>
        <w:sectPr>
          <w:type w:val="continuous"/>
          <w:pgSz w:w="12246" w:h="16498"/>
          <w:pgMar w:top="370" w:right="906" w:bottom="168" w:left="400" w:header="720" w:footer="720" w:gutter="0"/>
          <w:cols w:num="2" w:equalWidth="0">
            <w:col w:w="5722" w:space="0"/>
            <w:col w:w="5218" w:space="0"/>
          </w:cols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106"/>
        <w:ind w:left="228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9"/>
        </w:rPr>
        <w:t>式中，</w:t>
      </w:r>
      <w:r>
        <w:rPr>
          <w:rFonts w:ascii="NEU" w:hAnsi="NEU" w:eastAsia="NEU"/>
          <w:b w:val="0"/>
          <w:i/>
          <w:color w:val="221F1F"/>
          <w:sz w:val="19"/>
        </w:rPr>
        <w:t>p</w:t>
      </w:r>
      <w:r>
        <w:rPr>
          <w:rFonts w:ascii="HYa6gj" w:hAnsi="HYa6gj" w:eastAsia="HYa6gj"/>
          <w:b w:val="0"/>
          <w:i w:val="0"/>
          <w:color w:val="221F1F"/>
          <w:sz w:val="19"/>
        </w:rPr>
        <w:t>表示盾构施工过程中的风险发生概率，c表示风险损</w:t>
      </w:r>
      <w:r>
        <w:rPr>
          <w:rFonts w:ascii="HYa6gj" w:hAnsi="HYa6gj" w:eastAsia="HYa6gj"/>
          <w:b w:val="0"/>
          <w:i w:val="0"/>
          <w:color w:val="221F1F"/>
          <w:sz w:val="19"/>
        </w:rPr>
        <w:t>失。但是在实际的施工过程中，能够产生风险的点非常多，</w:t>
      </w:r>
      <w:r>
        <w:rPr>
          <w:rFonts w:ascii="HYa6gj" w:hAnsi="HYa6gj" w:eastAsia="HYa6gj"/>
          <w:b w:val="0"/>
          <w:i w:val="0"/>
          <w:color w:val="221F1F"/>
          <w:sz w:val="19"/>
        </w:rPr>
        <w:t>在指标体系指导下，可以将施工总体的风险量进行拆解：</w:t>
      </w:r>
    </w:p>
    <w:p>
      <w:pPr>
        <w:sectPr>
          <w:type w:val="nextColumn"/>
          <w:pgSz w:w="12246" w:h="16498"/>
          <w:pgMar w:top="370" w:right="906" w:bottom="168" w:left="400" w:header="720" w:footer="720" w:gutter="0"/>
          <w:cols w:num="2" w:equalWidth="0">
            <w:col w:w="5722" w:space="0"/>
            <w:col w:w="52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735"/>
        <w:gridCol w:w="2735"/>
        <w:gridCol w:w="2735"/>
        <w:gridCol w:w="2735"/>
      </w:tblGrid>
      <w:tr>
        <w:trPr>
          <w:trHeight w:hRule="exact" w:val="178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" w:after="0"/>
              <w:ind w:left="0" w:right="0" w:firstLine="0"/>
              <w:jc w:val="righ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端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4" w:after="0"/>
              <w:ind w:left="18" w:right="0" w:firstLine="0"/>
              <w:jc w:val="left"/>
            </w:pPr>
            <w:r>
              <w:rPr>
                <w:w w:val="105.55419921875"/>
                <w:rFonts w:ascii="HYa6gj" w:hAnsi="HYa6gj" w:eastAsia="HYa6gj"/>
                <w:b w:val="0"/>
                <w:i w:val="0"/>
                <w:color w:val="221F1F"/>
                <w:sz w:val="9"/>
              </w:rPr>
              <w:t>[5-7]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，在得到实时的现场技术后，建立其BIM 模型，并通过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60450" cy="1181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50" cy="118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" w:after="0"/>
              <w:ind w:left="0" w:right="0" w:firstLine="0"/>
              <w:jc w:val="righ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（2）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4"/>
        <w:ind w:left="0" w:right="0"/>
      </w:pPr>
    </w:p>
    <w:p>
      <w:pPr>
        <w:sectPr>
          <w:type w:val="continuous"/>
          <w:pgSz w:w="12246" w:h="16498"/>
          <w:pgMar w:top="370" w:right="9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6" w:lineRule="exact" w:before="0" w:after="0"/>
        <w:ind w:left="620" w:right="144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9"/>
        </w:rPr>
        <w:t>相关的智慧算法完成施工风险的评估与预警，并为用户提供</w:t>
      </w:r>
      <w:r>
        <w:rPr>
          <w:rFonts w:ascii="HYa6gj" w:hAnsi="HYa6gj" w:eastAsia="HYa6gj"/>
          <w:b w:val="0"/>
          <w:i w:val="0"/>
          <w:color w:val="221F1F"/>
          <w:sz w:val="19"/>
        </w:rPr>
        <w:t>智能信息决策。</w:t>
      </w:r>
    </w:p>
    <w:p>
      <w:pPr>
        <w:autoSpaceDN w:val="0"/>
        <w:tabs>
          <w:tab w:pos="2938" w:val="left"/>
        </w:tabs>
        <w:autoSpaceDE w:val="0"/>
        <w:widowControl/>
        <w:spacing w:line="222" w:lineRule="exact" w:before="5824" w:after="0"/>
        <w:ind w:left="2380" w:right="0" w:firstLine="0"/>
        <w:jc w:val="left"/>
      </w:pPr>
      <w:r>
        <w:rPr>
          <w:rFonts w:ascii="HeitiCSEG-Medium-GB" w:hAnsi="HeitiCSEG-Medium-GB" w:eastAsia="HeitiCSEG-Medium-GB"/>
          <w:b w:val="0"/>
          <w:i w:val="0"/>
          <w:color w:val="221F1F"/>
          <w:sz w:val="20"/>
        </w:rPr>
        <w:t>图</w:t>
      </w:r>
      <w:r>
        <w:rPr>
          <w:rFonts w:ascii="Arial" w:hAnsi="Arial" w:eastAsia="Arial"/>
          <w:b w:val="0"/>
          <w:i w:val="0"/>
          <w:color w:val="221F1F"/>
          <w:sz w:val="20"/>
        </w:rPr>
        <w:t>1</w:t>
      </w:r>
      <w:r>
        <w:tab/>
      </w:r>
      <w:r>
        <w:rPr>
          <w:rFonts w:ascii="HeitiCSEG-Medium-GB" w:hAnsi="HeitiCSEG-Medium-GB" w:eastAsia="HeitiCSEG-Medium-GB"/>
          <w:b w:val="0"/>
          <w:i w:val="0"/>
          <w:color w:val="221F1F"/>
          <w:sz w:val="20"/>
        </w:rPr>
        <w:t>平台架构</w:t>
      </w:r>
    </w:p>
    <w:p>
      <w:pPr>
        <w:autoSpaceDN w:val="0"/>
        <w:tabs>
          <w:tab w:pos="818" w:val="left"/>
          <w:tab w:pos="1000" w:val="left"/>
          <w:tab w:pos="1170" w:val="left"/>
        </w:tabs>
        <w:autoSpaceDE w:val="0"/>
        <w:widowControl/>
        <w:spacing w:line="304" w:lineRule="exact" w:before="86" w:after="0"/>
        <w:ind w:left="620" w:right="144" w:firstLine="0"/>
        <w:jc w:val="left"/>
      </w:pPr>
      <w:r>
        <w:rPr>
          <w:rFonts w:ascii="HeitiCSEG-Medium-GB" w:hAnsi="HeitiCSEG-Medium-GB" w:eastAsia="HeitiCSEG-Medium-GB"/>
          <w:b w:val="0"/>
          <w:i w:val="0"/>
          <w:color w:val="221F1F"/>
          <w:sz w:val="22"/>
        </w:rPr>
        <w:t>2.2</w:t>
      </w:r>
      <w:r>
        <w:tab/>
      </w:r>
      <w:r>
        <w:tab/>
      </w:r>
      <w:r>
        <w:rPr>
          <w:rFonts w:ascii="HeitiCSEG-Medium-GB" w:hAnsi="HeitiCSEG-Medium-GB" w:eastAsia="HeitiCSEG-Medium-GB"/>
          <w:b w:val="0"/>
          <w:i w:val="0"/>
          <w:color w:val="221F1F"/>
          <w:sz w:val="22"/>
        </w:rPr>
        <w:t>地铁盾构施工风险指标体系</w:t>
      </w:r>
      <w:r>
        <w:br/>
      </w:r>
      <w:r>
        <w:tab/>
      </w:r>
      <w:r>
        <w:tab/>
      </w:r>
      <w:r>
        <w:rPr>
          <w:rFonts w:ascii="HYa6gj" w:hAnsi="HYa6gj" w:eastAsia="HYa6gj"/>
          <w:b w:val="0"/>
          <w:i w:val="0"/>
          <w:color w:val="221F1F"/>
          <w:sz w:val="19"/>
        </w:rPr>
        <w:t>在地铁盾构的施工风险监测过程中，首先要确定风险预</w:t>
      </w:r>
      <w:r>
        <w:rPr>
          <w:rFonts w:ascii="HYa6gj" w:hAnsi="HYa6gj" w:eastAsia="HYa6gj"/>
          <w:b w:val="0"/>
          <w:i w:val="0"/>
          <w:color w:val="221F1F"/>
          <w:sz w:val="19"/>
        </w:rPr>
        <w:t>警指标，这些指标的选取必须在平台中完成量化并进行判</w:t>
      </w:r>
      <w:r>
        <w:rPr>
          <w:rFonts w:ascii="HYa6gj" w:hAnsi="HYa6gj" w:eastAsia="HYa6gj"/>
          <w:b w:val="0"/>
          <w:i w:val="0"/>
          <w:color w:val="221F1F"/>
          <w:sz w:val="19"/>
        </w:rPr>
        <w:t>断</w:t>
      </w:r>
      <w:r>
        <w:rPr>
          <w:w w:val="105.55419921875"/>
          <w:rFonts w:ascii="HYa6gj" w:hAnsi="HYa6gj" w:eastAsia="HYa6gj"/>
          <w:b w:val="0"/>
          <w:i w:val="0"/>
          <w:color w:val="221F1F"/>
          <w:sz w:val="9"/>
        </w:rPr>
        <w:t>[8]</w:t>
      </w:r>
      <w:r>
        <w:rPr>
          <w:rFonts w:ascii="HYa6gj" w:hAnsi="HYa6gj" w:eastAsia="HYa6gj"/>
          <w:b w:val="0"/>
          <w:i w:val="0"/>
          <w:color w:val="221F1F"/>
          <w:sz w:val="19"/>
        </w:rPr>
        <w:t>。选择的风险预警指标能够真实、全面地反映出盾构施</w:t>
      </w:r>
      <w:r>
        <w:rPr>
          <w:rFonts w:ascii="HYa6gj" w:hAnsi="HYa6gj" w:eastAsia="HYa6gj"/>
          <w:b w:val="0"/>
          <w:i w:val="0"/>
          <w:color w:val="221F1F"/>
          <w:sz w:val="19"/>
        </w:rPr>
        <w:t>工过程中的情况，合理选取施工活动中的风险指标，并利用</w:t>
      </w:r>
      <w:r>
        <w:rPr>
          <w:rFonts w:ascii="HYa6gj" w:hAnsi="HYa6gj" w:eastAsia="HYa6gj"/>
          <w:b w:val="0"/>
          <w:i w:val="0"/>
          <w:color w:val="221F1F"/>
          <w:sz w:val="19"/>
        </w:rPr>
        <w:t>指标值观察与监测施工中的隐藏风险，计算施工的风险、损</w:t>
      </w:r>
      <w:r>
        <w:rPr>
          <w:rFonts w:ascii="HYa6gj" w:hAnsi="HYa6gj" w:eastAsia="HYa6gj"/>
          <w:b w:val="0"/>
          <w:i w:val="0"/>
          <w:color w:val="221F1F"/>
          <w:sz w:val="19"/>
        </w:rPr>
        <w:t>失，为盾构工程的风险评估提供依据。在建立风险指标体系</w:t>
      </w:r>
      <w:r>
        <w:rPr>
          <w:rFonts w:ascii="HYa6gj" w:hAnsi="HYa6gj" w:eastAsia="HYa6gj"/>
          <w:b w:val="0"/>
          <w:i w:val="0"/>
          <w:color w:val="221F1F"/>
          <w:sz w:val="19"/>
        </w:rPr>
        <w:t>前，首先要分析盾构施工过程中存在的风险类型，本文主要</w:t>
      </w:r>
      <w:r>
        <w:rPr>
          <w:rFonts w:ascii="HYa6gj" w:hAnsi="HYa6gj" w:eastAsia="HYa6gj"/>
          <w:b w:val="0"/>
          <w:i w:val="0"/>
          <w:color w:val="221F1F"/>
          <w:sz w:val="19"/>
        </w:rPr>
        <w:t>对技术性风险进行分析。在技术性风险中，选取一些影响较</w:t>
      </w:r>
      <w:r>
        <w:rPr>
          <w:rFonts w:ascii="HYa6gj" w:hAnsi="HYa6gj" w:eastAsia="HYa6gj"/>
          <w:b w:val="0"/>
          <w:i w:val="0"/>
          <w:color w:val="221F1F"/>
          <w:sz w:val="19"/>
        </w:rPr>
        <w:t>大的典型风险进行分析，得到的施工风险预警指标体系示意</w:t>
      </w:r>
      <w:r>
        <w:rPr>
          <w:rFonts w:ascii="HYa6gj" w:hAnsi="HYa6gj" w:eastAsia="HYa6gj"/>
          <w:b w:val="0"/>
          <w:i w:val="0"/>
          <w:color w:val="221F1F"/>
          <w:sz w:val="19"/>
        </w:rPr>
        <w:t>图如图2所示。</w:t>
      </w:r>
    </w:p>
    <w:p>
      <w:pPr>
        <w:autoSpaceDN w:val="0"/>
        <w:autoSpaceDE w:val="0"/>
        <w:widowControl/>
        <w:spacing w:line="302" w:lineRule="exact" w:before="2" w:after="0"/>
        <w:ind w:left="620" w:right="226" w:firstLine="380"/>
        <w:jc w:val="both"/>
      </w:pPr>
      <w:r>
        <w:rPr>
          <w:rFonts w:ascii="HYa6gj" w:hAnsi="HYa6gj" w:eastAsia="HYa6gj"/>
          <w:b w:val="0"/>
          <w:i w:val="0"/>
          <w:color w:val="221F1F"/>
          <w:sz w:val="19"/>
        </w:rPr>
        <w:t>由于地铁盾构在施工过程中的技术繁多且复杂，因此需</w:t>
      </w:r>
      <w:r>
        <w:rPr>
          <w:rFonts w:ascii="HYa6gj" w:hAnsi="HYa6gj" w:eastAsia="HYa6gj"/>
          <w:b w:val="0"/>
          <w:i w:val="0"/>
          <w:color w:val="221F1F"/>
          <w:sz w:val="19"/>
        </w:rPr>
        <w:t>要建立较多的二级指标和三级指标，这样才能够保证全面准</w:t>
      </w:r>
      <w:r>
        <w:rPr>
          <w:rFonts w:ascii="HYa6gj" w:hAnsi="HYa6gj" w:eastAsia="HYa6gj"/>
          <w:b w:val="0"/>
          <w:i w:val="0"/>
          <w:color w:val="221F1F"/>
          <w:sz w:val="19"/>
        </w:rPr>
        <w:t>确地进行施工风险分析,完成风险指标体系的建立。</w:t>
      </w:r>
    </w:p>
    <w:p>
      <w:pPr>
        <w:sectPr>
          <w:type w:val="continuous"/>
          <w:pgSz w:w="12246" w:h="16498"/>
          <w:pgMar w:top="370" w:right="906" w:bottom="168" w:left="400" w:header="720" w:footer="720" w:gutter="0"/>
          <w:cols w:num="2" w:equalWidth="0">
            <w:col w:w="5722" w:space="0"/>
            <w:col w:w="5218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228" w:right="114" w:firstLine="0"/>
        <w:jc w:val="both"/>
      </w:pPr>
      <w:r>
        <w:rPr>
          <w:rFonts w:ascii="HYa6gj" w:hAnsi="HYa6gj" w:eastAsia="HYa6gj"/>
          <w:b w:val="0"/>
          <w:i w:val="0"/>
          <w:color w:val="221F1F"/>
          <w:sz w:val="19"/>
        </w:rPr>
        <w:t>式中，r</w:t>
      </w:r>
      <w:r>
        <w:rPr>
          <w:w w:val="105.55419921875"/>
          <w:rFonts w:ascii="HYa6gj" w:hAnsi="HYa6gj" w:eastAsia="HYa6gj"/>
          <w:b w:val="0"/>
          <w:i w:val="0"/>
          <w:color w:val="221F1F"/>
          <w:sz w:val="9"/>
        </w:rPr>
        <w:t>n</w:t>
      </w:r>
      <w:r>
        <w:rPr>
          <w:rFonts w:ascii="HYa6gj" w:hAnsi="HYa6gj" w:eastAsia="HYa6gj"/>
          <w:b w:val="0"/>
          <w:i w:val="0"/>
          <w:color w:val="221F1F"/>
          <w:sz w:val="19"/>
        </w:rPr>
        <w:t>表示施工中的各项指标风险，n表示指标的数量。根</w:t>
      </w:r>
      <w:r>
        <w:rPr>
          <w:rFonts w:ascii="HYa6gj" w:hAnsi="HYa6gj" w:eastAsia="HYa6gj"/>
          <w:b w:val="0"/>
          <w:i w:val="0"/>
          <w:color w:val="221F1F"/>
          <w:sz w:val="19"/>
        </w:rPr>
        <w:t>据实际的地铁盾构施工经验，不同风险类型发生的概率是不</w:t>
      </w:r>
      <w:r>
        <w:rPr>
          <w:rFonts w:ascii="HYa6gj" w:hAnsi="HYa6gj" w:eastAsia="HYa6gj"/>
          <w:b w:val="0"/>
          <w:i w:val="0"/>
          <w:color w:val="221F1F"/>
          <w:sz w:val="19"/>
        </w:rPr>
        <w:t>一样的，在风险评估模型中可以依据以往的经验和施工的实</w:t>
      </w:r>
      <w:r>
        <w:rPr>
          <w:rFonts w:ascii="HYa6gj" w:hAnsi="HYa6gj" w:eastAsia="HYa6gj"/>
          <w:b w:val="0"/>
          <w:i w:val="0"/>
          <w:color w:val="221F1F"/>
          <w:sz w:val="19"/>
        </w:rPr>
        <w:t>际情况对其进行估计，因此风险概率可以表示为：</w:t>
      </w:r>
    </w:p>
    <w:p>
      <w:pPr>
        <w:autoSpaceDN w:val="0"/>
        <w:tabs>
          <w:tab w:pos="4720" w:val="left"/>
        </w:tabs>
        <w:autoSpaceDE w:val="0"/>
        <w:widowControl/>
        <w:spacing w:line="240" w:lineRule="auto" w:before="104" w:after="0"/>
        <w:ind w:left="6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36089" cy="7200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6089" cy="72008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HYa6gj" w:hAnsi="HYa6gj" w:eastAsia="HYa6gj"/>
          <w:b w:val="0"/>
          <w:i w:val="0"/>
          <w:color w:val="221F1F"/>
          <w:sz w:val="19"/>
        </w:rPr>
        <w:t>（3）</w:t>
      </w:r>
    </w:p>
    <w:p>
      <w:pPr>
        <w:autoSpaceDN w:val="0"/>
        <w:autoSpaceDE w:val="0"/>
        <w:widowControl/>
        <w:spacing w:line="304" w:lineRule="exact" w:before="10" w:after="0"/>
        <w:ind w:left="228" w:right="114" w:firstLine="0"/>
        <w:jc w:val="both"/>
      </w:pPr>
      <w:r>
        <w:rPr>
          <w:rFonts w:ascii="HYa6gj" w:hAnsi="HYa6gj" w:eastAsia="HYa6gj"/>
          <w:b w:val="0"/>
          <w:i w:val="0"/>
          <w:color w:val="221F1F"/>
          <w:sz w:val="19"/>
        </w:rPr>
        <w:t>式中，k 代表风险的不确定系数，在工程计算过程中以随机</w:t>
      </w:r>
      <w:r>
        <w:rPr>
          <w:rFonts w:ascii="HYa6gj" w:hAnsi="HYa6gj" w:eastAsia="HYa6gj"/>
          <w:b w:val="0"/>
          <w:i w:val="0"/>
          <w:color w:val="221F1F"/>
          <w:sz w:val="19"/>
        </w:rPr>
        <w:t>数的形式存在。在评估模型中还需要对风险损失进行无量</w:t>
      </w:r>
      <w:r>
        <w:rPr>
          <w:rFonts w:ascii="HYa6gj" w:hAnsi="HYa6gj" w:eastAsia="HYa6gj"/>
          <w:b w:val="0"/>
          <w:i w:val="0"/>
          <w:color w:val="221F1F"/>
          <w:sz w:val="19"/>
        </w:rPr>
        <w:t>纲化处理，消除异常量纲对损失评估产生的影响。在实际的</w:t>
      </w:r>
      <w:r>
        <w:rPr>
          <w:rFonts w:ascii="HYa6gj" w:hAnsi="HYa6gj" w:eastAsia="HYa6gj"/>
          <w:b w:val="0"/>
          <w:i w:val="0"/>
          <w:color w:val="221F1F"/>
          <w:sz w:val="19"/>
        </w:rPr>
        <w:t>施工过程中，得到的无量纲化结果如下：</w:t>
      </w:r>
    </w:p>
    <w:p>
      <w:pPr>
        <w:autoSpaceDN w:val="0"/>
        <w:tabs>
          <w:tab w:pos="4720" w:val="left"/>
        </w:tabs>
        <w:autoSpaceDE w:val="0"/>
        <w:widowControl/>
        <w:spacing w:line="240" w:lineRule="auto" w:before="104" w:after="0"/>
        <w:ind w:left="6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3939" cy="3124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3939" cy="31241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HYa6gj" w:hAnsi="HYa6gj" w:eastAsia="HYa6gj"/>
          <w:b w:val="0"/>
          <w:i w:val="0"/>
          <w:color w:val="221F1F"/>
          <w:sz w:val="19"/>
        </w:rPr>
        <w:t>（4）</w:t>
      </w:r>
    </w:p>
    <w:p>
      <w:pPr>
        <w:autoSpaceDN w:val="0"/>
        <w:autoSpaceDE w:val="0"/>
        <w:widowControl/>
        <w:spacing w:line="240" w:lineRule="auto" w:before="6766" w:after="0"/>
        <w:ind w:left="0" w:right="104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54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sectPr>
          <w:type w:val="nextColumn"/>
          <w:pgSz w:w="12246" w:h="16498"/>
          <w:pgMar w:top="370" w:right="906" w:bottom="168" w:left="400" w:header="720" w:footer="720" w:gutter="0"/>
          <w:cols w:num="2" w:equalWidth="0">
            <w:col w:w="5722" w:space="0"/>
            <w:col w:w="52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188"/>
        <w:gridCol w:w="2188"/>
        <w:gridCol w:w="2188"/>
        <w:gridCol w:w="2188"/>
        <w:gridCol w:w="2188"/>
      </w:tblGrid>
      <w:tr>
        <w:trPr>
          <w:trHeight w:hRule="exact" w:val="26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110" w:firstLine="0"/>
              <w:jc w:val="righ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2"/>
              </w:rPr>
              <w:t>2.3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10" w:right="0" w:firstLine="0"/>
              <w:jc w:val="lef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2"/>
              </w:rPr>
              <w:t>风险评估模型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0" w:after="0"/>
              <w:ind w:left="0" w:right="96" w:firstLine="0"/>
              <w:jc w:val="righ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0"/>
              </w:rPr>
              <w:t>图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>2</w:t>
            </w:r>
          </w:p>
        </w:tc>
        <w:tc>
          <w:tcPr>
            <w:tcW w:type="dxa" w:w="3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2" w:after="0"/>
              <w:ind w:left="126" w:right="0" w:firstLine="0"/>
              <w:jc w:val="lef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0"/>
              </w:rPr>
              <w:t>地铁盾构施工风险指标体系</w:t>
            </w:r>
          </w:p>
        </w:tc>
      </w:tr>
      <w:tr>
        <w:trPr>
          <w:trHeight w:hRule="exact" w:val="260"/>
        </w:trPr>
        <w:tc>
          <w:tcPr>
            <w:tcW w:type="dxa" w:w="5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320" w:right="288" w:firstLine="38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在以上地铁盾构施工风险指标体系的基础上，要确定各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种风险发生的概率以及风险发生后所产生的损失。本文需</w:t>
            </w:r>
          </w:p>
        </w:tc>
        <w:tc>
          <w:tcPr>
            <w:tcW w:type="dxa" w:w="2188"/>
            <w:vMerge/>
            <w:tcBorders/>
          </w:tcPr>
          <w:p/>
        </w:tc>
        <w:tc>
          <w:tcPr>
            <w:tcW w:type="dxa" w:w="4376"/>
            <w:gridSpan w:val="2"/>
            <w:vMerge/>
            <w:tcBorders/>
          </w:tcPr>
          <w:p/>
        </w:tc>
      </w:tr>
      <w:tr>
        <w:trPr>
          <w:trHeight w:hRule="exact" w:val="576"/>
        </w:trPr>
        <w:tc>
          <w:tcPr>
            <w:tcW w:type="dxa" w:w="4376"/>
            <w:gridSpan w:val="2"/>
            <w:vMerge/>
            <w:tcBorders/>
          </w:tcPr>
          <w:p/>
        </w:tc>
        <w:tc>
          <w:tcPr>
            <w:tcW w:type="dxa" w:w="4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0" w:after="0"/>
              <w:ind w:left="430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在实际的地铁盾构施工工程中对施工风险指标进行损</w:t>
            </w:r>
          </w:p>
        </w:tc>
      </w:tr>
      <w:tr>
        <w:trPr>
          <w:trHeight w:hRule="exact" w:val="144"/>
        </w:trPr>
        <w:tc>
          <w:tcPr>
            <w:tcW w:type="dxa" w:w="4376"/>
            <w:gridSpan w:val="2"/>
            <w:vMerge/>
            <w:tcBorders/>
          </w:tcPr>
          <w:p/>
        </w:tc>
        <w:tc>
          <w:tcPr>
            <w:tcW w:type="dxa" w:w="4660"/>
            <w:gridSpan w:val="2"/>
            <w:tcBorders>
              <w:end w:sz="4.53520011901855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0" w:right="50" w:firstLine="0"/>
              <w:jc w:val="right"/>
            </w:pPr>
            <w:r>
              <w:rPr>
                <w:w w:val="101.65317975557768"/>
                <w:rFonts w:ascii="Arial" w:hAnsi="Arial" w:eastAsia="Arial"/>
                <w:b w:val="0"/>
                <w:i w:val="0"/>
                <w:color w:val="221F1F"/>
                <w:sz w:val="13"/>
              </w:rPr>
              <w:t>Techniques of Automation &amp; Applications</w:t>
            </w:r>
          </w:p>
        </w:tc>
        <w:tc>
          <w:tcPr>
            <w:tcW w:type="dxa" w:w="320"/>
            <w:tcBorders>
              <w:start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137</w:t>
            </w:r>
          </w:p>
        </w:tc>
      </w:tr>
    </w:tbl>
    <w:p>
      <w:pPr>
        <w:autoSpaceDN w:val="0"/>
        <w:autoSpaceDE w:val="0"/>
        <w:widowControl/>
        <w:spacing w:line="240" w:lineRule="auto" w:before="8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6498"/>
          <w:pgMar w:top="370" w:right="9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4064000</wp:posOffset>
            </wp:positionV>
            <wp:extent cx="76200" cy="762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3962400</wp:posOffset>
            </wp:positionV>
            <wp:extent cx="50800" cy="381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3949700</wp:posOffset>
            </wp:positionV>
            <wp:extent cx="50800" cy="508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3962400</wp:posOffset>
            </wp:positionV>
            <wp:extent cx="50800" cy="381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3949700</wp:posOffset>
            </wp:positionV>
            <wp:extent cx="50800" cy="508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3924300</wp:posOffset>
            </wp:positionV>
            <wp:extent cx="38100" cy="381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3771900</wp:posOffset>
            </wp:positionV>
            <wp:extent cx="38100" cy="381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889000</wp:posOffset>
            </wp:positionH>
            <wp:positionV relativeFrom="page">
              <wp:posOffset>3477260</wp:posOffset>
            </wp:positionV>
            <wp:extent cx="1512570" cy="72274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512570" cy="7227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889000</wp:posOffset>
            </wp:positionH>
            <wp:positionV relativeFrom="page">
              <wp:posOffset>5236210</wp:posOffset>
            </wp:positionV>
            <wp:extent cx="2053589" cy="66117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053589" cy="6611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5410200</wp:posOffset>
            </wp:positionV>
            <wp:extent cx="25400" cy="635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5295900</wp:posOffset>
            </wp:positionV>
            <wp:extent cx="38100" cy="381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1037590</wp:posOffset>
            </wp:positionH>
            <wp:positionV relativeFrom="page">
              <wp:posOffset>7788909</wp:posOffset>
            </wp:positionV>
            <wp:extent cx="2316480" cy="17526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1752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9232900</wp:posOffset>
            </wp:positionV>
            <wp:extent cx="292100" cy="889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8864600</wp:posOffset>
            </wp:positionV>
            <wp:extent cx="381000" cy="889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8864600</wp:posOffset>
            </wp:positionV>
            <wp:extent cx="88900" cy="889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8763000</wp:posOffset>
            </wp:positionV>
            <wp:extent cx="482600" cy="1016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8305800</wp:posOffset>
            </wp:positionV>
            <wp:extent cx="482600" cy="1016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8280400</wp:posOffset>
            </wp:positionV>
            <wp:extent cx="482600" cy="1016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8102600</wp:posOffset>
            </wp:positionV>
            <wp:extent cx="292100" cy="8890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8102600</wp:posOffset>
            </wp:positionV>
            <wp:extent cx="190500" cy="889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4686300</wp:posOffset>
            </wp:positionH>
            <wp:positionV relativeFrom="page">
              <wp:posOffset>6400800</wp:posOffset>
            </wp:positionV>
            <wp:extent cx="50800" cy="635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6324600</wp:posOffset>
            </wp:positionV>
            <wp:extent cx="38100" cy="381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6311900</wp:posOffset>
            </wp:positionV>
            <wp:extent cx="38100" cy="381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6248400</wp:posOffset>
            </wp:positionV>
            <wp:extent cx="38100" cy="3810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6489700</wp:posOffset>
            </wp:positionH>
            <wp:positionV relativeFrom="page">
              <wp:posOffset>6985000</wp:posOffset>
            </wp:positionV>
            <wp:extent cx="38100" cy="381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6972300</wp:posOffset>
            </wp:positionV>
            <wp:extent cx="76200" cy="50800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6311900</wp:posOffset>
            </wp:positionH>
            <wp:positionV relativeFrom="page">
              <wp:posOffset>6819900</wp:posOffset>
            </wp:positionV>
            <wp:extent cx="50800" cy="381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6299200</wp:posOffset>
            </wp:positionH>
            <wp:positionV relativeFrom="page">
              <wp:posOffset>6477000</wp:posOffset>
            </wp:positionV>
            <wp:extent cx="38100" cy="3810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6337300</wp:posOffset>
            </wp:positionV>
            <wp:extent cx="38100" cy="3810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5956300</wp:posOffset>
            </wp:positionH>
            <wp:positionV relativeFrom="page">
              <wp:posOffset>6134100</wp:posOffset>
            </wp:positionV>
            <wp:extent cx="38100" cy="381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6299200</wp:posOffset>
            </wp:positionH>
            <wp:positionV relativeFrom="page">
              <wp:posOffset>6477000</wp:posOffset>
            </wp:positionV>
            <wp:extent cx="38100" cy="38100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6337300</wp:posOffset>
            </wp:positionV>
            <wp:extent cx="38100" cy="38100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5956300</wp:posOffset>
            </wp:positionH>
            <wp:positionV relativeFrom="page">
              <wp:posOffset>6134100</wp:posOffset>
            </wp:positionV>
            <wp:extent cx="38100" cy="381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6400800</wp:posOffset>
            </wp:positionH>
            <wp:positionV relativeFrom="page">
              <wp:posOffset>5969000</wp:posOffset>
            </wp:positionV>
            <wp:extent cx="38100" cy="38100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5969000</wp:posOffset>
            </wp:positionV>
            <wp:extent cx="38100" cy="38100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6235700</wp:posOffset>
            </wp:positionH>
            <wp:positionV relativeFrom="page">
              <wp:posOffset>6032500</wp:posOffset>
            </wp:positionV>
            <wp:extent cx="63500" cy="381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6019800</wp:posOffset>
            </wp:positionV>
            <wp:extent cx="76200" cy="50800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6273800</wp:posOffset>
            </wp:positionH>
            <wp:positionV relativeFrom="page">
              <wp:posOffset>6007100</wp:posOffset>
            </wp:positionV>
            <wp:extent cx="50800" cy="50800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6007100</wp:posOffset>
            </wp:positionV>
            <wp:extent cx="76200" cy="6350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6007100</wp:posOffset>
            </wp:positionV>
            <wp:extent cx="38100" cy="38100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5943600</wp:posOffset>
            </wp:positionH>
            <wp:positionV relativeFrom="page">
              <wp:posOffset>5994400</wp:posOffset>
            </wp:positionV>
            <wp:extent cx="165100" cy="76200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5969000</wp:posOffset>
            </wp:positionV>
            <wp:extent cx="50800" cy="63500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5956300</wp:posOffset>
            </wp:positionV>
            <wp:extent cx="38100" cy="38100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5943600</wp:posOffset>
            </wp:positionH>
            <wp:positionV relativeFrom="page">
              <wp:posOffset>5956300</wp:posOffset>
            </wp:positionV>
            <wp:extent cx="38100" cy="38100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5943600</wp:posOffset>
            </wp:positionH>
            <wp:positionV relativeFrom="page">
              <wp:posOffset>5803900</wp:posOffset>
            </wp:positionV>
            <wp:extent cx="38100" cy="38100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6159500</wp:posOffset>
            </wp:positionH>
            <wp:positionV relativeFrom="page">
              <wp:posOffset>5778500</wp:posOffset>
            </wp:positionV>
            <wp:extent cx="38100" cy="38100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6324600</wp:posOffset>
            </wp:positionV>
            <wp:extent cx="38100" cy="38100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6311900</wp:posOffset>
            </wp:positionV>
            <wp:extent cx="38100" cy="38100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6248400</wp:posOffset>
            </wp:positionV>
            <wp:extent cx="38100" cy="38100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6121400</wp:posOffset>
            </wp:positionV>
            <wp:extent cx="38100" cy="38100"/>
            <wp:wrapNone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6057900</wp:posOffset>
            </wp:positionV>
            <wp:extent cx="38100" cy="38100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6007100</wp:posOffset>
            </wp:positionV>
            <wp:extent cx="76200" cy="76200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5969000</wp:posOffset>
            </wp:positionV>
            <wp:extent cx="38100" cy="50800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5969000</wp:posOffset>
            </wp:positionV>
            <wp:extent cx="38100" cy="38100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5105400</wp:posOffset>
            </wp:positionH>
            <wp:positionV relativeFrom="page">
              <wp:posOffset>6959600</wp:posOffset>
            </wp:positionV>
            <wp:extent cx="25400" cy="25400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6946900</wp:posOffset>
            </wp:positionV>
            <wp:extent cx="50800" cy="38100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6883400</wp:posOffset>
            </wp:positionV>
            <wp:extent cx="25400" cy="2540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6883400</wp:posOffset>
            </wp:positionV>
            <wp:extent cx="50800" cy="38100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6870700</wp:posOffset>
            </wp:positionV>
            <wp:extent cx="25400" cy="25400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5041900</wp:posOffset>
            </wp:positionH>
            <wp:positionV relativeFrom="page">
              <wp:posOffset>6832600</wp:posOffset>
            </wp:positionV>
            <wp:extent cx="38100" cy="25400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6451600</wp:posOffset>
            </wp:positionV>
            <wp:extent cx="38100" cy="38100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6413500</wp:posOffset>
            </wp:positionV>
            <wp:extent cx="38100" cy="25400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6362700</wp:posOffset>
            </wp:positionV>
            <wp:extent cx="25400" cy="25400"/>
            <wp:wrapNone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6337300</wp:posOffset>
            </wp:positionV>
            <wp:extent cx="25400" cy="63500"/>
            <wp:wrapNone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6273800</wp:posOffset>
            </wp:positionV>
            <wp:extent cx="25400" cy="25400"/>
            <wp:wrapNone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6261100</wp:posOffset>
            </wp:positionV>
            <wp:extent cx="38100" cy="38100"/>
            <wp:wrapNone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6642100</wp:posOffset>
            </wp:positionH>
            <wp:positionV relativeFrom="page">
              <wp:posOffset>6959600</wp:posOffset>
            </wp:positionV>
            <wp:extent cx="25400" cy="25400"/>
            <wp:wrapNone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6883400</wp:posOffset>
            </wp:positionV>
            <wp:extent cx="25400" cy="50800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6273800</wp:posOffset>
            </wp:positionH>
            <wp:positionV relativeFrom="page">
              <wp:posOffset>6756400</wp:posOffset>
            </wp:positionV>
            <wp:extent cx="38100" cy="38100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6388100</wp:posOffset>
            </wp:positionH>
            <wp:positionV relativeFrom="page">
              <wp:posOffset>6591300</wp:posOffset>
            </wp:positionV>
            <wp:extent cx="25400" cy="25400"/>
            <wp:wrapNone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6184900</wp:posOffset>
            </wp:positionH>
            <wp:positionV relativeFrom="page">
              <wp:posOffset>6502400</wp:posOffset>
            </wp:positionV>
            <wp:extent cx="38100" cy="25400"/>
            <wp:wrapNone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6388100</wp:posOffset>
            </wp:positionV>
            <wp:extent cx="25400" cy="63500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6451600</wp:posOffset>
            </wp:positionV>
            <wp:extent cx="50800" cy="50800"/>
            <wp:wrapNone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6223000</wp:posOffset>
            </wp:positionV>
            <wp:extent cx="25400" cy="25400"/>
            <wp:wrapNone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4401820</wp:posOffset>
            </wp:positionH>
            <wp:positionV relativeFrom="page">
              <wp:posOffset>5661660</wp:posOffset>
            </wp:positionV>
            <wp:extent cx="2357120" cy="1693999"/>
            <wp:wrapNone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2357120" cy="169399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625"/>
        <w:gridCol w:w="3625"/>
        <w:gridCol w:w="3625"/>
      </w:tblGrid>
      <w:tr>
        <w:trPr>
          <w:trHeight w:hRule="exact" w:val="526"/>
        </w:trPr>
        <w:tc>
          <w:tcPr>
            <w:tcW w:type="dxa" w:w="1860"/>
            <w:tcBorders>
              <w:top w:sz="24.944799423217773" w:val="single" w:color="#9D9FA1"/>
              <w:bottom w:sz="3.401599884033203" w:val="single" w:color="#80828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284" w:right="0" w:firstLine="0"/>
              <w:jc w:val="left"/>
            </w:pPr>
            <w:r>
              <w:rPr>
                <w:rFonts w:ascii="YouYuan" w:hAnsi="YouYuan" w:eastAsia="YouYuan"/>
                <w:b w:val="0"/>
                <w:i w:val="0"/>
                <w:color w:val="221F1F"/>
                <w:sz w:val="15"/>
              </w:rPr>
              <w:t>《自动化技术与应用》</w:t>
            </w:r>
          </w:p>
        </w:tc>
        <w:tc>
          <w:tcPr>
            <w:tcW w:type="dxa" w:w="1910"/>
            <w:tcBorders>
              <w:top w:sz="24.944799423217773" w:val="single" w:color="#9D9FA1"/>
              <w:bottom w:sz="3.401599884033203" w:val="single" w:color="#80828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84" w:right="0" w:firstLine="0"/>
              <w:jc w:val="left"/>
            </w:pPr>
            <w:r>
              <w:rPr>
                <w:rFonts w:ascii="YouYuan" w:hAnsi="YouYuan" w:eastAsia="YouYuan"/>
                <w:b w:val="0"/>
                <w:i w:val="0"/>
                <w:color w:val="221F1F"/>
                <w:sz w:val="15"/>
              </w:rPr>
              <w:t>2022 年第41 卷第9 期</w:t>
            </w:r>
          </w:p>
        </w:tc>
        <w:tc>
          <w:tcPr>
            <w:tcW w:type="dxa" w:w="6806"/>
            <w:tcBorders>
              <w:top w:sz="24.944799423217773" w:val="single" w:color="#9D9FA1"/>
              <w:bottom w:sz="3.401599884033203" w:val="single" w:color="#80828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54" w:after="0"/>
              <w:ind w:left="144" w:right="3600" w:firstLine="0"/>
              <w:jc w:val="center"/>
            </w:pPr>
            <w:r>
              <w:rPr>
                <w:rFonts w:ascii="FZBSK--GBK1-0" w:hAnsi="FZBSK--GBK1-0" w:eastAsia="FZBSK--GBK1-0"/>
                <w:b w:val="0"/>
                <w:i w:val="0"/>
                <w:color w:val="221F1F"/>
                <w:sz w:val="27"/>
              </w:rPr>
              <w:t>行业应用与交流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1F1F"/>
                <w:sz w:val="15"/>
              </w:rPr>
              <w:t>Industrial Applications and Communications</w:t>
            </w:r>
          </w:p>
        </w:tc>
      </w:tr>
    </w:tbl>
    <w:p>
      <w:pPr>
        <w:autoSpaceDN w:val="0"/>
        <w:autoSpaceDE w:val="0"/>
        <w:widowControl/>
        <w:spacing w:line="14" w:lineRule="exact" w:before="0" w:after="174"/>
        <w:ind w:left="0" w:right="0"/>
      </w:pPr>
    </w:p>
    <w:p>
      <w:pPr>
        <w:sectPr>
          <w:pgSz w:w="12246" w:h="16498"/>
          <w:pgMar w:top="370" w:right="97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8" w:lineRule="exact" w:before="0" w:after="0"/>
        <w:ind w:left="620" w:right="180" w:firstLine="0"/>
        <w:jc w:val="both"/>
      </w:pPr>
      <w:r>
        <w:rPr>
          <w:rFonts w:ascii="HYa6gj" w:hAnsi="HYa6gj" w:eastAsia="HYa6gj"/>
          <w:b w:val="0"/>
          <w:i w:val="0"/>
          <w:color w:val="221F1F"/>
          <w:sz w:val="19"/>
        </w:rPr>
        <w:t>失方面的定量分级，上式中，(</w:t>
      </w:r>
      <w:r>
        <w:rPr>
          <w:rFonts w:ascii="NEU" w:hAnsi="NEU" w:eastAsia="NEU"/>
          <w:b w:val="0"/>
          <w:i/>
          <w:color w:val="221F1F"/>
          <w:sz w:val="19"/>
        </w:rPr>
        <w:t>l</w:t>
      </w:r>
      <w:r>
        <w:rPr>
          <w:w w:val="105.55419921875"/>
          <w:rFonts w:ascii="HYa6gj" w:hAnsi="HYa6gj" w:eastAsia="HYa6gj"/>
          <w:b w:val="0"/>
          <w:i w:val="0"/>
          <w:color w:val="221F1F"/>
          <w:sz w:val="9"/>
        </w:rPr>
        <w:t>i</w:t>
      </w:r>
      <w:r>
        <w:rPr>
          <w:rFonts w:ascii="HYa6gj" w:hAnsi="HYa6gj" w:eastAsia="HYa6gj"/>
          <w:b w:val="0"/>
          <w:i w:val="0"/>
          <w:color w:val="221F1F"/>
          <w:sz w:val="19"/>
        </w:rPr>
        <w:t>,h</w:t>
      </w:r>
      <w:r>
        <w:rPr>
          <w:w w:val="105.55419921875"/>
          <w:rFonts w:ascii="HYa6gj" w:hAnsi="HYa6gj" w:eastAsia="HYa6gj"/>
          <w:b w:val="0"/>
          <w:i w:val="0"/>
          <w:color w:val="221F1F"/>
          <w:sz w:val="9"/>
        </w:rPr>
        <w:t>i</w:t>
      </w:r>
      <w:r>
        <w:rPr>
          <w:rFonts w:ascii="HYa6gj" w:hAnsi="HYa6gj" w:eastAsia="HYa6gj"/>
          <w:b w:val="0"/>
          <w:i w:val="0"/>
          <w:color w:val="221F1F"/>
          <w:sz w:val="19"/>
        </w:rPr>
        <w:t>)表示风险指标i 在发生之</w:t>
      </w:r>
      <w:r>
        <w:rPr>
          <w:rFonts w:ascii="HYa6gj" w:hAnsi="HYa6gj" w:eastAsia="HYa6gj"/>
          <w:b w:val="0"/>
          <w:i w:val="0"/>
          <w:color w:val="221F1F"/>
          <w:sz w:val="19"/>
        </w:rPr>
        <w:t>后的损失等级阈值，x</w:t>
      </w:r>
      <w:r>
        <w:rPr>
          <w:w w:val="105.55419921875"/>
          <w:rFonts w:ascii="HYa6gj" w:hAnsi="HYa6gj" w:eastAsia="HYa6gj"/>
          <w:b w:val="0"/>
          <w:i w:val="0"/>
          <w:color w:val="221F1F"/>
          <w:sz w:val="9"/>
        </w:rPr>
        <w:t>ij</w:t>
      </w:r>
      <w:r>
        <w:rPr>
          <w:rFonts w:ascii="HYa6gj" w:hAnsi="HYa6gj" w:eastAsia="HYa6gj"/>
          <w:b w:val="0"/>
          <w:i w:val="0"/>
          <w:color w:val="221F1F"/>
          <w:sz w:val="19"/>
        </w:rPr>
        <w:t>表示(</w:t>
      </w:r>
      <w:r>
        <w:rPr>
          <w:rFonts w:ascii="NEU" w:hAnsi="NEU" w:eastAsia="NEU"/>
          <w:b w:val="0"/>
          <w:i/>
          <w:color w:val="221F1F"/>
          <w:sz w:val="19"/>
        </w:rPr>
        <w:t>l</w:t>
      </w:r>
      <w:r>
        <w:rPr>
          <w:w w:val="105.55419921875"/>
          <w:rFonts w:ascii="HYa6gj" w:hAnsi="HYa6gj" w:eastAsia="HYa6gj"/>
          <w:b w:val="0"/>
          <w:i w:val="0"/>
          <w:color w:val="221F1F"/>
          <w:sz w:val="9"/>
        </w:rPr>
        <w:t>i</w:t>
      </w:r>
      <w:r>
        <w:rPr>
          <w:rFonts w:ascii="HYa6gj" w:hAnsi="HYa6gj" w:eastAsia="HYa6gj"/>
          <w:b w:val="0"/>
          <w:i w:val="0"/>
          <w:color w:val="221F1F"/>
          <w:sz w:val="19"/>
        </w:rPr>
        <w:t>,h</w:t>
      </w:r>
      <w:r>
        <w:rPr>
          <w:w w:val="105.55419921875"/>
          <w:rFonts w:ascii="HYa6gj" w:hAnsi="HYa6gj" w:eastAsia="HYa6gj"/>
          <w:b w:val="0"/>
          <w:i w:val="0"/>
          <w:color w:val="221F1F"/>
          <w:sz w:val="9"/>
        </w:rPr>
        <w:t>i</w:t>
      </w:r>
      <w:r>
        <w:rPr>
          <w:rFonts w:ascii="HYa6gj" w:hAnsi="HYa6gj" w:eastAsia="HYa6gj"/>
          <w:b w:val="0"/>
          <w:i w:val="0"/>
          <w:color w:val="221F1F"/>
          <w:sz w:val="19"/>
        </w:rPr>
        <w:t>)所对应的损失评估值，m和</w:t>
      </w:r>
      <w:r>
        <w:rPr>
          <w:rFonts w:ascii="HYa6gj" w:hAnsi="HYa6gj" w:eastAsia="HYa6gj"/>
          <w:b w:val="0"/>
          <w:i w:val="0"/>
          <w:color w:val="221F1F"/>
          <w:sz w:val="19"/>
        </w:rPr>
        <w:t>n 表示(</w:t>
      </w:r>
      <w:r>
        <w:rPr>
          <w:rFonts w:ascii="NEU" w:hAnsi="NEU" w:eastAsia="NEU"/>
          <w:b w:val="0"/>
          <w:i/>
          <w:color w:val="221F1F"/>
          <w:sz w:val="19"/>
        </w:rPr>
        <w:t>l</w:t>
      </w:r>
      <w:r>
        <w:rPr>
          <w:w w:val="105.55419921875"/>
          <w:rFonts w:ascii="HYa6gj" w:hAnsi="HYa6gj" w:eastAsia="HYa6gj"/>
          <w:b w:val="0"/>
          <w:i w:val="0"/>
          <w:color w:val="221F1F"/>
          <w:sz w:val="9"/>
        </w:rPr>
        <w:t>i</w:t>
      </w:r>
      <w:r>
        <w:rPr>
          <w:rFonts w:ascii="HYa6gj" w:hAnsi="HYa6gj" w:eastAsia="HYa6gj"/>
          <w:b w:val="0"/>
          <w:i w:val="0"/>
          <w:color w:val="221F1F"/>
          <w:sz w:val="19"/>
        </w:rPr>
        <w:t>,h</w:t>
      </w:r>
      <w:r>
        <w:rPr>
          <w:w w:val="105.55419921875"/>
          <w:rFonts w:ascii="HYa6gj" w:hAnsi="HYa6gj" w:eastAsia="HYa6gj"/>
          <w:b w:val="0"/>
          <w:i w:val="0"/>
          <w:color w:val="221F1F"/>
          <w:sz w:val="9"/>
        </w:rPr>
        <w:t>i</w:t>
      </w:r>
      <w:r>
        <w:rPr>
          <w:rFonts w:ascii="HYa6gj" w:hAnsi="HYa6gj" w:eastAsia="HYa6gj"/>
          <w:b w:val="0"/>
          <w:i w:val="0"/>
          <w:color w:val="221F1F"/>
          <w:sz w:val="19"/>
        </w:rPr>
        <w:t>)所对应的在0-1 范围内的具体数值。核验盾构</w:t>
      </w:r>
      <w:r>
        <w:rPr>
          <w:rFonts w:ascii="HYa6gj" w:hAnsi="HYa6gj" w:eastAsia="HYa6gj"/>
          <w:b w:val="0"/>
          <w:i w:val="0"/>
          <w:color w:val="221F1F"/>
          <w:sz w:val="19"/>
        </w:rPr>
        <w:t>隧道设计以及参数化结果，并结合盾构管片排版、错缝拼装、</w:t>
      </w:r>
    </w:p>
    <w:p>
      <w:pPr>
        <w:autoSpaceDN w:val="0"/>
        <w:autoSpaceDE w:val="0"/>
        <w:widowControl/>
        <w:spacing w:line="190" w:lineRule="exact" w:before="114" w:after="0"/>
        <w:ind w:left="620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9"/>
        </w:rPr>
        <w:t>曲线偏移等要求建模。在完成评估模型的建立之后，需要利</w:t>
      </w:r>
    </w:p>
    <w:p>
      <w:pPr>
        <w:sectPr>
          <w:type w:val="continuous"/>
          <w:pgSz w:w="12246" w:h="16498"/>
          <w:pgMar w:top="370" w:right="970" w:bottom="168" w:left="400" w:header="720" w:footer="720" w:gutter="0"/>
          <w:cols w:num="2" w:equalWidth="0">
            <w:col w:w="5772" w:space="0"/>
            <w:col w:w="5103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178" w:right="50" w:firstLine="380"/>
        <w:jc w:val="both"/>
      </w:pPr>
      <w:r>
        <w:rPr>
          <w:rFonts w:ascii="HYa6gj" w:hAnsi="HYa6gj" w:eastAsia="HYa6gj"/>
          <w:b w:val="0"/>
          <w:i w:val="0"/>
          <w:color w:val="221F1F"/>
          <w:sz w:val="19"/>
        </w:rPr>
        <w:t>为了验证本文设计平台的有效性，在平台性能仿真测试</w:t>
      </w:r>
      <w:r>
        <w:rPr>
          <w:rFonts w:ascii="HYa6gj" w:hAnsi="HYa6gj" w:eastAsia="HYa6gj"/>
          <w:b w:val="0"/>
          <w:i w:val="0"/>
          <w:color w:val="221F1F"/>
          <w:sz w:val="19"/>
        </w:rPr>
        <w:t>的过程中，选择某城市2号地铁线的施工段的施工参数情况</w:t>
      </w:r>
      <w:r>
        <w:rPr>
          <w:rFonts w:ascii="HYa6gj" w:hAnsi="HYa6gj" w:eastAsia="HYa6gj"/>
          <w:b w:val="0"/>
          <w:i w:val="0"/>
          <w:color w:val="221F1F"/>
          <w:sz w:val="19"/>
        </w:rPr>
        <w:t>作为仿真实验的原型。根据施工现场平台得到的各个监测</w:t>
      </w:r>
      <w:r>
        <w:rPr>
          <w:rFonts w:ascii="HYa6gj" w:hAnsi="HYa6gj" w:eastAsia="HYa6gj"/>
          <w:b w:val="0"/>
          <w:i w:val="0"/>
          <w:color w:val="221F1F"/>
          <w:sz w:val="19"/>
        </w:rPr>
        <w:t>参数，现场施工规模以及分布情况如图3所示。</w:t>
      </w:r>
    </w:p>
    <w:p>
      <w:pPr>
        <w:autoSpaceDN w:val="0"/>
        <w:autoSpaceDE w:val="0"/>
        <w:widowControl/>
        <w:spacing w:line="190" w:lineRule="exact" w:before="114" w:after="112"/>
        <w:ind w:left="558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9"/>
        </w:rPr>
        <w:t>在经过为期30天各项参数的监测中，得到的监测结果如</w:t>
      </w:r>
    </w:p>
    <w:p>
      <w:pPr>
        <w:sectPr>
          <w:type w:val="nextColumn"/>
          <w:pgSz w:w="12246" w:h="16498"/>
          <w:pgMar w:top="370" w:right="970" w:bottom="168" w:left="400" w:header="720" w:footer="720" w:gutter="0"/>
          <w:cols w:num="2" w:equalWidth="0">
            <w:col w:w="5772" w:space="0"/>
            <w:col w:w="510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175"/>
        <w:gridCol w:w="2175"/>
        <w:gridCol w:w="2175"/>
        <w:gridCol w:w="2175"/>
        <w:gridCol w:w="2175"/>
      </w:tblGrid>
      <w:tr>
        <w:trPr>
          <w:trHeight w:hRule="exact" w:val="232"/>
        </w:trPr>
        <w:tc>
          <w:tcPr>
            <w:tcW w:type="dxa" w:w="4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320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用该模型对地铁盾构施工的风险进行评估监测。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168" w:firstLine="0"/>
              <w:jc w:val="righ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表1所示。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0" w:after="0"/>
              <w:ind w:left="0" w:right="96" w:firstLine="0"/>
              <w:jc w:val="righ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0"/>
              </w:rPr>
              <w:t>表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>1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2" w:after="0"/>
              <w:ind w:left="126" w:right="0" w:firstLine="0"/>
              <w:jc w:val="lef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0"/>
              </w:rPr>
              <w:t>选择的施工监测结果</w:t>
            </w:r>
          </w:p>
        </w:tc>
      </w:tr>
      <w:tr>
        <w:trPr>
          <w:trHeight w:hRule="exact" w:val="312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4" w:after="0"/>
              <w:ind w:left="0" w:right="110" w:firstLine="0"/>
              <w:jc w:val="righ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2"/>
              </w:rPr>
              <w:t>2.4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4" w:after="0"/>
              <w:ind w:left="110" w:right="0" w:firstLine="0"/>
              <w:jc w:val="lef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2"/>
              </w:rPr>
              <w:t>盾构施工风险监测实现</w:t>
            </w:r>
          </w:p>
        </w:tc>
        <w:tc>
          <w:tcPr>
            <w:tcW w:type="dxa" w:w="2175"/>
            <w:vMerge/>
            <w:tcBorders/>
          </w:tcPr>
          <w:p/>
        </w:tc>
        <w:tc>
          <w:tcPr>
            <w:tcW w:type="dxa" w:w="2175"/>
            <w:vMerge/>
            <w:tcBorders/>
          </w:tcPr>
          <w:p/>
        </w:tc>
        <w:tc>
          <w:tcPr>
            <w:tcW w:type="dxa" w:w="217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74"/>
        <w:ind w:left="0" w:right="0"/>
      </w:pPr>
    </w:p>
    <w:p>
      <w:pPr>
        <w:sectPr>
          <w:type w:val="continuous"/>
          <w:pgSz w:w="12246" w:h="16498"/>
          <w:pgMar w:top="370" w:right="97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6" w:lineRule="exact" w:before="0" w:after="0"/>
        <w:ind w:left="620" w:right="144" w:firstLine="380"/>
        <w:jc w:val="left"/>
      </w:pPr>
      <w:r>
        <w:rPr>
          <w:rFonts w:ascii="HYa6gj" w:hAnsi="HYa6gj" w:eastAsia="HYa6gj"/>
          <w:b w:val="0"/>
          <w:i w:val="0"/>
          <w:color w:val="221F1F"/>
          <w:sz w:val="19"/>
        </w:rPr>
        <w:t>将得到的数据参数输入到模型中，并利用该模型完成线</w:t>
      </w:r>
      <w:r>
        <w:rPr>
          <w:rFonts w:ascii="HYa6gj" w:hAnsi="HYa6gj" w:eastAsia="HYa6gj"/>
          <w:b w:val="0"/>
          <w:i w:val="0"/>
          <w:color w:val="221F1F"/>
          <w:sz w:val="19"/>
        </w:rPr>
        <w:t>路的数据管理，实现盾构隧道族库管理和应用。在此基础</w:t>
      </w:r>
      <w:r>
        <w:rPr>
          <w:rFonts w:ascii="HYa6gj" w:hAnsi="HYa6gj" w:eastAsia="HYa6gj"/>
          <w:b w:val="0"/>
          <w:i w:val="0"/>
          <w:color w:val="221F1F"/>
          <w:sz w:val="19"/>
        </w:rPr>
        <w:t>上，利用多层次模糊综合评估方法，将施工过程中有关于定</w:t>
      </w:r>
      <w:r>
        <w:rPr>
          <w:rFonts w:ascii="HYa6gj" w:hAnsi="HYa6gj" w:eastAsia="HYa6gj"/>
          <w:b w:val="0"/>
          <w:i w:val="0"/>
          <w:color w:val="221F1F"/>
          <w:sz w:val="19"/>
        </w:rPr>
        <w:t>性的评价指标转化为定量指标。在利用模型评估的过程中，</w:t>
      </w:r>
      <w:r>
        <w:rPr>
          <w:rFonts w:ascii="HYa6gj" w:hAnsi="HYa6gj" w:eastAsia="HYa6gj"/>
          <w:b w:val="0"/>
          <w:i w:val="0"/>
          <w:color w:val="221F1F"/>
          <w:sz w:val="19"/>
        </w:rPr>
        <w:t>将评估指标集合设定为I={i</w:t>
      </w:r>
      <w:r>
        <w:rPr>
          <w:w w:val="105.55419921875"/>
          <w:rFonts w:ascii="HYa6gj" w:hAnsi="HYa6gj" w:eastAsia="HYa6gj"/>
          <w:b w:val="0"/>
          <w:i w:val="0"/>
          <w:color w:val="221F1F"/>
          <w:sz w:val="9"/>
        </w:rPr>
        <w:t>1</w:t>
      </w:r>
      <w:r>
        <w:rPr>
          <w:rFonts w:ascii="HYa6gj" w:hAnsi="HYa6gj" w:eastAsia="HYa6gj"/>
          <w:b w:val="0"/>
          <w:i w:val="0"/>
          <w:color w:val="221F1F"/>
          <w:sz w:val="19"/>
        </w:rPr>
        <w:t>,i</w:t>
      </w:r>
      <w:r>
        <w:rPr>
          <w:w w:val="105.55419921875"/>
          <w:rFonts w:ascii="HYa6gj" w:hAnsi="HYa6gj" w:eastAsia="HYa6gj"/>
          <w:b w:val="0"/>
          <w:i w:val="0"/>
          <w:color w:val="221F1F"/>
          <w:sz w:val="9"/>
        </w:rPr>
        <w:t>2</w:t>
      </w:r>
      <w:r>
        <w:rPr>
          <w:rFonts w:ascii="HYa6gj" w:hAnsi="HYa6gj" w:eastAsia="HYa6gj"/>
          <w:b w:val="0"/>
          <w:i w:val="0"/>
          <w:color w:val="221F1F"/>
          <w:sz w:val="19"/>
        </w:rPr>
        <w:t>,…,i</w:t>
      </w:r>
      <w:r>
        <w:rPr>
          <w:w w:val="105.55419921875"/>
          <w:rFonts w:ascii="HYa6gj" w:hAnsi="HYa6gj" w:eastAsia="HYa6gj"/>
          <w:b w:val="0"/>
          <w:i w:val="0"/>
          <w:color w:val="221F1F"/>
          <w:sz w:val="9"/>
        </w:rPr>
        <w:t>n</w:t>
      </w:r>
      <w:r>
        <w:rPr>
          <w:rFonts w:ascii="HYa6gj" w:hAnsi="HYa6gj" w:eastAsia="HYa6gj"/>
          <w:b w:val="0"/>
          <w:i w:val="0"/>
          <w:color w:val="221F1F"/>
          <w:sz w:val="19"/>
        </w:rPr>
        <w:t>}，相应的评估等级集</w:t>
      </w:r>
      <w:r>
        <w:rPr>
          <w:rFonts w:ascii="HYa6gj" w:hAnsi="HYa6gj" w:eastAsia="HYa6gj"/>
          <w:b w:val="0"/>
          <w:i w:val="0"/>
          <w:color w:val="221F1F"/>
          <w:sz w:val="19"/>
        </w:rPr>
        <w:t>合设置为L={</w:t>
      </w:r>
      <w:r>
        <w:rPr>
          <w:rFonts w:ascii="NEU" w:hAnsi="NEU" w:eastAsia="NEU"/>
          <w:b w:val="0"/>
          <w:i/>
          <w:color w:val="221F1F"/>
          <w:sz w:val="19"/>
        </w:rPr>
        <w:t>l</w:t>
      </w:r>
      <w:r>
        <w:rPr>
          <w:w w:val="105.55419921875"/>
          <w:rFonts w:ascii="HYa6gj" w:hAnsi="HYa6gj" w:eastAsia="HYa6gj"/>
          <w:b w:val="0"/>
          <w:i w:val="0"/>
          <w:color w:val="221F1F"/>
          <w:sz w:val="9"/>
        </w:rPr>
        <w:t>1</w:t>
      </w:r>
      <w:r>
        <w:rPr>
          <w:rFonts w:ascii="HYa6gj" w:hAnsi="HYa6gj" w:eastAsia="HYa6gj"/>
          <w:b w:val="0"/>
          <w:i w:val="0"/>
          <w:color w:val="221F1F"/>
          <w:sz w:val="19"/>
        </w:rPr>
        <w:t>,</w:t>
      </w:r>
      <w:r>
        <w:rPr>
          <w:rFonts w:ascii="NEU" w:hAnsi="NEU" w:eastAsia="NEU"/>
          <w:b w:val="0"/>
          <w:i/>
          <w:color w:val="221F1F"/>
          <w:sz w:val="19"/>
        </w:rPr>
        <w:t>l</w:t>
      </w:r>
      <w:r>
        <w:rPr>
          <w:w w:val="105.55419921875"/>
          <w:rFonts w:ascii="HYa6gj" w:hAnsi="HYa6gj" w:eastAsia="HYa6gj"/>
          <w:b w:val="0"/>
          <w:i w:val="0"/>
          <w:color w:val="221F1F"/>
          <w:sz w:val="9"/>
        </w:rPr>
        <w:t>2</w:t>
      </w:r>
      <w:r>
        <w:rPr>
          <w:rFonts w:ascii="HYa6gj" w:hAnsi="HYa6gj" w:eastAsia="HYa6gj"/>
          <w:b w:val="0"/>
          <w:i w:val="0"/>
          <w:color w:val="221F1F"/>
          <w:sz w:val="19"/>
        </w:rPr>
        <w:t>,…,</w:t>
      </w:r>
      <w:r>
        <w:rPr>
          <w:rFonts w:ascii="NEU" w:hAnsi="NEU" w:eastAsia="NEU"/>
          <w:b w:val="0"/>
          <w:i/>
          <w:color w:val="221F1F"/>
          <w:sz w:val="19"/>
        </w:rPr>
        <w:t>l</w:t>
      </w:r>
      <w:r>
        <w:rPr>
          <w:w w:val="105.55419921875"/>
          <w:rFonts w:ascii="HYa6gj" w:hAnsi="HYa6gj" w:eastAsia="HYa6gj"/>
          <w:b w:val="0"/>
          <w:i w:val="0"/>
          <w:color w:val="221F1F"/>
          <w:sz w:val="9"/>
        </w:rPr>
        <w:t>n</w:t>
      </w:r>
      <w:r>
        <w:rPr>
          <w:rFonts w:ascii="HYa6gj" w:hAnsi="HYa6gj" w:eastAsia="HYa6gj"/>
          <w:b w:val="0"/>
          <w:i w:val="0"/>
          <w:color w:val="221F1F"/>
          <w:sz w:val="19"/>
        </w:rPr>
        <w:t>}，设计评估矩阵如下：</w:t>
      </w:r>
    </w:p>
    <w:p>
      <w:pPr>
        <w:autoSpaceDN w:val="0"/>
        <w:autoSpaceDE w:val="0"/>
        <w:widowControl/>
        <w:spacing w:line="190" w:lineRule="exact" w:before="582" w:after="0"/>
        <w:ind w:left="0" w:right="180" w:firstLine="0"/>
        <w:jc w:val="right"/>
      </w:pPr>
      <w:r>
        <w:rPr>
          <w:rFonts w:ascii="HYa6gj" w:hAnsi="HYa6gj" w:eastAsia="HYa6gj"/>
          <w:b w:val="0"/>
          <w:i w:val="0"/>
          <w:color w:val="221F1F"/>
          <w:sz w:val="19"/>
        </w:rPr>
        <w:t>（5）</w:t>
      </w:r>
    </w:p>
    <w:p>
      <w:pPr>
        <w:autoSpaceDN w:val="0"/>
        <w:autoSpaceDE w:val="0"/>
        <w:widowControl/>
        <w:spacing w:line="304" w:lineRule="exact" w:before="474" w:after="0"/>
        <w:ind w:left="620" w:right="276" w:firstLine="0"/>
        <w:jc w:val="both"/>
      </w:pPr>
      <w:r>
        <w:rPr>
          <w:rFonts w:ascii="HYa6gj" w:hAnsi="HYa6gj" w:eastAsia="HYa6gj"/>
          <w:b w:val="0"/>
          <w:i w:val="0"/>
          <w:color w:val="221F1F"/>
          <w:sz w:val="19"/>
        </w:rPr>
        <w:t>式中，矩阵R 表示相对于评估指标和评估等级的IL 评估因</w:t>
      </w:r>
      <w:r>
        <w:rPr>
          <w:rFonts w:ascii="HYa6gj" w:hAnsi="HYa6gj" w:eastAsia="HYa6gj"/>
          <w:b w:val="0"/>
          <w:i w:val="0"/>
          <w:color w:val="221F1F"/>
          <w:sz w:val="19"/>
        </w:rPr>
        <w:t>素与相关的评价等级隶属度。得到的相关权重会在评估指</w:t>
      </w:r>
      <w:r>
        <w:rPr>
          <w:rFonts w:ascii="HYa6gj" w:hAnsi="HYa6gj" w:eastAsia="HYa6gj"/>
          <w:b w:val="0"/>
          <w:i w:val="0"/>
          <w:color w:val="221F1F"/>
          <w:sz w:val="19"/>
        </w:rPr>
        <w:t>标上有所体现，模糊综合评估在过程中可以将测得的指标等</w:t>
      </w:r>
      <w:r>
        <w:rPr>
          <w:rFonts w:ascii="HYa6gj" w:hAnsi="HYa6gj" w:eastAsia="HYa6gj"/>
          <w:b w:val="0"/>
          <w:i w:val="0"/>
          <w:color w:val="221F1F"/>
          <w:sz w:val="19"/>
        </w:rPr>
        <w:t>数据加入到相关的矩阵中与权重等进行相乘运算，得到的评</w:t>
      </w:r>
    </w:p>
    <w:p>
      <w:pPr>
        <w:sectPr>
          <w:type w:val="continuous"/>
          <w:pgSz w:w="12246" w:h="16498"/>
          <w:pgMar w:top="370" w:right="970" w:bottom="168" w:left="400" w:header="720" w:footer="720" w:gutter="0"/>
          <w:cols w:num="2" w:equalWidth="0">
            <w:col w:w="5772" w:space="0"/>
            <w:col w:w="510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3.9999999999998" w:type="dxa"/>
      </w:tblPr>
      <w:tblGrid>
        <w:gridCol w:w="3625"/>
        <w:gridCol w:w="3625"/>
        <w:gridCol w:w="3625"/>
      </w:tblGrid>
      <w:tr>
        <w:trPr>
          <w:trHeight w:hRule="exact" w:val="316"/>
        </w:trPr>
        <w:tc>
          <w:tcPr>
            <w:tcW w:type="dxa" w:w="1960"/>
            <w:tcBorders>
              <w:top w:sz="4.535200119018555" w:val="single" w:color="#221F1F"/>
              <w:end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76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监测项目</w:t>
            </w:r>
          </w:p>
        </w:tc>
        <w:tc>
          <w:tcPr>
            <w:tcW w:type="dxa" w:w="736"/>
            <w:tcBorders>
              <w:start w:sz="4.535200119018555" w:val="single" w:color="#221F1F"/>
              <w:top w:sz="4.535200119018555" w:val="single" w:color="#221F1F"/>
              <w:end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76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监测结果</w:t>
            </w:r>
          </w:p>
        </w:tc>
        <w:tc>
          <w:tcPr>
            <w:tcW w:type="dxa" w:w="1728"/>
            <w:tcBorders>
              <w:start w:sz="4.535200119018555" w:val="single" w:color="#221F1F"/>
              <w:top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76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描述</w:t>
            </w:r>
          </w:p>
        </w:tc>
      </w:tr>
      <w:tr>
        <w:trPr>
          <w:trHeight w:hRule="exact" w:val="316"/>
        </w:trPr>
        <w:tc>
          <w:tcPr>
            <w:tcW w:type="dxa" w:w="1960"/>
            <w:tcBorders>
              <w:top w:sz="4.535200119018555" w:val="single" w:color="#221F1F"/>
              <w:end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76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基坑顶部最大位移</w:t>
            </w:r>
          </w:p>
        </w:tc>
        <w:tc>
          <w:tcPr>
            <w:tcW w:type="dxa" w:w="736"/>
            <w:tcBorders>
              <w:start w:sz="4.535200119018555" w:val="single" w:color="#221F1F"/>
              <w:top w:sz="4.535200119018555" w:val="single" w:color="#221F1F"/>
              <w:end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221F1F"/>
                <w:sz w:val="15"/>
              </w:rPr>
              <w:t>13.75mm</w:t>
            </w:r>
          </w:p>
        </w:tc>
        <w:tc>
          <w:tcPr>
            <w:tcW w:type="dxa" w:w="1728"/>
            <w:tcBorders>
              <w:start w:sz="4.535200119018555" w:val="single" w:color="#221F1F"/>
              <w:top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76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位置在基坑中心</w:t>
            </w:r>
          </w:p>
        </w:tc>
      </w:tr>
      <w:tr>
        <w:trPr>
          <w:trHeight w:hRule="exact" w:val="316"/>
        </w:trPr>
        <w:tc>
          <w:tcPr>
            <w:tcW w:type="dxa" w:w="1960"/>
            <w:tcBorders>
              <w:top w:sz="4.535200119018555" w:val="single" w:color="#221F1F"/>
              <w:end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76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桩体累计形变</w:t>
            </w:r>
          </w:p>
        </w:tc>
        <w:tc>
          <w:tcPr>
            <w:tcW w:type="dxa" w:w="736"/>
            <w:tcBorders>
              <w:start w:sz="4.535200119018555" w:val="single" w:color="#221F1F"/>
              <w:top w:sz="4.535200119018555" w:val="single" w:color="#221F1F"/>
              <w:end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221F1F"/>
                <w:sz w:val="15"/>
              </w:rPr>
              <w:t>17.51mm</w:t>
            </w:r>
          </w:p>
        </w:tc>
        <w:tc>
          <w:tcPr>
            <w:tcW w:type="dxa" w:w="1728"/>
            <w:tcBorders>
              <w:start w:sz="4.535200119018555" w:val="single" w:color="#221F1F"/>
              <w:top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2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开始形变的深度为</w:t>
            </w:r>
            <w:r>
              <w:rPr>
                <w:rFonts w:ascii="TimesNewRoman" w:hAnsi="TimesNewRoman" w:eastAsia="TimesNewRoman"/>
                <w:b w:val="0"/>
                <w:i w:val="0"/>
                <w:color w:val="221F1F"/>
                <w:sz w:val="15"/>
              </w:rPr>
              <w:t>1.5cm</w:t>
            </w:r>
          </w:p>
        </w:tc>
      </w:tr>
      <w:tr>
        <w:trPr>
          <w:trHeight w:hRule="exact" w:val="316"/>
        </w:trPr>
        <w:tc>
          <w:tcPr>
            <w:tcW w:type="dxa" w:w="1960"/>
            <w:tcBorders>
              <w:top w:sz="4.535200119018555" w:val="single" w:color="#221F1F"/>
              <w:end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76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地表沉降观测累积最大变化</w:t>
            </w:r>
          </w:p>
        </w:tc>
        <w:tc>
          <w:tcPr>
            <w:tcW w:type="dxa" w:w="736"/>
            <w:tcBorders>
              <w:start w:sz="4.535200119018555" w:val="single" w:color="#221F1F"/>
              <w:top w:sz="4.535200119018555" w:val="single" w:color="#221F1F"/>
              <w:end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221F1F"/>
                <w:sz w:val="15"/>
              </w:rPr>
              <w:t>13.72mm</w:t>
            </w:r>
          </w:p>
        </w:tc>
        <w:tc>
          <w:tcPr>
            <w:tcW w:type="dxa" w:w="1728"/>
            <w:tcBorders>
              <w:start w:sz="4.535200119018555" w:val="single" w:color="#221F1F"/>
              <w:top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76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出现在第三施工阶段</w:t>
            </w:r>
          </w:p>
        </w:tc>
      </w:tr>
      <w:tr>
        <w:trPr>
          <w:trHeight w:hRule="exact" w:val="316"/>
        </w:trPr>
        <w:tc>
          <w:tcPr>
            <w:tcW w:type="dxa" w:w="1960"/>
            <w:tcBorders>
              <w:top w:sz="4.535200119018555" w:val="single" w:color="#221F1F"/>
              <w:end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76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围护结构顶部位移</w:t>
            </w:r>
          </w:p>
        </w:tc>
        <w:tc>
          <w:tcPr>
            <w:tcW w:type="dxa" w:w="736"/>
            <w:tcBorders>
              <w:start w:sz="4.535200119018555" w:val="single" w:color="#221F1F"/>
              <w:top w:sz="4.535200119018555" w:val="single" w:color="#221F1F"/>
              <w:end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221F1F"/>
                <w:sz w:val="15"/>
              </w:rPr>
              <w:t>14.2mm</w:t>
            </w:r>
          </w:p>
        </w:tc>
        <w:tc>
          <w:tcPr>
            <w:tcW w:type="dxa" w:w="1728"/>
            <w:tcBorders>
              <w:start w:sz="4.535200119018555" w:val="single" w:color="#221F1F"/>
              <w:top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221F1F"/>
                <w:sz w:val="15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960"/>
            <w:tcBorders>
              <w:top w:sz="4.535200119018555" w:val="single" w:color="#221F1F"/>
              <w:end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76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墙体位移</w:t>
            </w:r>
          </w:p>
        </w:tc>
        <w:tc>
          <w:tcPr>
            <w:tcW w:type="dxa" w:w="736"/>
            <w:tcBorders>
              <w:start w:sz="4.535200119018555" w:val="single" w:color="#221F1F"/>
              <w:top w:sz="4.535200119018555" w:val="single" w:color="#221F1F"/>
              <w:end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221F1F"/>
                <w:sz w:val="15"/>
              </w:rPr>
              <w:t>12.5mm</w:t>
            </w:r>
          </w:p>
        </w:tc>
        <w:tc>
          <w:tcPr>
            <w:tcW w:type="dxa" w:w="1728"/>
            <w:tcBorders>
              <w:start w:sz="4.535200119018555" w:val="single" w:color="#221F1F"/>
              <w:top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76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出现在第二施工阶段</w:t>
            </w:r>
          </w:p>
        </w:tc>
      </w:tr>
      <w:tr>
        <w:trPr>
          <w:trHeight w:hRule="exact" w:val="316"/>
        </w:trPr>
        <w:tc>
          <w:tcPr>
            <w:tcW w:type="dxa" w:w="1960"/>
            <w:tcBorders>
              <w:top w:sz="4.535200119018555" w:val="single" w:color="#221F1F"/>
              <w:end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76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基坑周围地表沉降最大值</w:t>
            </w:r>
          </w:p>
        </w:tc>
        <w:tc>
          <w:tcPr>
            <w:tcW w:type="dxa" w:w="736"/>
            <w:tcBorders>
              <w:start w:sz="4.535200119018555" w:val="single" w:color="#221F1F"/>
              <w:top w:sz="4.535200119018555" w:val="single" w:color="#221F1F"/>
              <w:end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221F1F"/>
                <w:sz w:val="15"/>
              </w:rPr>
              <w:t>17.3mm</w:t>
            </w:r>
          </w:p>
        </w:tc>
        <w:tc>
          <w:tcPr>
            <w:tcW w:type="dxa" w:w="1728"/>
            <w:tcBorders>
              <w:start w:sz="4.535200119018555" w:val="single" w:color="#221F1F"/>
              <w:top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221F1F"/>
                <w:sz w:val="15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960"/>
            <w:tcBorders>
              <w:top w:sz="4.535200119018555" w:val="single" w:color="#221F1F"/>
              <w:end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74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建筑物倾斜度</w:t>
            </w:r>
          </w:p>
        </w:tc>
        <w:tc>
          <w:tcPr>
            <w:tcW w:type="dxa" w:w="736"/>
            <w:tcBorders>
              <w:start w:sz="4.535200119018555" w:val="single" w:color="#221F1F"/>
              <w:top w:sz="4.535200119018555" w:val="single" w:color="#221F1F"/>
              <w:end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221F1F"/>
                <w:sz w:val="15"/>
              </w:rPr>
              <w:t>2.141</w:t>
            </w: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‰</w:t>
            </w:r>
          </w:p>
        </w:tc>
        <w:tc>
          <w:tcPr>
            <w:tcW w:type="dxa" w:w="1728"/>
            <w:tcBorders>
              <w:start w:sz="4.535200119018555" w:val="single" w:color="#221F1F"/>
              <w:top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标准要求小于</w:t>
            </w:r>
            <w:r>
              <w:rPr>
                <w:rFonts w:ascii="TimesNewRoman" w:hAnsi="TimesNewRoman" w:eastAsia="TimesNewRoman"/>
                <w:b w:val="0"/>
                <w:i w:val="0"/>
                <w:color w:val="221F1F"/>
                <w:sz w:val="15"/>
              </w:rPr>
              <w:t>2.47</w:t>
            </w: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‰</w:t>
            </w:r>
          </w:p>
        </w:tc>
      </w:tr>
      <w:tr>
        <w:trPr>
          <w:trHeight w:hRule="exact" w:val="316"/>
        </w:trPr>
        <w:tc>
          <w:tcPr>
            <w:tcW w:type="dxa" w:w="1960"/>
            <w:tcBorders>
              <w:top w:sz="4.535200119018555" w:val="single" w:color="#221F1F"/>
              <w:end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74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建筑物沉降</w:t>
            </w:r>
          </w:p>
        </w:tc>
        <w:tc>
          <w:tcPr>
            <w:tcW w:type="dxa" w:w="736"/>
            <w:tcBorders>
              <w:start w:sz="4.535200119018555" w:val="single" w:color="#221F1F"/>
              <w:top w:sz="4.535200119018555" w:val="single" w:color="#221F1F"/>
              <w:end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221F1F"/>
                <w:sz w:val="15"/>
              </w:rPr>
              <w:t>22.14mm</w:t>
            </w:r>
          </w:p>
        </w:tc>
        <w:tc>
          <w:tcPr>
            <w:tcW w:type="dxa" w:w="1728"/>
            <w:tcBorders>
              <w:start w:sz="4.535200119018555" w:val="single" w:color="#221F1F"/>
              <w:top w:sz="4.535200119018555" w:val="single" w:color="#221F1F"/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建筑高度为</w:t>
            </w:r>
            <w:r>
              <w:rPr>
                <w:rFonts w:ascii="TimesNewRoman" w:hAnsi="TimesNewRoman" w:eastAsia="TimesNewRoman"/>
                <w:b w:val="0"/>
                <w:i w:val="0"/>
                <w:color w:val="221F1F"/>
                <w:sz w:val="15"/>
              </w:rPr>
              <w:t>41.35m</w:t>
            </w:r>
          </w:p>
        </w:tc>
      </w:tr>
    </w:tbl>
    <w:p>
      <w:pPr>
        <w:autoSpaceDN w:val="0"/>
        <w:autoSpaceDE w:val="0"/>
        <w:widowControl/>
        <w:spacing w:line="304" w:lineRule="exact" w:before="60" w:after="114"/>
        <w:ind w:left="178" w:right="50" w:firstLine="380"/>
        <w:jc w:val="both"/>
      </w:pPr>
      <w:r>
        <w:rPr>
          <w:rFonts w:ascii="HYa6gj" w:hAnsi="HYa6gj" w:eastAsia="HYa6gj"/>
          <w:b w:val="0"/>
          <w:i w:val="0"/>
          <w:color w:val="221F1F"/>
          <w:sz w:val="19"/>
        </w:rPr>
        <w:t>在上述的实验环境下，分别使用本文设计的基于Cloud&amp;BIM</w:t>
      </w:r>
      <w:r>
        <w:rPr>
          <w:rFonts w:ascii="HYa6gj" w:hAnsi="HYa6gj" w:eastAsia="HYa6gj"/>
          <w:b w:val="0"/>
          <w:i w:val="0"/>
          <w:color w:val="221F1F"/>
          <w:sz w:val="19"/>
        </w:rPr>
        <w:t>的地铁盾构施工风险监测信息平台和文献[2]基于BIM的风</w:t>
      </w:r>
      <w:r>
        <w:rPr>
          <w:rFonts w:ascii="HYa6gj" w:hAnsi="HYa6gj" w:eastAsia="HYa6gj"/>
          <w:b w:val="0"/>
          <w:i w:val="0"/>
          <w:color w:val="221F1F"/>
          <w:sz w:val="19"/>
        </w:rPr>
        <w:t>险监测平台在对该工程进行风险预警计算，并将两个平台得</w:t>
      </w:r>
      <w:r>
        <w:rPr>
          <w:rFonts w:ascii="HYa6gj" w:hAnsi="HYa6gj" w:eastAsia="HYa6gj"/>
          <w:b w:val="0"/>
          <w:i w:val="0"/>
          <w:color w:val="221F1F"/>
          <w:sz w:val="19"/>
        </w:rPr>
        <w:t>到的风险监测结果进行对比，与施工情况进行比较。</w:t>
      </w:r>
    </w:p>
    <w:p>
      <w:pPr>
        <w:sectPr>
          <w:type w:val="nextColumn"/>
          <w:pgSz w:w="12246" w:h="16498"/>
          <w:pgMar w:top="370" w:right="970" w:bottom="168" w:left="400" w:header="720" w:footer="720" w:gutter="0"/>
          <w:cols w:num="2" w:equalWidth="0">
            <w:col w:w="5772" w:space="0"/>
            <w:col w:w="510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625"/>
        <w:gridCol w:w="3625"/>
        <w:gridCol w:w="3625"/>
      </w:tblGrid>
      <w:tr>
        <w:trPr>
          <w:trHeight w:hRule="exact" w:val="276"/>
        </w:trPr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320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估过程如下式：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100" w:firstLine="0"/>
              <w:jc w:val="righ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2"/>
              </w:rPr>
              <w:t>3.2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120" w:right="0" w:firstLine="0"/>
              <w:jc w:val="lef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2"/>
              </w:rPr>
              <w:t>实验结果与对比</w:t>
            </w:r>
          </w:p>
        </w:tc>
      </w:tr>
    </w:tbl>
    <w:p>
      <w:pPr>
        <w:autoSpaceDN w:val="0"/>
        <w:autoSpaceDE w:val="0"/>
        <w:widowControl/>
        <w:spacing w:line="190" w:lineRule="exact" w:before="56" w:after="58"/>
        <w:ind w:left="0" w:right="50" w:firstLine="0"/>
        <w:jc w:val="right"/>
      </w:pPr>
      <w:r>
        <w:rPr>
          <w:rFonts w:ascii="HYa6gj" w:hAnsi="HYa6gj" w:eastAsia="HYa6gj"/>
          <w:b w:val="0"/>
          <w:i w:val="0"/>
          <w:color w:val="221F1F"/>
          <w:sz w:val="19"/>
        </w:rPr>
        <w:t>在以上的实验前提下，得到本文平台与文献[2]风险监测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0.0" w:type="dxa"/>
      </w:tblPr>
      <w:tblGrid>
        <w:gridCol w:w="5438"/>
        <w:gridCol w:w="5438"/>
      </w:tblGrid>
      <w:tr>
        <w:trPr>
          <w:trHeight w:hRule="exact" w:val="420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0" w:after="0"/>
              <w:ind w:left="0" w:right="168" w:firstLine="0"/>
              <w:jc w:val="righ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（6）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6" w:after="0"/>
              <w:ind w:left="190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平台的盾构施工总风险量情况，如图4所示。</w:t>
            </w:r>
          </w:p>
        </w:tc>
      </w:tr>
    </w:tbl>
    <w:p>
      <w:pPr>
        <w:autoSpaceDN w:val="0"/>
        <w:autoSpaceDE w:val="0"/>
        <w:widowControl/>
        <w:spacing w:line="190" w:lineRule="exact" w:before="478" w:after="0"/>
        <w:ind w:left="620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9"/>
        </w:rPr>
        <w:t>式中，B表示评价过程中得到的不同风险指标的多层次综合</w:t>
      </w:r>
    </w:p>
    <w:p>
      <w:pPr>
        <w:autoSpaceDN w:val="0"/>
        <w:autoSpaceDE w:val="0"/>
        <w:widowControl/>
        <w:spacing w:line="190" w:lineRule="exact" w:before="114" w:after="0"/>
        <w:ind w:left="620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9"/>
        </w:rPr>
        <w:t>模糊评价矩阵，W表示各个指标的权重集合，得到的综合评</w:t>
      </w:r>
    </w:p>
    <w:p>
      <w:pPr>
        <w:autoSpaceDN w:val="0"/>
        <w:autoSpaceDE w:val="0"/>
        <w:widowControl/>
        <w:spacing w:line="190" w:lineRule="exact" w:before="114" w:after="0"/>
        <w:ind w:left="620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9"/>
        </w:rPr>
        <w:t>价结果是一个模糊向量。为了能够准确得到风险评价信息，</w:t>
      </w:r>
    </w:p>
    <w:p>
      <w:pPr>
        <w:autoSpaceDN w:val="0"/>
        <w:autoSpaceDE w:val="0"/>
        <w:widowControl/>
        <w:spacing w:line="190" w:lineRule="exact" w:before="112" w:after="0"/>
        <w:ind w:left="620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9"/>
        </w:rPr>
        <w:t>将模糊评价结果转化为相应的评级指标后，得到对应的风险</w:t>
      </w:r>
    </w:p>
    <w:p>
      <w:pPr>
        <w:autoSpaceDN w:val="0"/>
        <w:autoSpaceDE w:val="0"/>
        <w:widowControl/>
        <w:spacing w:line="190" w:lineRule="exact" w:before="114" w:after="0"/>
        <w:ind w:left="620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9"/>
        </w:rPr>
        <w:t>等级。至此完成基于Cloud&amp;BIM的地铁盾构施工风险监测</w:t>
      </w:r>
    </w:p>
    <w:p>
      <w:pPr>
        <w:autoSpaceDN w:val="0"/>
        <w:autoSpaceDE w:val="0"/>
        <w:widowControl/>
        <w:spacing w:line="190" w:lineRule="exact" w:before="114" w:after="358"/>
        <w:ind w:left="620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9"/>
        </w:rPr>
        <w:t>信息平台的设计与施工过程的风险评估。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719"/>
        <w:gridCol w:w="2719"/>
        <w:gridCol w:w="2719"/>
        <w:gridCol w:w="2719"/>
      </w:tblGrid>
      <w:tr>
        <w:trPr>
          <w:trHeight w:hRule="exact" w:val="40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220" w:firstLine="0"/>
              <w:jc w:val="righ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4"/>
              </w:rPr>
              <w:t>3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0" w:right="0" w:firstLine="0"/>
              <w:jc w:val="lef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4"/>
              </w:rPr>
              <w:t>平台性能仿真测试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2" w:after="0"/>
              <w:ind w:left="0" w:right="96" w:firstLine="0"/>
              <w:jc w:val="righ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0"/>
              </w:rPr>
              <w:t>图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>4</w:t>
            </w:r>
          </w:p>
        </w:tc>
        <w:tc>
          <w:tcPr>
            <w:tcW w:type="dxa" w:w="3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4" w:after="0"/>
              <w:ind w:left="126" w:right="0" w:firstLine="0"/>
              <w:jc w:val="lef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0"/>
              </w:rPr>
              <w:t>两平台风险量监测结果</w:t>
            </w:r>
          </w:p>
        </w:tc>
      </w:tr>
      <w:tr>
        <w:trPr>
          <w:trHeight w:hRule="exact" w:val="1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" w:after="0"/>
              <w:ind w:left="0" w:right="10" w:firstLine="0"/>
              <w:jc w:val="righ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2"/>
              </w:rPr>
              <w:t>3.1</w:t>
            </w:r>
          </w:p>
        </w:tc>
        <w:tc>
          <w:tcPr>
            <w:tcW w:type="dxa" w:w="3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" w:after="0"/>
              <w:ind w:left="210" w:right="0" w:firstLine="0"/>
              <w:jc w:val="lef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2"/>
              </w:rPr>
              <w:t>搭建平台仿真测试环境</w:t>
            </w:r>
          </w:p>
        </w:tc>
        <w:tc>
          <w:tcPr>
            <w:tcW w:type="dxa" w:w="2719"/>
            <w:vMerge/>
            <w:tcBorders/>
          </w:tcPr>
          <w:p/>
        </w:tc>
        <w:tc>
          <w:tcPr>
            <w:tcW w:type="dxa" w:w="2719"/>
            <w:vMerge/>
            <w:tcBorders/>
          </w:tcPr>
          <w:p/>
        </w:tc>
      </w:tr>
      <w:tr>
        <w:trPr>
          <w:trHeight w:hRule="exact" w:val="330"/>
        </w:trPr>
        <w:tc>
          <w:tcPr>
            <w:tcW w:type="dxa" w:w="2719"/>
            <w:vMerge/>
            <w:tcBorders/>
          </w:tcPr>
          <w:p/>
        </w:tc>
        <w:tc>
          <w:tcPr>
            <w:tcW w:type="dxa" w:w="2719"/>
            <w:vMerge/>
            <w:tcBorders/>
          </w:tcPr>
          <w:p/>
        </w:tc>
        <w:tc>
          <w:tcPr>
            <w:tcW w:type="dxa" w:w="6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4" w:after="0"/>
              <w:ind w:left="1490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从图4监测结果可以看出，基本上风险量与频数的关系</w:t>
            </w:r>
          </w:p>
        </w:tc>
      </w:tr>
    </w:tbl>
    <w:p>
      <w:pPr>
        <w:autoSpaceDN w:val="0"/>
        <w:autoSpaceDE w:val="0"/>
        <w:widowControl/>
        <w:spacing w:line="190" w:lineRule="exact" w:before="58" w:after="58"/>
        <w:ind w:left="0" w:right="50" w:firstLine="0"/>
        <w:jc w:val="right"/>
      </w:pPr>
      <w:r>
        <w:rPr>
          <w:rFonts w:ascii="HYa6gj" w:hAnsi="HYa6gj" w:eastAsia="HYa6gj"/>
          <w:b w:val="0"/>
          <w:i w:val="0"/>
          <w:color w:val="221F1F"/>
          <w:sz w:val="19"/>
        </w:rPr>
        <w:t>呈现正态分布。本文平台得到的风险量监测结果的风险量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719"/>
        <w:gridCol w:w="2719"/>
        <w:gridCol w:w="2719"/>
        <w:gridCol w:w="2719"/>
      </w:tblGrid>
      <w:tr>
        <w:trPr>
          <w:trHeight w:hRule="exact" w:val="292"/>
        </w:trPr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0.0" w:type="dxa"/>
            </w:tblPr>
            <w:tblGrid>
              <w:gridCol w:w="1780"/>
            </w:tblGrid>
            <w:tr>
              <w:trPr>
                <w:trHeight w:hRule="exact" w:val="222"/>
              </w:trPr>
              <w:tc>
                <w:tcPr>
                  <w:tcW w:type="dxa" w:w="846"/>
                  <w:tcBorders>
                    <w:start w:sz="9.07040023803711" w:val="single" w:color="#221F1F"/>
                    <w:top w:sz="9.07040023803711" w:val="single" w:color="#221F1F"/>
                    <w:end w:sz="9.07040023803711" w:val="single" w:color="#221F1F"/>
                    <w:bottom w:sz="9.07040023803711" w:val="single" w:color="#221F1F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960"/>
            </w:tblGrid>
            <w:tr>
              <w:trPr>
                <w:trHeight w:hRule="exact" w:val="224"/>
              </w:trPr>
              <w:tc>
                <w:tcPr>
                  <w:tcW w:type="dxa" w:w="844"/>
                  <w:tcBorders>
                    <w:start w:sz="9.07040023803711" w:val="single" w:color="#221F1F"/>
                    <w:top w:sz="9.07040023803711" w:val="single" w:color="#221F1F"/>
                    <w:end w:sz="9.07040023803711" w:val="single" w:color="#221F1F"/>
                    <w:bottom w:sz="9.07040023803711" w:val="single" w:color="#221F1F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3.99999999999977" w:type="dxa"/>
            </w:tblPr>
            <w:tblGrid>
              <w:gridCol w:w="1620"/>
            </w:tblGrid>
            <w:tr>
              <w:trPr>
                <w:trHeight w:hRule="exact" w:val="222"/>
              </w:trPr>
              <w:tc>
                <w:tcPr>
                  <w:tcW w:type="dxa" w:w="844"/>
                  <w:tcBorders>
                    <w:start w:sz="9.07040023803711" w:val="single" w:color="#221F1F"/>
                    <w:top w:sz="9.07040023803711" w:val="single" w:color="#221F1F"/>
                    <w:end w:sz="9.07040023803711" w:val="single" w:color="#221F1F"/>
                    <w:bottom w:sz="9.07040023803711" w:val="single" w:color="#221F1F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6" w:after="0"/>
              <w:ind w:left="690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集中值在0.3-0.75之间，风险频数较大，这一结果与实际盾</w:t>
            </w:r>
          </w:p>
        </w:tc>
      </w:tr>
      <w:tr>
        <w:trPr>
          <w:trHeight w:hRule="exact" w:val="368"/>
        </w:trPr>
        <w:tc>
          <w:tcPr>
            <w:tcW w:type="dxa" w:w="2719"/>
            <w:vMerge/>
            <w:tcBorders/>
          </w:tcPr>
          <w:p/>
        </w:tc>
        <w:tc>
          <w:tcPr>
            <w:tcW w:type="dxa" w:w="2719"/>
            <w:vMerge/>
            <w:tcBorders/>
          </w:tcPr>
          <w:p/>
        </w:tc>
        <w:tc>
          <w:tcPr>
            <w:tcW w:type="dxa" w:w="2719"/>
            <w:vMerge/>
            <w:tcBorders/>
          </w:tcPr>
          <w:p/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690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构施工风险出现的概率相近，验证了本文设计的监测平台的</w:t>
            </w:r>
          </w:p>
        </w:tc>
      </w:tr>
    </w:tbl>
    <w:p>
      <w:pPr>
        <w:autoSpaceDN w:val="0"/>
        <w:autoSpaceDE w:val="0"/>
        <w:widowControl/>
        <w:spacing w:line="190" w:lineRule="exact" w:before="2" w:after="200"/>
        <w:ind w:left="0" w:right="4166" w:firstLine="0"/>
        <w:jc w:val="right"/>
      </w:pPr>
      <w:r>
        <w:rPr>
          <w:rFonts w:ascii="HYa6gj" w:hAnsi="HYa6gj" w:eastAsia="HYa6gj"/>
          <w:b w:val="0"/>
          <w:i w:val="0"/>
          <w:color w:val="221F1F"/>
          <w:sz w:val="19"/>
        </w:rPr>
        <w:t>有效性。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2719"/>
        <w:gridCol w:w="2719"/>
        <w:gridCol w:w="2719"/>
        <w:gridCol w:w="2719"/>
      </w:tblGrid>
      <w:tr>
        <w:trPr>
          <w:trHeight w:hRule="exact" w:val="522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50.0" w:type="dxa"/>
            </w:tblPr>
            <w:tblGrid>
              <w:gridCol w:w="2080"/>
            </w:tblGrid>
            <w:tr>
              <w:trPr>
                <w:trHeight w:hRule="exact" w:val="220"/>
              </w:trPr>
              <w:tc>
                <w:tcPr>
                  <w:tcW w:type="dxa" w:w="846"/>
                  <w:tcBorders>
                    <w:start w:sz="9.07040023803711" w:val="single" w:color="#221F1F"/>
                    <w:top w:sz="9.07040023803711" w:val="single" w:color="#221F1F"/>
                    <w:end w:sz="9.07040023803711" w:val="single" w:color="#221F1F"/>
                    <w:bottom w:sz="9.07040023803711" w:val="single" w:color="#221F1F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3.9999999999998" w:type="dxa"/>
            </w:tblPr>
            <w:tblGrid>
              <w:gridCol w:w="2060"/>
            </w:tblGrid>
            <w:tr>
              <w:trPr>
                <w:trHeight w:hRule="exact" w:val="220"/>
              </w:trPr>
              <w:tc>
                <w:tcPr>
                  <w:tcW w:type="dxa" w:w="844"/>
                  <w:tcBorders>
                    <w:start w:sz="9.07040023803711" w:val="single" w:color="#221F1F"/>
                    <w:top w:sz="9.07040023803711" w:val="single" w:color="#221F1F"/>
                    <w:end w:sz="9.07040023803711" w:val="single" w:color="#221F1F"/>
                    <w:bottom w:sz="9.07040023803711" w:val="single" w:color="#221F1F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0" w:after="0"/>
              <w:ind w:left="0" w:right="110" w:firstLine="0"/>
              <w:jc w:val="righ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4"/>
              </w:rPr>
              <w:t>4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0" w:after="0"/>
              <w:ind w:left="130" w:right="0" w:firstLine="0"/>
              <w:jc w:val="lef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4"/>
              </w:rPr>
              <w:t>结束语</w:t>
            </w:r>
          </w:p>
        </w:tc>
      </w:tr>
    </w:tbl>
    <w:p>
      <w:pPr>
        <w:autoSpaceDN w:val="0"/>
        <w:autoSpaceDE w:val="0"/>
        <w:widowControl/>
        <w:spacing w:line="190" w:lineRule="exact" w:before="48" w:after="16"/>
        <w:ind w:left="0" w:right="50" w:firstLine="0"/>
        <w:jc w:val="right"/>
      </w:pPr>
      <w:r>
        <w:rPr>
          <w:rFonts w:ascii="HYa6gj" w:hAnsi="HYa6gj" w:eastAsia="HYa6gj"/>
          <w:b w:val="0"/>
          <w:i w:val="0"/>
          <w:color w:val="221F1F"/>
          <w:sz w:val="19"/>
        </w:rPr>
        <w:t>本文对地铁盾构施工过程中的安全风险进行了深入研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438"/>
        <w:gridCol w:w="5438"/>
      </w:tblGrid>
      <w:tr>
        <w:trPr>
          <w:trHeight w:hRule="exact" w:val="344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4.0" w:type="dxa"/>
            </w:tblPr>
            <w:tblGrid>
              <w:gridCol w:w="3240"/>
            </w:tblGrid>
            <w:tr>
              <w:trPr>
                <w:trHeight w:hRule="exact" w:val="222"/>
              </w:trPr>
              <w:tc>
                <w:tcPr>
                  <w:tcW w:type="dxa" w:w="528"/>
                  <w:tcBorders>
                    <w:start w:sz="9.07040023803711" w:val="single" w:color="#221F1F"/>
                    <w:top w:sz="9.07040023803711" w:val="single" w:color="#221F1F"/>
                    <w:end w:sz="9.07040023803711" w:val="single" w:color="#221F1F"/>
                    <w:bottom w:sz="9.07040023803711" w:val="single" w:color="#221F1F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98" w:after="0"/>
              <w:ind w:left="0" w:right="14" w:firstLine="0"/>
              <w:jc w:val="righ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究，在构建风险监测信息平台的过程中建立了合理的评估指</w:t>
            </w:r>
          </w:p>
        </w:tc>
      </w:tr>
    </w:tbl>
    <w:p>
      <w:pPr>
        <w:autoSpaceDN w:val="0"/>
        <w:autoSpaceDE w:val="0"/>
        <w:widowControl/>
        <w:spacing w:line="190" w:lineRule="exact" w:before="58" w:after="38"/>
        <w:ind w:left="0" w:right="50" w:firstLine="0"/>
        <w:jc w:val="right"/>
      </w:pPr>
      <w:r>
        <w:rPr>
          <w:rFonts w:ascii="HYa6gj" w:hAnsi="HYa6gj" w:eastAsia="HYa6gj"/>
          <w:b w:val="0"/>
          <w:i w:val="0"/>
          <w:color w:val="221F1F"/>
          <w:sz w:val="19"/>
        </w:rPr>
        <w:t>标体系与评估模型，并利用综合模糊评估方法实现了参数的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719"/>
        <w:gridCol w:w="2719"/>
        <w:gridCol w:w="2719"/>
        <w:gridCol w:w="2719"/>
      </w:tblGrid>
      <w:tr>
        <w:trPr>
          <w:trHeight w:hRule="exact" w:val="434"/>
        </w:trPr>
        <w:tc>
          <w:tcPr>
            <w:tcW w:type="dxa" w:w="586"/>
            <w:vMerge w:val="restart"/>
            <w:tcBorders>
              <w:end w:sz="4.53520011901855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10" w:after="0"/>
              <w:ind w:left="0" w:right="4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138</w:t>
            </w:r>
          </w:p>
        </w:tc>
        <w:tc>
          <w:tcPr>
            <w:tcW w:type="dxa" w:w="1434"/>
            <w:tcBorders>
              <w:start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104" w:firstLine="0"/>
              <w:jc w:val="righ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0"/>
              </w:rPr>
              <w:t>图</w:t>
            </w:r>
            <w:r>
              <w:rPr>
                <w:rFonts w:ascii="Arial" w:hAnsi="Arial" w:eastAsia="Arial"/>
                <w:b w:val="0"/>
                <w:i w:val="0"/>
                <w:color w:val="221F1F"/>
                <w:sz w:val="20"/>
              </w:rPr>
              <w:t>3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118" w:right="0" w:firstLine="0"/>
              <w:jc w:val="left"/>
            </w:pPr>
            <w:r>
              <w:rPr>
                <w:rFonts w:ascii="HeitiCSEG-Medium-GB" w:hAnsi="HeitiCSEG-Medium-GB" w:eastAsia="HeitiCSEG-Medium-GB"/>
                <w:b w:val="0"/>
                <w:i w:val="0"/>
                <w:color w:val="221F1F"/>
                <w:sz w:val="20"/>
              </w:rPr>
              <w:t>地铁施工布设示意图</w:t>
            </w:r>
          </w:p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10" w:after="0"/>
              <w:ind w:left="0" w:right="14" w:firstLine="0"/>
              <w:jc w:val="righ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9"/>
              </w:rPr>
              <w:t>(下转第183页)</w:t>
            </w:r>
          </w:p>
        </w:tc>
      </w:tr>
      <w:tr>
        <w:trPr>
          <w:trHeight w:hRule="exact" w:val="340"/>
        </w:trPr>
        <w:tc>
          <w:tcPr>
            <w:tcW w:type="dxa" w:w="2719"/>
            <w:vMerge/>
            <w:tcBorders>
              <w:end w:sz="4.535200119018555" w:val="single" w:color="#221F1F"/>
            </w:tcBorders>
          </w:tcPr>
          <w:p/>
        </w:tc>
        <w:tc>
          <w:tcPr>
            <w:tcW w:type="dxa" w:w="6034"/>
            <w:gridSpan w:val="2"/>
            <w:tcBorders>
              <w:start w:sz="4.53520011901855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78" w:after="0"/>
              <w:ind w:left="56" w:right="0" w:firstLine="0"/>
              <w:jc w:val="left"/>
            </w:pPr>
            <w:r>
              <w:rPr>
                <w:w w:val="101.65317975557768"/>
                <w:rFonts w:ascii="Arial" w:hAnsi="Arial" w:eastAsia="Arial"/>
                <w:b w:val="0"/>
                <w:i w:val="0"/>
                <w:color w:val="221F1F"/>
                <w:sz w:val="13"/>
              </w:rPr>
              <w:t>Techniques of Automation &amp; Applications</w:t>
            </w:r>
          </w:p>
        </w:tc>
        <w:tc>
          <w:tcPr>
            <w:tcW w:type="dxa" w:w="271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8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6498"/>
          <w:pgMar w:top="370" w:right="97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0.0" w:type="dxa"/>
      </w:tblPr>
      <w:tblGrid>
        <w:gridCol w:w="3625"/>
        <w:gridCol w:w="3625"/>
        <w:gridCol w:w="3625"/>
      </w:tblGrid>
      <w:tr>
        <w:trPr>
          <w:trHeight w:hRule="exact" w:val="526"/>
        </w:trPr>
        <w:tc>
          <w:tcPr>
            <w:tcW w:type="dxa" w:w="6806"/>
            <w:tcBorders>
              <w:top w:sz="24.944799423217773" w:val="single" w:color="#9D9FA1"/>
              <w:bottom w:sz="3.401599884033203" w:val="single" w:color="#80828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54" w:after="0"/>
              <w:ind w:left="3600" w:right="144" w:firstLine="0"/>
              <w:jc w:val="center"/>
            </w:pPr>
            <w:r>
              <w:rPr>
                <w:rFonts w:ascii="FZBSK--GBK1-0" w:hAnsi="FZBSK--GBK1-0" w:eastAsia="FZBSK--GBK1-0"/>
                <w:b w:val="0"/>
                <w:i w:val="0"/>
                <w:color w:val="221F1F"/>
                <w:sz w:val="27"/>
              </w:rPr>
              <w:t>行业应用与交流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1F1F"/>
                <w:sz w:val="15"/>
              </w:rPr>
              <w:t>Industrial Applications and Communications</w:t>
            </w:r>
          </w:p>
        </w:tc>
        <w:tc>
          <w:tcPr>
            <w:tcW w:type="dxa" w:w="1744"/>
            <w:tcBorders>
              <w:top w:sz="24.944799423217773" w:val="single" w:color="#9D9FA1"/>
              <w:bottom w:sz="3.401599884033203" w:val="single" w:color="#80828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192" w:right="0" w:firstLine="0"/>
              <w:jc w:val="left"/>
            </w:pPr>
            <w:r>
              <w:rPr>
                <w:rFonts w:ascii="YouYuan" w:hAnsi="YouYuan" w:eastAsia="YouYuan"/>
                <w:b w:val="0"/>
                <w:i w:val="0"/>
                <w:color w:val="221F1F"/>
                <w:sz w:val="15"/>
              </w:rPr>
              <w:t>《自动化技术与应用》</w:t>
            </w:r>
          </w:p>
        </w:tc>
        <w:tc>
          <w:tcPr>
            <w:tcW w:type="dxa" w:w="1716"/>
            <w:tcBorders>
              <w:top w:sz="24.944799423217773" w:val="single" w:color="#9D9FA1"/>
              <w:bottom w:sz="3.401599884033203" w:val="single" w:color="#80828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0" w:right="0" w:firstLine="0"/>
              <w:jc w:val="center"/>
            </w:pPr>
            <w:r>
              <w:rPr>
                <w:rFonts w:ascii="YouYuan" w:hAnsi="YouYuan" w:eastAsia="YouYuan"/>
                <w:b w:val="0"/>
                <w:i w:val="0"/>
                <w:color w:val="221F1F"/>
                <w:sz w:val="15"/>
              </w:rPr>
              <w:t>2022 年第41 卷第9 期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2246" w:h="16498"/>
          <w:pgMar w:top="370" w:right="97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620" w:right="144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7"/>
        </w:rPr>
        <w:t>合气相色谱法快速测定环境空气中的SF_6[J].理化检验(化学分</w:t>
      </w:r>
      <w:r>
        <w:rPr>
          <w:rFonts w:ascii="HYa6gj" w:hAnsi="HYa6gj" w:eastAsia="HYa6gj"/>
          <w:b w:val="0"/>
          <w:i w:val="0"/>
          <w:color w:val="221F1F"/>
          <w:sz w:val="17"/>
        </w:rPr>
        <w:t>册),2019,55(3):278-281.</w:t>
      </w:r>
    </w:p>
    <w:p>
      <w:pPr>
        <w:autoSpaceDN w:val="0"/>
        <w:tabs>
          <w:tab w:pos="960" w:val="left"/>
        </w:tabs>
        <w:autoSpaceDE w:val="0"/>
        <w:widowControl/>
        <w:spacing w:line="260" w:lineRule="exact" w:before="0" w:after="0"/>
        <w:ind w:left="620" w:right="144" w:firstLine="0"/>
        <w:jc w:val="left"/>
      </w:pPr>
      <w:r>
        <w:tab/>
      </w:r>
      <w:r>
        <w:rPr>
          <w:rFonts w:ascii="HYa6gj" w:hAnsi="HYa6gj" w:eastAsia="HYa6gj"/>
          <w:b w:val="0"/>
          <w:i w:val="0"/>
          <w:color w:val="221F1F"/>
          <w:sz w:val="17"/>
        </w:rPr>
        <w:t>[4] 魏昕,安俊军,郦和生,等.耦合技术对炼化企业蒸汽吹扫废</w:t>
      </w:r>
      <w:r>
        <w:rPr>
          <w:rFonts w:ascii="HYa6gj" w:hAnsi="HYa6gj" w:eastAsia="HYa6gj"/>
          <w:b w:val="0"/>
          <w:i w:val="0"/>
          <w:color w:val="221F1F"/>
          <w:sz w:val="17"/>
        </w:rPr>
        <w:t>气的处理[J].环境工程学报,2020,14(5):1329-1335.</w:t>
      </w:r>
    </w:p>
    <w:p>
      <w:pPr>
        <w:autoSpaceDN w:val="0"/>
        <w:tabs>
          <w:tab w:pos="960" w:val="left"/>
        </w:tabs>
        <w:autoSpaceDE w:val="0"/>
        <w:widowControl/>
        <w:spacing w:line="260" w:lineRule="exact" w:before="2" w:after="0"/>
        <w:ind w:left="620" w:right="144" w:firstLine="0"/>
        <w:jc w:val="left"/>
      </w:pPr>
      <w:r>
        <w:tab/>
      </w:r>
      <w:r>
        <w:rPr>
          <w:rFonts w:ascii="HYa6gj" w:hAnsi="HYa6gj" w:eastAsia="HYa6gj"/>
          <w:b w:val="0"/>
          <w:i w:val="0"/>
          <w:color w:val="221F1F"/>
          <w:sz w:val="17"/>
        </w:rPr>
        <w:t>[5] 赵正杰,赵勇毅,孔春霞,等.基于GWO-BP 神经网络补偿</w:t>
      </w:r>
      <w:r>
        <w:rPr>
          <w:rFonts w:ascii="HYa6gj" w:hAnsi="HYa6gj" w:eastAsia="HYa6gj"/>
          <w:b w:val="0"/>
          <w:i w:val="0"/>
          <w:color w:val="221F1F"/>
          <w:sz w:val="17"/>
        </w:rPr>
        <w:t xml:space="preserve">的SF_6红外气体传感器[J].激光与红外,2020,50(1):80-86. </w:t>
      </w:r>
      <w:r>
        <w:br/>
      </w:r>
      <w:r>
        <w:tab/>
      </w:r>
      <w:r>
        <w:rPr>
          <w:rFonts w:ascii="HYa6gj" w:hAnsi="HYa6gj" w:eastAsia="HYa6gj"/>
          <w:b w:val="0"/>
          <w:i w:val="0"/>
          <w:color w:val="221F1F"/>
          <w:sz w:val="17"/>
        </w:rPr>
        <w:t>[6] 张国强,袁振春.综放工作面风量及采空区漏风定量检测</w:t>
      </w:r>
      <w:r>
        <w:rPr>
          <w:rFonts w:ascii="HYa6gj" w:hAnsi="HYa6gj" w:eastAsia="HYa6gj"/>
          <w:b w:val="0"/>
          <w:i w:val="0"/>
          <w:color w:val="221F1F"/>
          <w:sz w:val="17"/>
        </w:rPr>
        <w:t>[J].能源与环保,2020,299(11):65-70.</w:t>
      </w:r>
    </w:p>
    <w:p>
      <w:pPr>
        <w:autoSpaceDN w:val="0"/>
        <w:autoSpaceDE w:val="0"/>
        <w:widowControl/>
        <w:spacing w:line="170" w:lineRule="exact" w:before="90" w:after="0"/>
        <w:ind w:left="960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7"/>
        </w:rPr>
        <w:t>[7] 苗玉龙,谢刚文,邱妮,等.GIS设备局部火花放电故障SF_6</w:t>
      </w:r>
    </w:p>
    <w:p>
      <w:pPr>
        <w:sectPr>
          <w:type w:val="continuous"/>
          <w:pgSz w:w="12246" w:h="16498"/>
          <w:pgMar w:top="370" w:right="970" w:bottom="168" w:left="400" w:header="720" w:footer="720" w:gutter="0"/>
          <w:cols w:num="2" w:equalWidth="0">
            <w:col w:w="5722" w:space="0"/>
            <w:col w:w="5153" w:space="0"/>
          </w:cols>
          <w:docGrid w:linePitch="360"/>
        </w:sectPr>
      </w:pPr>
    </w:p>
    <w:p>
      <w:pPr>
        <w:autoSpaceDN w:val="0"/>
        <w:tabs>
          <w:tab w:pos="568" w:val="left"/>
        </w:tabs>
        <w:autoSpaceDE w:val="0"/>
        <w:widowControl/>
        <w:spacing w:line="238" w:lineRule="exact" w:before="0" w:after="1396"/>
        <w:ind w:left="228" w:right="0" w:firstLine="0"/>
        <w:jc w:val="left"/>
      </w:pPr>
      <w:r>
        <w:tab/>
      </w:r>
      <w:r>
        <w:rPr>
          <w:rFonts w:ascii="HYa6gj" w:hAnsi="HYa6gj" w:eastAsia="HYa6gj"/>
          <w:b w:val="0"/>
          <w:i w:val="0"/>
          <w:color w:val="221F1F"/>
          <w:sz w:val="17"/>
        </w:rPr>
        <w:t>[9] 周松霖,杨芮,赵建勇,等.基于泄漏扩散数值模拟的GIS室</w:t>
      </w:r>
      <w:r>
        <w:rPr>
          <w:rFonts w:ascii="HYa6gj" w:hAnsi="HYa6gj" w:eastAsia="HYa6gj"/>
          <w:b w:val="0"/>
          <w:i w:val="0"/>
          <w:color w:val="221F1F"/>
          <w:sz w:val="17"/>
        </w:rPr>
        <w:t xml:space="preserve">内SF_6检测与回收策略[J].高压电器,2019,55(6):70-78. </w:t>
      </w:r>
      <w:r>
        <w:br/>
      </w:r>
      <w:r>
        <w:tab/>
      </w:r>
      <w:r>
        <w:rPr>
          <w:rFonts w:ascii="HYa6gj" w:hAnsi="HYa6gj" w:eastAsia="HYa6gj"/>
          <w:b w:val="0"/>
          <w:i w:val="0"/>
          <w:color w:val="221F1F"/>
          <w:sz w:val="17"/>
        </w:rPr>
        <w:t>[10] 薛明,范俊欣,李兴春,等.油气生产过程中放空燃烧气的</w:t>
      </w:r>
      <w:r>
        <w:rPr>
          <w:rFonts w:ascii="HYa6gj" w:hAnsi="HYa6gj" w:eastAsia="HYa6gj"/>
          <w:b w:val="0"/>
          <w:i w:val="0"/>
          <w:color w:val="221F1F"/>
          <w:sz w:val="17"/>
        </w:rPr>
        <w:t>检测与回收利用现状[J].化工环保,2020,40(3):239-245.</w:t>
      </w:r>
    </w:p>
    <w:p>
      <w:pPr>
        <w:sectPr>
          <w:type w:val="nextColumn"/>
          <w:pgSz w:w="12246" w:h="16498"/>
          <w:pgMar w:top="370" w:right="970" w:bottom="168" w:left="400" w:header="720" w:footer="720" w:gutter="0"/>
          <w:cols w:num="2" w:equalWidth="0">
            <w:col w:w="5722" w:space="0"/>
            <w:col w:w="5153" w:space="0"/>
          </w:cols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26"/>
        <w:ind w:left="620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7"/>
        </w:rPr>
        <w:t>分解特性[J].绝缘材料,2020,53(2):76-83.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8.0" w:type="dxa"/>
      </w:tblPr>
      <w:tblGrid>
        <w:gridCol w:w="5438"/>
        <w:gridCol w:w="5438"/>
      </w:tblGrid>
      <w:tr>
        <w:trPr>
          <w:trHeight w:hRule="exact" w:val="732"/>
        </w:trPr>
        <w:tc>
          <w:tcPr>
            <w:tcW w:type="dxa" w:w="5102"/>
            <w:tcBorders>
              <w:bottom w:sz="2.2679998874664307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2" w:right="144" w:firstLine="34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7"/>
              </w:rPr>
              <w:t>[8] 常苗,刘磊,阳庆元,等.水热稳定金属-有机骨架材料用于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7"/>
              </w:rPr>
              <w:t>高效分离SF_6/N_2混合物的研究[J].化工学报,2020,71(1):320-328.</w:t>
            </w:r>
          </w:p>
        </w:tc>
        <w:tc>
          <w:tcPr>
            <w:tcW w:type="dxa" w:w="5108"/>
            <w:tcBorders>
              <w:bottom w:sz="2.2679998874664307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266" w:lineRule="auto" w:before="24" w:after="0"/>
              <w:ind w:left="230" w:right="0" w:firstLine="0"/>
              <w:jc w:val="left"/>
            </w:pPr>
            <w:r>
              <w:tab/>
            </w:r>
            <w:r>
              <w:rPr>
                <w:rFonts w:ascii="KaiTi_GB2312" w:hAnsi="KaiTi_GB2312" w:eastAsia="KaiTi_GB2312"/>
                <w:b w:val="0"/>
                <w:i w:val="0"/>
                <w:color w:val="221F1F"/>
                <w:sz w:val="16"/>
              </w:rPr>
              <w:t>作者简介: 吴勇（1987-），男，本科，工程师，研究方向：电力工程</w:t>
            </w:r>
            <w:r>
              <w:rPr>
                <w:rFonts w:ascii="KaiTi_GB2312" w:hAnsi="KaiTi_GB2312" w:eastAsia="KaiTi_GB2312"/>
                <w:b w:val="0"/>
                <w:i w:val="0"/>
                <w:color w:val="221F1F"/>
                <w:sz w:val="16"/>
              </w:rPr>
              <w:t>技术。</w:t>
            </w:r>
          </w:p>
        </w:tc>
      </w:tr>
    </w:tbl>
    <w:p>
      <w:pPr>
        <w:autoSpaceDN w:val="0"/>
        <w:autoSpaceDE w:val="0"/>
        <w:widowControl/>
        <w:spacing w:line="190" w:lineRule="exact" w:before="256" w:after="242"/>
        <w:ind w:left="620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9"/>
        </w:rPr>
        <w:t>(上接第138页)</w:t>
      </w:r>
    </w:p>
    <w:p>
      <w:pPr>
        <w:sectPr>
          <w:type w:val="continuous"/>
          <w:pgSz w:w="12246" w:h="16498"/>
          <w:pgMar w:top="370" w:right="97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620" w:right="226" w:firstLine="0"/>
        <w:jc w:val="both"/>
      </w:pPr>
      <w:r>
        <w:rPr>
          <w:rFonts w:ascii="HYa6gj" w:hAnsi="HYa6gj" w:eastAsia="HYa6gj"/>
          <w:b w:val="0"/>
          <w:i w:val="0"/>
          <w:color w:val="221F1F"/>
          <w:sz w:val="19"/>
        </w:rPr>
        <w:t>标准化。经过仿真实验，也证明了平台的有效性。但是平台</w:t>
      </w:r>
      <w:r>
        <w:rPr>
          <w:rFonts w:ascii="HYa6gj" w:hAnsi="HYa6gj" w:eastAsia="HYa6gj"/>
          <w:b w:val="0"/>
          <w:i w:val="0"/>
          <w:color w:val="221F1F"/>
          <w:sz w:val="19"/>
        </w:rPr>
        <w:t>也有一些缺陷，对于综合模糊评估过程中缺少对整个地铁施</w:t>
      </w:r>
      <w:r>
        <w:rPr>
          <w:rFonts w:ascii="HYa6gj" w:hAnsi="HYa6gj" w:eastAsia="HYa6gj"/>
          <w:b w:val="0"/>
          <w:i w:val="0"/>
          <w:color w:val="221F1F"/>
          <w:sz w:val="19"/>
        </w:rPr>
        <w:t>工过程的研究，监测具有片面性。在今后的研究中还需要进</w:t>
      </w:r>
      <w:r>
        <w:rPr>
          <w:rFonts w:ascii="HYa6gj" w:hAnsi="HYa6gj" w:eastAsia="HYa6gj"/>
          <w:b w:val="0"/>
          <w:i w:val="0"/>
          <w:color w:val="221F1F"/>
          <w:sz w:val="19"/>
        </w:rPr>
        <w:t>一步改进这个问题。</w:t>
      </w:r>
    </w:p>
    <w:p>
      <w:pPr>
        <w:sectPr>
          <w:type w:val="continuous"/>
          <w:pgSz w:w="12246" w:h="16498"/>
          <w:pgMar w:top="370" w:right="970" w:bottom="168" w:left="400" w:header="720" w:footer="720" w:gutter="0"/>
          <w:cols w:num="2" w:equalWidth="0">
            <w:col w:w="5722" w:space="0"/>
            <w:col w:w="5153" w:space="0"/>
          </w:cols>
          <w:docGrid w:linePitch="360"/>
        </w:sectPr>
      </w:pPr>
    </w:p>
    <w:p>
      <w:pPr>
        <w:autoSpaceDN w:val="0"/>
        <w:tabs>
          <w:tab w:pos="568" w:val="left"/>
        </w:tabs>
        <w:autoSpaceDE w:val="0"/>
        <w:widowControl/>
        <w:spacing w:line="216" w:lineRule="exact" w:before="0" w:after="0"/>
        <w:ind w:left="228" w:right="0" w:firstLine="0"/>
        <w:jc w:val="left"/>
      </w:pPr>
      <w:r>
        <w:tab/>
      </w:r>
      <w:r>
        <w:rPr>
          <w:rFonts w:ascii="HYa6gj" w:hAnsi="HYa6gj" w:eastAsia="HYa6gj"/>
          <w:b w:val="0"/>
          <w:i w:val="0"/>
          <w:color w:val="221F1F"/>
          <w:sz w:val="17"/>
        </w:rPr>
        <w:t>[6] 王宁,杜修力,张明聚,等.地铁盾构施工人因可靠性分析的</w:t>
      </w:r>
      <w:r>
        <w:rPr>
          <w:rFonts w:ascii="HYa6gj" w:hAnsi="HYa6gj" w:eastAsia="HYa6gj"/>
          <w:b w:val="0"/>
          <w:i w:val="0"/>
          <w:color w:val="221F1F"/>
          <w:sz w:val="17"/>
        </w:rPr>
        <w:t>加权模糊CREAM模型[J].天津大学学报,2019,52(2):92-102.</w:t>
      </w:r>
    </w:p>
    <w:p>
      <w:pPr>
        <w:autoSpaceDN w:val="0"/>
        <w:tabs>
          <w:tab w:pos="568" w:val="left"/>
        </w:tabs>
        <w:autoSpaceDE w:val="0"/>
        <w:widowControl/>
        <w:spacing w:line="260" w:lineRule="exact" w:before="2" w:after="0"/>
        <w:ind w:left="228" w:right="0" w:firstLine="0"/>
        <w:jc w:val="left"/>
      </w:pPr>
      <w:r>
        <w:tab/>
      </w:r>
      <w:r>
        <w:rPr>
          <w:rFonts w:ascii="HYa6gj" w:hAnsi="HYa6gj" w:eastAsia="HYa6gj"/>
          <w:b w:val="0"/>
          <w:i w:val="0"/>
          <w:color w:val="221F1F"/>
          <w:sz w:val="17"/>
        </w:rPr>
        <w:t>[7] 吴全立,王梦恕,殷明伦.基于网络分析法盾构下穿隧道风</w:t>
      </w:r>
      <w:r>
        <w:rPr>
          <w:rFonts w:ascii="HYa6gj" w:hAnsi="HYa6gj" w:eastAsia="HYa6gj"/>
          <w:b w:val="0"/>
          <w:i w:val="0"/>
          <w:color w:val="221F1F"/>
          <w:sz w:val="17"/>
        </w:rPr>
        <w:t>险分析[J].地下空间与工程学报,2019,15(6):1881-1888.</w:t>
      </w:r>
    </w:p>
    <w:p>
      <w:pPr>
        <w:autoSpaceDN w:val="0"/>
        <w:autoSpaceDE w:val="0"/>
        <w:widowControl/>
        <w:spacing w:line="260" w:lineRule="exact" w:before="0" w:after="24"/>
        <w:ind w:left="228" w:right="0" w:firstLine="340"/>
        <w:jc w:val="left"/>
      </w:pPr>
      <w:r>
        <w:rPr>
          <w:rFonts w:ascii="HYa6gj" w:hAnsi="HYa6gj" w:eastAsia="HYa6gj"/>
          <w:b w:val="0"/>
          <w:i w:val="0"/>
          <w:color w:val="221F1F"/>
          <w:sz w:val="17"/>
        </w:rPr>
        <w:t>[8] 汤扬屹,吴贤国,陈虹宇,等.基于云模型与D-S 证据理论</w:t>
      </w:r>
      <w:r>
        <w:rPr>
          <w:rFonts w:ascii="HYa6gj" w:hAnsi="HYa6gj" w:eastAsia="HYa6gj"/>
          <w:b w:val="0"/>
          <w:i w:val="0"/>
          <w:color w:val="221F1F"/>
          <w:sz w:val="17"/>
        </w:rPr>
        <w:t>的盾构施工隧道管片上浮风险评价[J].隧道建设(中英文),2019,39</w:t>
      </w:r>
    </w:p>
    <w:p>
      <w:pPr>
        <w:sectPr>
          <w:type w:val="nextColumn"/>
          <w:pgSz w:w="12246" w:h="16498"/>
          <w:pgMar w:top="370" w:right="970" w:bottom="168" w:left="400" w:header="720" w:footer="720" w:gutter="0"/>
          <w:cols w:num="2" w:equalWidth="0">
            <w:col w:w="5722" w:space="0"/>
            <w:col w:w="5153" w:space="0"/>
          </w:cols>
          <w:docGrid w:linePitch="360"/>
        </w:sectPr>
      </w:pPr>
    </w:p>
    <w:p>
      <w:pPr>
        <w:autoSpaceDN w:val="0"/>
        <w:tabs>
          <w:tab w:pos="5950" w:val="left"/>
        </w:tabs>
        <w:autoSpaceDE w:val="0"/>
        <w:widowControl/>
        <w:spacing w:line="222" w:lineRule="exact" w:before="0" w:after="0"/>
        <w:ind w:left="620" w:right="0" w:firstLine="0"/>
        <w:jc w:val="left"/>
      </w:pPr>
      <w:r>
        <w:rPr>
          <w:rFonts w:ascii="HeitiCSEG-Medium-GB" w:hAnsi="HeitiCSEG-Medium-GB" w:eastAsia="HeitiCSEG-Medium-GB"/>
          <w:b w:val="0"/>
          <w:i w:val="0"/>
          <w:color w:val="221F1F"/>
          <w:sz w:val="20"/>
        </w:rPr>
        <w:t>参考文献</w:t>
      </w:r>
      <w:r>
        <w:rPr>
          <w:rFonts w:ascii="Arial" w:hAnsi="Arial" w:eastAsia="Arial"/>
          <w:b w:val="0"/>
          <w:i w:val="0"/>
          <w:color w:val="221F1F"/>
          <w:sz w:val="20"/>
        </w:rPr>
        <w:t xml:space="preserve">: </w:t>
      </w:r>
      <w:r>
        <w:tab/>
      </w:r>
      <w:r>
        <w:rPr>
          <w:rFonts w:ascii="HYa6gj" w:hAnsi="HYa6gj" w:eastAsia="HYa6gj"/>
          <w:b w:val="0"/>
          <w:i w:val="0"/>
          <w:color w:val="221F1F"/>
          <w:sz w:val="17"/>
        </w:rPr>
        <w:t>(12):2011-2019.</w:t>
      </w:r>
    </w:p>
    <w:p>
      <w:pPr>
        <w:autoSpaceDN w:val="0"/>
        <w:autoSpaceDE w:val="0"/>
        <w:widowControl/>
        <w:spacing w:line="262" w:lineRule="exact" w:before="4" w:after="0"/>
        <w:ind w:left="620" w:right="5380" w:firstLine="340"/>
        <w:jc w:val="both"/>
      </w:pPr>
      <w:r>
        <w:rPr>
          <w:rFonts w:ascii="HYa6gj" w:hAnsi="HYa6gj" w:eastAsia="HYa6gj"/>
          <w:b w:val="0"/>
          <w:i w:val="0"/>
          <w:color w:val="221F1F"/>
          <w:sz w:val="17"/>
        </w:rPr>
        <w:t>[1] 沈卫平,张俊,袁标,等.基于智慧互联技术的成都地铁盾构</w:t>
      </w:r>
      <w:r>
        <w:br/>
      </w:r>
      <w:r>
        <w:rPr>
          <w:rFonts w:ascii="HYa6gj" w:hAnsi="HYa6gj" w:eastAsia="HYa6gj"/>
          <w:b w:val="0"/>
          <w:i w:val="0"/>
          <w:color w:val="221F1F"/>
          <w:sz w:val="17"/>
        </w:rPr>
        <w:t xml:space="preserve">施工安全风险管理信息系统研究[J].岩石力学与工程学报,2019,38 </w:t>
      </w:r>
      <w:r>
        <w:br/>
      </w:r>
      <w:r>
        <w:rPr>
          <w:rFonts w:ascii="HYa6gj" w:hAnsi="HYa6gj" w:eastAsia="HYa6gj"/>
          <w:b w:val="0"/>
          <w:i w:val="0"/>
          <w:color w:val="221F1F"/>
          <w:sz w:val="17"/>
        </w:rPr>
        <w:t>(S2):3822-3832.</w:t>
      </w:r>
    </w:p>
    <w:p>
      <w:pPr>
        <w:autoSpaceDN w:val="0"/>
        <w:tabs>
          <w:tab w:pos="960" w:val="left"/>
        </w:tabs>
        <w:autoSpaceDE w:val="0"/>
        <w:widowControl/>
        <w:spacing w:line="260" w:lineRule="exact" w:before="0" w:after="0"/>
        <w:ind w:left="620" w:right="5328" w:firstLine="0"/>
        <w:jc w:val="left"/>
      </w:pPr>
      <w:r>
        <w:tab/>
      </w:r>
      <w:r>
        <w:rPr>
          <w:rFonts w:ascii="HYa6gj" w:hAnsi="HYa6gj" w:eastAsia="HYa6gj"/>
          <w:b w:val="0"/>
          <w:i w:val="0"/>
          <w:color w:val="221F1F"/>
          <w:sz w:val="17"/>
        </w:rPr>
        <w:t>[2] 刘文,刘文黎,翟世鸿.基于Copula相依模型的地铁结构安</w:t>
      </w:r>
      <w:r>
        <w:br/>
      </w:r>
      <w:r>
        <w:rPr>
          <w:rFonts w:ascii="HYa6gj" w:hAnsi="HYa6gj" w:eastAsia="HYa6gj"/>
          <w:b w:val="0"/>
          <w:i w:val="0"/>
          <w:color w:val="221F1F"/>
          <w:sz w:val="17"/>
        </w:rPr>
        <w:t>全可靠性分析[J].中国安全科学学报,2019,29(8):164-171.</w:t>
      </w:r>
    </w:p>
    <w:p>
      <w:pPr>
        <w:autoSpaceDN w:val="0"/>
        <w:autoSpaceDE w:val="0"/>
        <w:widowControl/>
        <w:spacing w:line="262" w:lineRule="exact" w:before="0" w:after="0"/>
        <w:ind w:left="620" w:right="5380" w:firstLine="340"/>
        <w:jc w:val="both"/>
      </w:pPr>
      <w:r>
        <w:rPr>
          <w:rFonts w:ascii="HYa6gj" w:hAnsi="HYa6gj" w:eastAsia="HYa6gj"/>
          <w:b w:val="0"/>
          <w:i w:val="0"/>
          <w:color w:val="221F1F"/>
          <w:sz w:val="17"/>
        </w:rPr>
        <w:t>[3] 张康宁,刘志伟.基于BIM的施工进度信息附加、跟踪与集</w:t>
      </w:r>
      <w:r>
        <w:br/>
      </w:r>
      <w:r>
        <w:rPr>
          <w:rFonts w:ascii="HYa6gj" w:hAnsi="HYa6gj" w:eastAsia="HYa6gj"/>
          <w:b w:val="0"/>
          <w:i w:val="0"/>
          <w:color w:val="221F1F"/>
          <w:sz w:val="17"/>
        </w:rPr>
        <w:t>成分析研究</w:t>
      </w:r>
      <w:r>
        <w:rPr>
          <w:w w:val="102.0130369398329"/>
          <w:rFonts w:ascii="HYa6gj" w:hAnsi="HYa6gj" w:eastAsia="HYa6gj"/>
          <w:b w:val="0"/>
          <w:i w:val="0"/>
          <w:color w:val="221F1F"/>
          <w:sz w:val="18"/>
        </w:rPr>
        <w:t>—</w:t>
      </w:r>
      <w:r>
        <w:rPr>
          <w:rFonts w:ascii="HYa6gj" w:hAnsi="HYa6gj" w:eastAsia="HYa6gj"/>
          <w:b w:val="0"/>
          <w:i w:val="0"/>
          <w:color w:val="221F1F"/>
          <w:sz w:val="17"/>
        </w:rPr>
        <w:t>—以北京轨道交通19 号线平安里站为例[J].隧道建</w:t>
      </w:r>
      <w:r>
        <w:br/>
      </w:r>
      <w:r>
        <w:rPr>
          <w:rFonts w:ascii="HYa6gj" w:hAnsi="HYa6gj" w:eastAsia="HYa6gj"/>
          <w:b w:val="0"/>
          <w:i w:val="0"/>
          <w:color w:val="221F1F"/>
          <w:sz w:val="17"/>
        </w:rPr>
        <w:t>设(中英文),2019,39(9):1507-1514.</w:t>
      </w:r>
    </w:p>
    <w:p>
      <w:pPr>
        <w:autoSpaceDN w:val="0"/>
        <w:tabs>
          <w:tab w:pos="960" w:val="left"/>
        </w:tabs>
        <w:autoSpaceDE w:val="0"/>
        <w:widowControl/>
        <w:spacing w:line="260" w:lineRule="exact" w:before="0" w:after="26"/>
        <w:ind w:left="620" w:right="5328" w:firstLine="0"/>
        <w:jc w:val="left"/>
      </w:pPr>
      <w:r>
        <w:tab/>
      </w:r>
      <w:r>
        <w:rPr>
          <w:rFonts w:ascii="HYa6gj" w:hAnsi="HYa6gj" w:eastAsia="HYa6gj"/>
          <w:b w:val="0"/>
          <w:i w:val="0"/>
          <w:color w:val="221F1F"/>
          <w:sz w:val="17"/>
        </w:rPr>
        <w:t>[4] 林荣彬.地铁施工中的监测技术与安全风险管理[J].建筑与</w:t>
      </w:r>
      <w:r>
        <w:br/>
      </w:r>
      <w:r>
        <w:rPr>
          <w:rFonts w:ascii="HYa6gj" w:hAnsi="HYa6gj" w:eastAsia="HYa6gj"/>
          <w:b w:val="0"/>
          <w:i w:val="0"/>
          <w:color w:val="221F1F"/>
          <w:sz w:val="17"/>
        </w:rPr>
        <w:t>装饰,2020(8):51.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8.0" w:type="dxa"/>
      </w:tblPr>
      <w:tblGrid>
        <w:gridCol w:w="5438"/>
        <w:gridCol w:w="5438"/>
      </w:tblGrid>
      <w:tr>
        <w:trPr>
          <w:trHeight w:hRule="exact" w:val="734"/>
        </w:trPr>
        <w:tc>
          <w:tcPr>
            <w:tcW w:type="dxa" w:w="5102"/>
            <w:tcBorders>
              <w:bottom w:sz="2.2679998874664307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2" w:val="left"/>
              </w:tabs>
              <w:autoSpaceDE w:val="0"/>
              <w:widowControl/>
              <w:spacing w:line="248" w:lineRule="exact" w:before="0" w:after="0"/>
              <w:ind w:left="2" w:right="144" w:firstLine="0"/>
              <w:jc w:val="left"/>
            </w:pPr>
            <w:r>
              <w:tab/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7"/>
              </w:rPr>
              <w:t>[5] 夏杨,孙文建,董建军.基于Cloud-BIM的建筑工人高处坠</w:t>
            </w:r>
            <w:r>
              <w:rPr>
                <w:rFonts w:ascii="HYa6gj" w:hAnsi="HYa6gj" w:eastAsia="HYa6gj"/>
                <w:b w:val="0"/>
                <w:i w:val="0"/>
                <w:color w:val="221F1F"/>
                <w:sz w:val="17"/>
              </w:rPr>
              <w:t>落安全预警系统研究[J].科技管理研究,2020,40(7):251-257.</w:t>
            </w:r>
          </w:p>
        </w:tc>
        <w:tc>
          <w:tcPr>
            <w:tcW w:type="dxa" w:w="5108"/>
            <w:tcBorders>
              <w:bottom w:sz="2.2679998874664307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266" w:lineRule="auto" w:before="26" w:after="0"/>
              <w:ind w:left="230" w:right="0" w:firstLine="0"/>
              <w:jc w:val="left"/>
            </w:pPr>
            <w:r>
              <w:tab/>
            </w:r>
            <w:r>
              <w:rPr>
                <w:rFonts w:ascii="KaiTi_GB2312" w:hAnsi="KaiTi_GB2312" w:eastAsia="KaiTi_GB2312"/>
                <w:b w:val="0"/>
                <w:i w:val="0"/>
                <w:color w:val="221F1F"/>
                <w:sz w:val="16"/>
              </w:rPr>
              <w:t>作者简介: 杨醒宇（1992-），男，工学硕士，工程师，从事隧道与地下</w:t>
            </w:r>
            <w:r>
              <w:rPr>
                <w:rFonts w:ascii="KaiTi_GB2312" w:hAnsi="KaiTi_GB2312" w:eastAsia="KaiTi_GB2312"/>
                <w:b w:val="0"/>
                <w:i w:val="0"/>
                <w:color w:val="221F1F"/>
                <w:sz w:val="16"/>
              </w:rPr>
              <w:t>工程的设计与研究。</w:t>
            </w:r>
          </w:p>
        </w:tc>
      </w:tr>
    </w:tbl>
    <w:p>
      <w:pPr>
        <w:autoSpaceDN w:val="0"/>
        <w:autoSpaceDE w:val="0"/>
        <w:widowControl/>
        <w:spacing w:line="190" w:lineRule="exact" w:before="254" w:after="244"/>
        <w:ind w:left="620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9"/>
        </w:rPr>
        <w:t>(上接第142页)</w:t>
      </w:r>
    </w:p>
    <w:p>
      <w:pPr>
        <w:sectPr>
          <w:type w:val="continuous"/>
          <w:pgSz w:w="12246" w:h="16498"/>
          <w:pgMar w:top="370" w:right="97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620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9"/>
        </w:rPr>
        <w:t>提高电网辅助决策体系性能。</w:t>
      </w:r>
    </w:p>
    <w:p>
      <w:pPr>
        <w:autoSpaceDN w:val="0"/>
        <w:tabs>
          <w:tab w:pos="960" w:val="left"/>
        </w:tabs>
        <w:autoSpaceDE w:val="0"/>
        <w:widowControl/>
        <w:spacing w:line="266" w:lineRule="exact" w:before="354" w:after="0"/>
        <w:ind w:left="620" w:right="144" w:firstLine="0"/>
        <w:jc w:val="left"/>
      </w:pPr>
      <w:r>
        <w:rPr>
          <w:rFonts w:ascii="HeitiCSEG-Medium-GB" w:hAnsi="HeitiCSEG-Medium-GB" w:eastAsia="HeitiCSEG-Medium-GB"/>
          <w:b w:val="0"/>
          <w:i w:val="0"/>
          <w:color w:val="221F1F"/>
          <w:sz w:val="20"/>
        </w:rPr>
        <w:t>参考文献</w:t>
      </w:r>
      <w:r>
        <w:rPr>
          <w:rFonts w:ascii="Arial" w:hAnsi="Arial" w:eastAsia="Arial"/>
          <w:b w:val="0"/>
          <w:i w:val="0"/>
          <w:color w:val="221F1F"/>
          <w:sz w:val="20"/>
        </w:rPr>
        <w:t xml:space="preserve">: </w:t>
      </w:r>
      <w:r>
        <w:br/>
      </w:r>
      <w:r>
        <w:tab/>
      </w:r>
      <w:r>
        <w:rPr>
          <w:rFonts w:ascii="HYa6gj" w:hAnsi="HYa6gj" w:eastAsia="HYa6gj"/>
          <w:b w:val="0"/>
          <w:i w:val="0"/>
          <w:color w:val="221F1F"/>
          <w:sz w:val="17"/>
        </w:rPr>
        <w:t>[1] 高兆丽,胥明凯,丁素英,刘昭,李源.基于改进人工蜂群算</w:t>
      </w:r>
      <w:r>
        <w:rPr>
          <w:rFonts w:ascii="HYa6gj" w:hAnsi="HYa6gj" w:eastAsia="HYa6gj"/>
          <w:b w:val="0"/>
          <w:i w:val="0"/>
          <w:color w:val="221F1F"/>
          <w:sz w:val="17"/>
        </w:rPr>
        <w:t xml:space="preserve">法的配电网多点故障应急抢修优化调度[J].电力系统保护与控制, </w:t>
      </w:r>
      <w:r>
        <w:rPr>
          <w:rFonts w:ascii="HYa6gj" w:hAnsi="HYa6gj" w:eastAsia="HYa6gj"/>
          <w:b w:val="0"/>
          <w:i w:val="0"/>
          <w:color w:val="221F1F"/>
          <w:sz w:val="17"/>
        </w:rPr>
        <w:t>2019,47(13):107-114.</w:t>
      </w:r>
    </w:p>
    <w:p>
      <w:pPr>
        <w:autoSpaceDN w:val="0"/>
        <w:tabs>
          <w:tab w:pos="960" w:val="left"/>
        </w:tabs>
        <w:autoSpaceDE w:val="0"/>
        <w:widowControl/>
        <w:spacing w:line="260" w:lineRule="exact" w:before="2" w:after="0"/>
        <w:ind w:left="620" w:right="144" w:firstLine="0"/>
        <w:jc w:val="left"/>
      </w:pPr>
      <w:r>
        <w:tab/>
      </w:r>
      <w:r>
        <w:rPr>
          <w:rFonts w:ascii="HYa6gj" w:hAnsi="HYa6gj" w:eastAsia="HYa6gj"/>
          <w:b w:val="0"/>
          <w:i w:val="0"/>
          <w:color w:val="221F1F"/>
          <w:sz w:val="17"/>
        </w:rPr>
        <w:t>[2] 范士雄,李立新,王松岩,等.人工智能技术在电网调控中的</w:t>
      </w:r>
      <w:r>
        <w:rPr>
          <w:rFonts w:ascii="HYa6gj" w:hAnsi="HYa6gj" w:eastAsia="HYa6gj"/>
          <w:b w:val="0"/>
          <w:i w:val="0"/>
          <w:color w:val="221F1F"/>
          <w:sz w:val="17"/>
        </w:rPr>
        <w:t>应用研究[J].电网技术,2020,435(2):16-26.</w:t>
      </w:r>
    </w:p>
    <w:p>
      <w:pPr>
        <w:autoSpaceDN w:val="0"/>
        <w:autoSpaceDE w:val="0"/>
        <w:widowControl/>
        <w:spacing w:line="260" w:lineRule="exact" w:before="0" w:after="0"/>
        <w:ind w:left="620" w:right="224" w:firstLine="340"/>
        <w:jc w:val="both"/>
      </w:pPr>
      <w:r>
        <w:rPr>
          <w:rFonts w:ascii="HYa6gj" w:hAnsi="HYa6gj" w:eastAsia="HYa6gj"/>
          <w:b w:val="0"/>
          <w:i w:val="0"/>
          <w:color w:val="221F1F"/>
          <w:sz w:val="17"/>
        </w:rPr>
        <w:t>[3] Pathak N,Verma A,Bhatti T S,et al.Real-Time Pa-</w:t>
      </w:r>
      <w:r>
        <w:rPr>
          <w:rFonts w:ascii="HYa6gj" w:hAnsi="HYa6gj" w:eastAsia="HYa6gj"/>
          <w:b w:val="0"/>
          <w:i w:val="0"/>
          <w:color w:val="221F1F"/>
          <w:sz w:val="17"/>
        </w:rPr>
        <w:t>rameter Estimation Based Intelligent Controllers for AGC Ope-</w:t>
      </w:r>
      <w:r>
        <w:rPr>
          <w:rFonts w:ascii="HYa6gj" w:hAnsi="HYa6gj" w:eastAsia="HYa6gj"/>
          <w:b w:val="0"/>
          <w:i w:val="0"/>
          <w:color w:val="221F1F"/>
          <w:sz w:val="17"/>
        </w:rPr>
        <w:t xml:space="preserve">ration under Varying Power System Dynamic Conditions[J]. </w:t>
      </w:r>
      <w:r>
        <w:rPr>
          <w:rFonts w:ascii="HYa6gj" w:hAnsi="HYa6gj" w:eastAsia="HYa6gj"/>
          <w:b w:val="0"/>
          <w:i w:val="0"/>
          <w:color w:val="221F1F"/>
          <w:sz w:val="17"/>
        </w:rPr>
        <w:t xml:space="preserve">IET Generation,Transmission and Distribution,2018,12(21): </w:t>
      </w:r>
      <w:r>
        <w:rPr>
          <w:rFonts w:ascii="HYa6gj" w:hAnsi="HYa6gj" w:eastAsia="HYa6gj"/>
          <w:b w:val="0"/>
          <w:i w:val="0"/>
          <w:color w:val="221F1F"/>
          <w:sz w:val="17"/>
        </w:rPr>
        <w:t>5649-5663.</w:t>
      </w:r>
    </w:p>
    <w:p>
      <w:pPr>
        <w:autoSpaceDN w:val="0"/>
        <w:tabs>
          <w:tab w:pos="960" w:val="left"/>
        </w:tabs>
        <w:autoSpaceDE w:val="0"/>
        <w:widowControl/>
        <w:spacing w:line="260" w:lineRule="exact" w:before="0" w:after="0"/>
        <w:ind w:left="620" w:right="144" w:firstLine="0"/>
        <w:jc w:val="left"/>
      </w:pPr>
      <w:r>
        <w:tab/>
      </w:r>
      <w:r>
        <w:rPr>
          <w:rFonts w:ascii="HYa6gj" w:hAnsi="HYa6gj" w:eastAsia="HYa6gj"/>
          <w:b w:val="0"/>
          <w:i w:val="0"/>
          <w:color w:val="221F1F"/>
          <w:sz w:val="17"/>
        </w:rPr>
        <w:t>[4] 楼贤嗣,马光,郭创新,等.电网运行全过程风险协调控制体</w:t>
      </w:r>
      <w:r>
        <w:rPr>
          <w:rFonts w:ascii="HYa6gj" w:hAnsi="HYa6gj" w:eastAsia="HYa6gj"/>
          <w:b w:val="0"/>
          <w:i w:val="0"/>
          <w:color w:val="221F1F"/>
          <w:sz w:val="17"/>
        </w:rPr>
        <w:t>系与架构设计[J].电力系统,2020,44(5):161-170.</w:t>
      </w:r>
    </w:p>
    <w:p>
      <w:pPr>
        <w:sectPr>
          <w:type w:val="continuous"/>
          <w:pgSz w:w="12246" w:h="16498"/>
          <w:pgMar w:top="370" w:right="970" w:bottom="168" w:left="400" w:header="720" w:footer="720" w:gutter="0"/>
          <w:cols w:num="2" w:equalWidth="0">
            <w:col w:w="5720" w:space="0"/>
            <w:col w:w="5155" w:space="0"/>
          </w:cols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230" w:right="0" w:firstLine="0"/>
        <w:jc w:val="left"/>
      </w:pPr>
      <w:r>
        <w:rPr>
          <w:rFonts w:ascii="HYa6gj" w:hAnsi="HYa6gj" w:eastAsia="HYa6gj"/>
          <w:b w:val="0"/>
          <w:i w:val="0"/>
          <w:color w:val="221F1F"/>
          <w:sz w:val="17"/>
        </w:rPr>
        <w:t>统设计[J].电气传动,2018,345(7):62-67.</w:t>
      </w:r>
    </w:p>
    <w:p>
      <w:pPr>
        <w:autoSpaceDN w:val="0"/>
        <w:tabs>
          <w:tab w:pos="570" w:val="left"/>
        </w:tabs>
        <w:autoSpaceDE w:val="0"/>
        <w:widowControl/>
        <w:spacing w:line="260" w:lineRule="exact" w:before="2" w:after="0"/>
        <w:ind w:left="230" w:right="0" w:firstLine="0"/>
        <w:jc w:val="left"/>
      </w:pPr>
      <w:r>
        <w:tab/>
      </w:r>
      <w:r>
        <w:rPr>
          <w:rFonts w:ascii="HYa6gj" w:hAnsi="HYa6gj" w:eastAsia="HYa6gj"/>
          <w:b w:val="0"/>
          <w:i w:val="0"/>
          <w:color w:val="221F1F"/>
          <w:sz w:val="17"/>
        </w:rPr>
        <w:t>[6] 袁晓冬,杨晓梅,禹永洲,等.计及调压辅助服务收益的光储</w:t>
      </w:r>
      <w:r>
        <w:rPr>
          <w:rFonts w:ascii="HYa6gj" w:hAnsi="HYa6gj" w:eastAsia="HYa6gj"/>
          <w:b w:val="0"/>
          <w:i w:val="0"/>
          <w:color w:val="221F1F"/>
          <w:sz w:val="17"/>
        </w:rPr>
        <w:t>系统优化运行策略[J].电力设备,2019,39(4):174-180.</w:t>
      </w:r>
    </w:p>
    <w:p>
      <w:pPr>
        <w:autoSpaceDN w:val="0"/>
        <w:tabs>
          <w:tab w:pos="570" w:val="left"/>
        </w:tabs>
        <w:autoSpaceDE w:val="0"/>
        <w:widowControl/>
        <w:spacing w:line="260" w:lineRule="exact" w:before="2" w:after="0"/>
        <w:ind w:left="230" w:right="0" w:firstLine="0"/>
        <w:jc w:val="left"/>
      </w:pPr>
      <w:r>
        <w:tab/>
      </w:r>
      <w:r>
        <w:rPr>
          <w:rFonts w:ascii="HYa6gj" w:hAnsi="HYa6gj" w:eastAsia="HYa6gj"/>
          <w:b w:val="0"/>
          <w:i w:val="0"/>
          <w:color w:val="221F1F"/>
          <w:sz w:val="17"/>
        </w:rPr>
        <w:t>[7] 李文芳,程鑫,路强.一种基于图的电力数据可视分析方法</w:t>
      </w:r>
      <w:r>
        <w:rPr>
          <w:rFonts w:ascii="HYa6gj" w:hAnsi="HYa6gj" w:eastAsia="HYa6gj"/>
          <w:b w:val="0"/>
          <w:i w:val="0"/>
          <w:color w:val="221F1F"/>
          <w:sz w:val="17"/>
        </w:rPr>
        <w:t>[J].图学学报,2019,40(1):124-130.</w:t>
      </w:r>
    </w:p>
    <w:p>
      <w:pPr>
        <w:autoSpaceDN w:val="0"/>
        <w:tabs>
          <w:tab w:pos="570" w:val="left"/>
        </w:tabs>
        <w:autoSpaceDE w:val="0"/>
        <w:widowControl/>
        <w:spacing w:line="262" w:lineRule="exact" w:before="0" w:after="0"/>
        <w:ind w:left="230" w:right="0" w:firstLine="0"/>
        <w:jc w:val="left"/>
      </w:pPr>
      <w:r>
        <w:tab/>
      </w:r>
      <w:r>
        <w:rPr>
          <w:rFonts w:ascii="HYa6gj" w:hAnsi="HYa6gj" w:eastAsia="HYa6gj"/>
          <w:b w:val="0"/>
          <w:i w:val="0"/>
          <w:color w:val="221F1F"/>
          <w:sz w:val="17"/>
        </w:rPr>
        <w:t>[8] 李朝晖,杨海晶,施涛.基于随机规划理论的电网侧储能配</w:t>
      </w:r>
      <w:r>
        <w:rPr>
          <w:rFonts w:ascii="HYa6gj" w:hAnsi="HYa6gj" w:eastAsia="HYa6gj"/>
          <w:b w:val="0"/>
          <w:i w:val="0"/>
          <w:color w:val="221F1F"/>
          <w:sz w:val="17"/>
        </w:rPr>
        <w:t>置方法研究[J].电力电子技术,2020,328(3):46-49.</w:t>
      </w:r>
    </w:p>
    <w:p>
      <w:pPr>
        <w:autoSpaceDN w:val="0"/>
        <w:autoSpaceDE w:val="0"/>
        <w:widowControl/>
        <w:spacing w:line="185" w:lineRule="auto" w:before="2014" w:after="140"/>
        <w:ind w:left="550" w:right="0" w:firstLine="0"/>
        <w:jc w:val="left"/>
      </w:pPr>
      <w:r>
        <w:rPr>
          <w:rFonts w:ascii="KaiTi_GB2312" w:hAnsi="KaiTi_GB2312" w:eastAsia="KaiTi_GB2312"/>
          <w:b w:val="0"/>
          <w:i w:val="0"/>
          <w:color w:val="221F1F"/>
          <w:sz w:val="16"/>
        </w:rPr>
        <w:t>作者简介: 王华（1978-），女，，硕士研究生，工程师，研究方向：计算</w:t>
      </w:r>
    </w:p>
    <w:p>
      <w:pPr>
        <w:sectPr>
          <w:type w:val="nextColumn"/>
          <w:pgSz w:w="12246" w:h="16498"/>
          <w:pgMar w:top="370" w:right="970" w:bottom="168" w:left="400" w:header="720" w:footer="720" w:gutter="0"/>
          <w:cols w:num="2" w:equalWidth="0">
            <w:col w:w="5720" w:space="0"/>
            <w:col w:w="515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2719"/>
        <w:gridCol w:w="2719"/>
        <w:gridCol w:w="2719"/>
        <w:gridCol w:w="2719"/>
      </w:tblGrid>
      <w:tr>
        <w:trPr>
          <w:trHeight w:hRule="exact" w:val="544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480" w:right="0" w:firstLine="0"/>
              <w:jc w:val="left"/>
            </w:pPr>
            <w:r>
              <w:rPr>
                <w:rFonts w:ascii="HYa6gj" w:hAnsi="HYa6gj" w:eastAsia="HYa6gj"/>
                <w:b w:val="0"/>
                <w:i w:val="0"/>
                <w:color w:val="221F1F"/>
                <w:sz w:val="17"/>
              </w:rPr>
              <w:t>[5] 戚尔江,彭道刚,关欣蕾,等.智能配电远方终端数据采集系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230" w:right="0" w:firstLine="0"/>
              <w:jc w:val="left"/>
            </w:pPr>
            <w:r>
              <w:rPr>
                <w:rFonts w:ascii="KaiTi_GB2312" w:hAnsi="KaiTi_GB2312" w:eastAsia="KaiTi_GB2312"/>
                <w:b w:val="0"/>
                <w:i w:val="0"/>
                <w:color w:val="221F1F"/>
                <w:sz w:val="16"/>
              </w:rPr>
              <w:t>机应用。</w:t>
            </w:r>
          </w:p>
        </w:tc>
        <w:tc>
          <w:tcPr>
            <w:tcW w:type="dxa" w:w="3120"/>
            <w:tcBorders>
              <w:end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382" w:after="0"/>
              <w:ind w:left="0" w:right="50" w:firstLine="0"/>
              <w:jc w:val="right"/>
            </w:pPr>
            <w:r>
              <w:rPr>
                <w:w w:val="101.65317975557768"/>
                <w:rFonts w:ascii="Arial" w:hAnsi="Arial" w:eastAsia="Arial"/>
                <w:b w:val="0"/>
                <w:i w:val="0"/>
                <w:color w:val="221F1F"/>
                <w:sz w:val="13"/>
              </w:rPr>
              <w:t>Techniques of Automation &amp; Applications</w:t>
            </w:r>
          </w:p>
        </w:tc>
        <w:tc>
          <w:tcPr>
            <w:tcW w:type="dxa" w:w="300"/>
            <w:tcBorders>
              <w:start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21F1F"/>
                <w:sz w:val="14"/>
              </w:rPr>
              <w:t>183</w:t>
            </w:r>
          </w:p>
        </w:tc>
      </w:tr>
    </w:tbl>
    <w:p>
      <w:pPr>
        <w:autoSpaceDN w:val="0"/>
        <w:autoSpaceDE w:val="0"/>
        <w:widowControl/>
        <w:spacing w:line="240" w:lineRule="auto" w:before="8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2246" w:h="16498"/>
      <w:pgMar w:top="370" w:right="970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