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8216900</wp:posOffset>
            </wp:positionV>
            <wp:extent cx="38100" cy="38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8140700</wp:posOffset>
            </wp:positionV>
            <wp:extent cx="76200" cy="38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9055100</wp:posOffset>
            </wp:positionV>
            <wp:extent cx="127000" cy="101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896619</wp:posOffset>
            </wp:positionH>
            <wp:positionV relativeFrom="page">
              <wp:posOffset>6416040</wp:posOffset>
            </wp:positionV>
            <wp:extent cx="5765800" cy="300295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0029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8216900</wp:posOffset>
            </wp:positionV>
            <wp:extent cx="38100" cy="38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8178800</wp:posOffset>
            </wp:positionV>
            <wp:extent cx="139700" cy="1143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8140700</wp:posOffset>
            </wp:positionV>
            <wp:extent cx="762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5232"/>
        <w:gridCol w:w="5232"/>
      </w:tblGrid>
      <w:tr>
        <w:trPr>
          <w:trHeight w:hRule="exact" w:val="370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8" w:after="0"/>
              <w:ind w:left="386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221F1F"/>
                <w:sz w:val="16"/>
              </w:rPr>
              <w:t>2020 年第21 期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48" w:firstLine="0"/>
              <w:jc w:val="right"/>
            </w:pPr>
            <w:r>
              <w:rPr>
                <w:rFonts w:ascii="FZLTHK" w:hAnsi="FZLTHK" w:eastAsia="FZLTHK"/>
                <w:b w:val="0"/>
                <w:i w:val="0"/>
                <w:color w:val="221F1F"/>
                <w:sz w:val="12"/>
              </w:rPr>
              <w:t>Engineering Management</w:t>
            </w:r>
            <w:r>
              <w:rPr>
                <w:rFonts w:ascii="SimHei" w:hAnsi="SimHei" w:eastAsia="SimHei"/>
                <w:b w:val="0"/>
                <w:i w:val="0"/>
                <w:color w:val="221F1F"/>
                <w:sz w:val="18"/>
              </w:rPr>
              <w:t xml:space="preserve">| 工程管理 |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28"/>
              </w:rPr>
              <w:t>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20"/>
              </w:rPr>
              <w:t>165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28"/>
              </w:rPr>
              <w:t>·</w:t>
            </w:r>
          </w:p>
        </w:tc>
      </w:tr>
    </w:tbl>
    <w:p>
      <w:pPr>
        <w:autoSpaceDN w:val="0"/>
        <w:autoSpaceDE w:val="0"/>
        <w:widowControl/>
        <w:spacing w:line="185" w:lineRule="auto" w:before="452" w:after="0"/>
        <w:ind w:left="2032" w:right="0" w:firstLine="0"/>
        <w:jc w:val="left"/>
      </w:pPr>
      <w:r>
        <w:rPr>
          <w:rFonts w:ascii="SimHei" w:hAnsi="SimHei" w:eastAsia="SimHei"/>
          <w:b w:val="0"/>
          <w:i w:val="0"/>
          <w:color w:val="221F1F"/>
          <w:sz w:val="35"/>
        </w:rPr>
        <w:t>液化土层中土压平衡盾构施工及风险控制分析</w:t>
      </w:r>
    </w:p>
    <w:p>
      <w:pPr>
        <w:autoSpaceDN w:val="0"/>
        <w:autoSpaceDE w:val="0"/>
        <w:widowControl/>
        <w:spacing w:line="185" w:lineRule="auto" w:before="230" w:after="0"/>
        <w:ind w:left="0" w:right="4162" w:firstLine="0"/>
        <w:jc w:val="right"/>
      </w:pPr>
      <w:r>
        <w:rPr>
          <w:rFonts w:ascii="KaiTi" w:hAnsi="KaiTi" w:eastAsia="KaiTi"/>
          <w:b w:val="0"/>
          <w:i w:val="0"/>
          <w:color w:val="221F1F"/>
          <w:sz w:val="22"/>
        </w:rPr>
        <w:t>胡立群，卫佳莺</w:t>
      </w:r>
    </w:p>
    <w:p>
      <w:pPr>
        <w:autoSpaceDN w:val="0"/>
        <w:autoSpaceDE w:val="0"/>
        <w:widowControl/>
        <w:spacing w:line="204" w:lineRule="auto" w:before="132" w:after="0"/>
        <w:ind w:left="0" w:right="2592" w:firstLine="0"/>
        <w:jc w:val="right"/>
      </w:pPr>
      <w:r>
        <w:rPr>
          <w:rFonts w:ascii="SimSun" w:hAnsi="SimSun" w:eastAsia="SimSun"/>
          <w:b w:val="0"/>
          <w:i w:val="0"/>
          <w:color w:val="221F1F"/>
          <w:sz w:val="18"/>
        </w:rPr>
        <w:t xml:space="preserve">（无锡地铁集团有限公司建设分公司，江苏 无锡 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214000</w:t>
      </w:r>
      <w:r>
        <w:rPr>
          <w:rFonts w:ascii="SimSun" w:hAnsi="SimSun" w:eastAsia="SimSun"/>
          <w:b w:val="0"/>
          <w:i w:val="0"/>
          <w:color w:val="221F1F"/>
          <w:sz w:val="18"/>
        </w:rPr>
        <w:t>）</w:t>
      </w:r>
    </w:p>
    <w:p>
      <w:pPr>
        <w:autoSpaceDN w:val="0"/>
        <w:autoSpaceDE w:val="0"/>
        <w:widowControl/>
        <w:spacing w:line="245" w:lineRule="auto" w:before="94" w:after="0"/>
        <w:ind w:left="714" w:right="112" w:firstLine="0"/>
        <w:jc w:val="both"/>
      </w:pPr>
      <w:r>
        <w:rPr>
          <w:rFonts w:ascii="SimHei" w:hAnsi="SimHei" w:eastAsia="SimHei"/>
          <w:b w:val="0"/>
          <w:i w:val="0"/>
          <w:color w:val="221F1F"/>
          <w:sz w:val="18"/>
        </w:rPr>
        <w:t>摘 要：</w:t>
      </w:r>
      <w:r>
        <w:rPr>
          <w:rFonts w:ascii="KaiTi" w:hAnsi="KaiTi" w:eastAsia="KaiTi"/>
          <w:b w:val="0"/>
          <w:i w:val="0"/>
          <w:color w:val="221F1F"/>
          <w:sz w:val="18"/>
        </w:rPr>
        <w:t>文章结合工程实例，通过对工程地质情况、周边环境、施工情况、盾构机械等多方面进行分析，阐述了盾构隧</w:t>
      </w:r>
      <w:r>
        <w:rPr>
          <w:rFonts w:ascii="KaiTi" w:hAnsi="KaiTi" w:eastAsia="KaiTi"/>
          <w:b w:val="0"/>
          <w:i w:val="0"/>
          <w:color w:val="221F1F"/>
          <w:sz w:val="18"/>
        </w:rPr>
        <w:t>道在液化土层中掘进时应如何进行风险判别和风险预测，提出了相应的工程建议，从而保障工程的顺利进行，对后续类</w:t>
      </w:r>
      <w:r>
        <w:rPr>
          <w:rFonts w:ascii="KaiTi" w:hAnsi="KaiTi" w:eastAsia="KaiTi"/>
          <w:b w:val="0"/>
          <w:i w:val="0"/>
          <w:color w:val="221F1F"/>
          <w:sz w:val="18"/>
        </w:rPr>
        <w:t>似环境下的工程施工具有参考价值。</w:t>
      </w:r>
    </w:p>
    <w:p>
      <w:pPr>
        <w:autoSpaceDN w:val="0"/>
        <w:autoSpaceDE w:val="0"/>
        <w:widowControl/>
        <w:spacing w:line="185" w:lineRule="auto" w:before="60" w:after="38"/>
        <w:ind w:left="714" w:right="0" w:firstLine="0"/>
        <w:jc w:val="left"/>
      </w:pPr>
      <w:r>
        <w:rPr>
          <w:rFonts w:ascii="SimHei" w:hAnsi="SimHei" w:eastAsia="SimHei"/>
          <w:b w:val="0"/>
          <w:i w:val="0"/>
          <w:color w:val="221F1F"/>
          <w:sz w:val="18"/>
        </w:rPr>
        <w:t>关键词：</w:t>
      </w:r>
      <w:r>
        <w:rPr>
          <w:rFonts w:ascii="KaiTi" w:hAnsi="KaiTi" w:eastAsia="KaiTi"/>
          <w:b w:val="0"/>
          <w:i w:val="0"/>
          <w:color w:val="221F1F"/>
          <w:sz w:val="18"/>
        </w:rPr>
        <w:t>盾构；液化土；风险控制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488"/>
        <w:gridCol w:w="3488"/>
        <w:gridCol w:w="3488"/>
      </w:tblGrid>
      <w:tr>
        <w:trPr>
          <w:trHeight w:hRule="exact" w:val="256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8" w:after="0"/>
              <w:ind w:left="37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221F1F"/>
                <w:sz w:val="18"/>
              </w:rPr>
              <w:t>中图分类号：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U455.43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8" w:after="0"/>
              <w:ind w:left="0" w:right="0" w:firstLine="0"/>
              <w:jc w:val="center"/>
            </w:pPr>
            <w:r>
              <w:rPr>
                <w:rFonts w:ascii="SimHei" w:hAnsi="SimHei" w:eastAsia="SimHei"/>
                <w:b w:val="0"/>
                <w:i w:val="0"/>
                <w:color w:val="221F1F"/>
                <w:sz w:val="18"/>
              </w:rPr>
              <w:t>文献标志码：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A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8" w:after="0"/>
              <w:ind w:left="76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221F1F"/>
                <w:sz w:val="18"/>
              </w:rPr>
              <w:t>文章编号：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2096-2789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2020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21</w:t>
            </w:r>
            <w:r>
              <w:rPr>
                <w:rFonts w:ascii="SimHei" w:hAnsi="SimHei" w:eastAsia="SimHei"/>
                <w:b w:val="0"/>
                <w:i w:val="0"/>
                <w:color w:val="221F1F"/>
                <w:sz w:val="18"/>
              </w:rPr>
              <w:t>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0165</w:t>
            </w:r>
            <w:r>
              <w:rPr>
                <w:rFonts w:ascii="SimHei" w:hAnsi="SimHei" w:eastAsia="SimHei"/>
                <w:b w:val="0"/>
                <w:i w:val="0"/>
                <w:color w:val="221F1F"/>
                <w:sz w:val="18"/>
              </w:rPr>
              <w:t>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02</w:t>
            </w:r>
          </w:p>
        </w:tc>
      </w:tr>
    </w:tbl>
    <w:p>
      <w:pPr>
        <w:autoSpaceDN w:val="0"/>
        <w:autoSpaceDE w:val="0"/>
        <w:widowControl/>
        <w:spacing w:line="240" w:lineRule="exact" w:before="20" w:after="164"/>
        <w:ind w:left="71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>DOI:10.19537/j.cnki.2096-2789.2020.21.076</w:t>
      </w:r>
    </w:p>
    <w:p>
      <w:pPr>
        <w:sectPr>
          <w:pgSz w:w="11906" w:h="16838"/>
          <w:pgMar w:top="526" w:right="1022" w:bottom="17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14" w:right="198" w:firstLine="368"/>
        <w:jc w:val="both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随着现代城市建设的不断发展，隧道尤其是地铁隧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道越来越多地出现在城市建设之中。盾构法施工以其安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全、高效、经济、环保的特点，在隧道施工中被大量采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用，盾构穿越液化地层的情况也时有发生。土体液化是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指地震引起的强烈振动使饱和砂土和粉土颗粒发生相对</w:t>
      </w:r>
    </w:p>
    <w:p>
      <w:pPr>
        <w:sectPr>
          <w:type w:val="continuous"/>
          <w:pgSz w:w="11906" w:h="16838"/>
          <w:pgMar w:top="526" w:right="1022" w:bottom="178" w:left="420" w:header="720" w:footer="720" w:gutter="0"/>
          <w:cols w:num="2" w:equalWidth="0">
            <w:col w:w="5532" w:space="0"/>
            <w:col w:w="4932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58"/>
        <w:ind w:left="200" w:right="0" w:firstLine="0"/>
        <w:jc w:val="left"/>
      </w:pP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2107m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，区间隧道顶埋深约为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9.4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～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17.2m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。该区间隧道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主要穿越②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淤泥质粉质黏土、②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1-T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黏质粉土夹粉黏、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②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3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粉质黏土、④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2-2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黏质粉土夹粉砂、⑤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粉质黏土、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⑤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2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黏质粉土、⑤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3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粉质黏土、⑥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黏土、⑥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1-1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黏土、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⑥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2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粉质黏土层，如图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所示。</w:t>
      </w:r>
    </w:p>
    <w:p>
      <w:pPr>
        <w:sectPr>
          <w:type w:val="nextColumn"/>
          <w:pgSz w:w="11906" w:h="16838"/>
          <w:pgMar w:top="526" w:right="1022" w:bottom="178" w:left="420" w:header="720" w:footer="720" w:gutter="0"/>
          <w:cols w:num="2" w:equalWidth="0">
            <w:col w:w="5532" w:space="0"/>
            <w:col w:w="4932" w:space="0"/>
          </w:cols>
          <w:docGrid w:linePitch="360"/>
        </w:sectPr>
      </w:pPr>
    </w:p>
    <w:p>
      <w:pPr>
        <w:autoSpaceDN w:val="0"/>
        <w:tabs>
          <w:tab w:pos="5732" w:val="left"/>
        </w:tabs>
        <w:autoSpaceDE w:val="0"/>
        <w:widowControl/>
        <w:spacing w:line="185" w:lineRule="auto" w:before="0" w:after="66"/>
        <w:ind w:left="714" w:right="0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位移，颗粒间的空隙水压力上升，有效应力减小并接近</w:t>
      </w:r>
      <w:r>
        <w:tab/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1.2  </w:t>
      </w:r>
      <w:r>
        <w:rPr>
          <w:rFonts w:ascii="KaiTi" w:hAnsi="KaiTi" w:eastAsia="KaiTi"/>
          <w:b w:val="0"/>
          <w:i w:val="0"/>
          <w:color w:val="221F1F"/>
          <w:sz w:val="19"/>
        </w:rPr>
        <w:t>液化土层概况</w:t>
      </w:r>
    </w:p>
    <w:p>
      <w:pPr>
        <w:sectPr>
          <w:type w:val="continuous"/>
          <w:pgSz w:w="11906" w:h="16838"/>
          <w:pgMar w:top="526" w:right="1022" w:bottom="17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0"/>
        <w:ind w:left="714" w:right="144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零时，砂土颗粒局部或全部处于悬浮状态，抗剪强度接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近或等于零，形成“液体”现象。盾构施工对土体的影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响与地震不同，主要表现为对土体的振动和挤压、加载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与卸载、空隙水压力的上升与下降，从而引起液化土层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应力状态的变化，易发生流砂造成盾构姿态变化风险，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砂土液化产生的涌水、涌砂现场也容易导致开挖面失稳，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威胁隧道本身以及周边建（构）筑物的安全。文章将结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合工程实例，讨论土压平衡盾构在遇到液化土层时应如</w:t>
      </w:r>
    </w:p>
    <w:p>
      <w:pPr>
        <w:sectPr>
          <w:type w:val="continuous"/>
          <w:pgSz w:w="11906" w:h="16838"/>
          <w:pgMar w:top="526" w:right="1022" w:bottom="178" w:left="420" w:header="720" w:footer="720" w:gutter="0"/>
          <w:cols w:num="2" w:equalWidth="0">
            <w:col w:w="5580" w:space="0"/>
            <w:col w:w="4884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exact" w:before="0" w:after="18"/>
        <w:ind w:left="152" w:right="112" w:firstLine="368"/>
        <w:jc w:val="both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根据广石路站—青石路站区间液化判别补充资料，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按《建筑抗震设计规范》（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GB 50011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—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2010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）和《城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市轨道交通结构抗震设计规范》（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GB 50909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—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2014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）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进行液化判别，判别结果为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20m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浅的②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1-T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层黏质粉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土夹粉质黏土为液化土层，液化指数为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0.87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～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29.77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，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按最不利情况考虑，液化等级为严重液化，其物理性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能参数为含水量</w:t>
      </w:r>
      <w:r>
        <w:rPr>
          <w:w w:val="102.22222010294597"/>
          <w:rFonts w:ascii="Times" w:hAnsi="Times" w:eastAsia="Times"/>
          <w:b w:val="0"/>
          <w:i/>
          <w:color w:val="221F1F"/>
          <w:sz w:val="18"/>
        </w:rPr>
        <w:t>W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=31.9%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，直剪（快剪）</w:t>
      </w:r>
      <w:r>
        <w:rPr>
          <w:w w:val="102.22222010294597"/>
          <w:rFonts w:ascii="Times" w:hAnsi="Times" w:eastAsia="Times"/>
          <w:b w:val="0"/>
          <w:i/>
          <w:color w:val="221F1F"/>
          <w:sz w:val="18"/>
        </w:rPr>
        <w:t>C</w:t>
      </w:r>
      <w:r>
        <w:rPr>
          <w:w w:val="97.51999594948508"/>
          <w:rFonts w:ascii="Times" w:hAnsi="Times" w:eastAsia="Times"/>
          <w:b w:val="0"/>
          <w:i/>
          <w:color w:val="221F1F"/>
          <w:sz w:val="11"/>
        </w:rPr>
        <w:t>qk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=8.1kPa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、</w:t>
      </w:r>
      <w:r>
        <w:rPr>
          <w:w w:val="102.22222010294597"/>
          <w:rFonts w:ascii="Times" w:hAnsi="Times" w:eastAsia="Times"/>
          <w:b w:val="0"/>
          <w:i/>
          <w:color w:val="221F1F"/>
          <w:sz w:val="18"/>
        </w:rPr>
        <w:t>φ</w:t>
      </w:r>
      <w:r>
        <w:rPr>
          <w:w w:val="97.51999594948508"/>
          <w:rFonts w:ascii="Times" w:hAnsi="Times" w:eastAsia="Times"/>
          <w:b w:val="0"/>
          <w:i/>
          <w:color w:val="221F1F"/>
          <w:sz w:val="11"/>
        </w:rPr>
        <w:t>qk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=28.9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°，直剪（固快）</w:t>
      </w:r>
      <w:r>
        <w:rPr>
          <w:w w:val="102.22222010294597"/>
          <w:rFonts w:ascii="Times" w:hAnsi="Times" w:eastAsia="Times"/>
          <w:b w:val="0"/>
          <w:i/>
          <w:color w:val="221F1F"/>
          <w:sz w:val="18"/>
        </w:rPr>
        <w:t>C</w:t>
      </w:r>
      <w:r>
        <w:rPr>
          <w:w w:val="97.51999594948508"/>
          <w:rFonts w:ascii="Times" w:hAnsi="Times" w:eastAsia="Times"/>
          <w:b w:val="0"/>
          <w:i/>
          <w:color w:val="221F1F"/>
          <w:sz w:val="11"/>
        </w:rPr>
        <w:t>qk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=9.1kPa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、</w:t>
      </w:r>
      <w:r>
        <w:rPr>
          <w:w w:val="102.22222010294597"/>
          <w:rFonts w:ascii="Times" w:hAnsi="Times" w:eastAsia="Times"/>
          <w:b w:val="0"/>
          <w:i/>
          <w:color w:val="221F1F"/>
          <w:sz w:val="18"/>
        </w:rPr>
        <w:t>φ</w:t>
      </w:r>
      <w:r>
        <w:rPr>
          <w:w w:val="97.51999594948508"/>
          <w:rFonts w:ascii="Times" w:hAnsi="Times" w:eastAsia="Times"/>
          <w:b w:val="0"/>
          <w:i/>
          <w:color w:val="221F1F"/>
          <w:sz w:val="11"/>
        </w:rPr>
        <w:t>qk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=30.3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°，渗透</w:t>
      </w:r>
    </w:p>
    <w:p>
      <w:pPr>
        <w:sectPr>
          <w:type w:val="nextColumn"/>
          <w:pgSz w:w="11906" w:h="16838"/>
          <w:pgMar w:top="526" w:right="1022" w:bottom="178" w:left="420" w:header="720" w:footer="720" w:gutter="0"/>
          <w:cols w:num="2" w:equalWidth="0">
            <w:col w:w="5580" w:space="0"/>
            <w:col w:w="488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488"/>
        <w:gridCol w:w="3488"/>
        <w:gridCol w:w="3488"/>
      </w:tblGrid>
      <w:tr>
        <w:trPr>
          <w:trHeight w:hRule="exact" w:val="204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374" w:right="0" w:firstLine="0"/>
              <w:jc w:val="left"/>
            </w:pPr>
            <w:r>
              <w:rPr>
                <w:w w:val="102.22222010294597"/>
                <w:rFonts w:ascii="SimSun" w:hAnsi="SimSun" w:eastAsia="SimSun"/>
                <w:b w:val="0"/>
                <w:i w:val="0"/>
                <w:color w:val="221F1F"/>
                <w:sz w:val="18"/>
              </w:rPr>
              <w:t>何进行风险判别、风险预测，提出一些盾构期间以及施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4" w:after="0"/>
              <w:ind w:left="212" w:right="0" w:firstLine="0"/>
              <w:jc w:val="left"/>
            </w:pPr>
            <w:r>
              <w:rPr>
                <w:w w:val="102.22222010294597"/>
                <w:rFonts w:ascii="SimSun" w:hAnsi="SimSun" w:eastAsia="SimSun"/>
                <w:b w:val="0"/>
                <w:i w:val="0"/>
                <w:color w:val="221F1F"/>
                <w:sz w:val="18"/>
              </w:rPr>
              <w:t>系数</w:t>
            </w:r>
            <w:r>
              <w:rPr>
                <w:w w:val="102.22222010294597"/>
                <w:rFonts w:ascii="Times" w:hAnsi="Times" w:eastAsia="Times"/>
                <w:b w:val="0"/>
                <w:i/>
                <w:color w:val="221F1F"/>
                <w:sz w:val="18"/>
              </w:rPr>
              <w:t>K</w:t>
            </w:r>
            <w:r>
              <w:rPr>
                <w:w w:val="102.22222010294597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=1.00</w:t>
            </w:r>
            <w:r>
              <w:rPr>
                <w:w w:val="102.22222010294597"/>
                <w:rFonts w:ascii="SimSun" w:hAnsi="SimSun" w:eastAsia="SimSun"/>
                <w:b w:val="0"/>
                <w:i w:val="0"/>
                <w:color w:val="221F1F"/>
                <w:sz w:val="18"/>
              </w:rPr>
              <w:t>×</w:t>
            </w:r>
            <w:r>
              <w:rPr>
                <w:w w:val="102.22222010294597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10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w w:val="97.51999594948508"/>
                <w:rFonts w:ascii="TimesNewRomanPSMT" w:hAnsi="TimesNewRomanPSMT" w:eastAsia="TimesNewRomanPSMT"/>
                <w:b w:val="0"/>
                <w:i w:val="0"/>
                <w:color w:val="221F1F"/>
                <w:sz w:val="11"/>
              </w:rPr>
              <w:t>-4</w:t>
            </w:r>
            <w:r>
              <w:rPr>
                <w:w w:val="102.22222010294597"/>
                <w:rFonts w:ascii="SimSun" w:hAnsi="SimSun" w:eastAsia="SimSun"/>
                <w:b w:val="0"/>
                <w:i w:val="0"/>
                <w:color w:val="221F1F"/>
                <w:sz w:val="18"/>
              </w:rPr>
              <w:t>（</w:t>
            </w:r>
            <w:r>
              <w:rPr>
                <w:w w:val="102.22222010294597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cm/s</w:t>
            </w:r>
            <w:r>
              <w:rPr>
                <w:w w:val="102.22222010294597"/>
                <w:rFonts w:ascii="SimSun" w:hAnsi="SimSun" w:eastAsia="SimSun"/>
                <w:b w:val="0"/>
                <w:i w:val="0"/>
                <w:color w:val="221F1F"/>
                <w:sz w:val="18"/>
              </w:rPr>
              <w:t>），地基基本承载力</w:t>
            </w:r>
            <w:r>
              <w:rPr>
                <w:w w:val="102.22222010294597"/>
                <w:rFonts w:ascii="Times" w:hAnsi="Times" w:eastAsia="Times"/>
                <w:b w:val="0"/>
                <w:i/>
                <w:color w:val="221F1F"/>
                <w:sz w:val="18"/>
              </w:rPr>
              <w:t>σ</w:t>
            </w:r>
            <w:r>
              <w:rPr>
                <w:w w:val="102.22222010294597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=70kPa</w:t>
            </w:r>
            <w:r>
              <w:rPr>
                <w:w w:val="102.22222010294597"/>
                <w:rFonts w:ascii="SimSun" w:hAnsi="SimSun" w:eastAsia="SimSun"/>
                <w:b w:val="0"/>
                <w:i w:val="0"/>
                <w:color w:val="221F1F"/>
                <w:sz w:val="18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14" w:lineRule="exact" w:before="0" w:after="64"/>
        <w:ind w:left="0" w:right="0"/>
      </w:pPr>
    </w:p>
    <w:p>
      <w:pPr>
        <w:sectPr>
          <w:type w:val="continuous"/>
          <w:pgSz w:w="11906" w:h="16838"/>
          <w:pgMar w:top="526" w:right="1022" w:bottom="17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714" w:right="0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工后的控制措施。</w:t>
      </w:r>
    </w:p>
    <w:p>
      <w:pPr>
        <w:sectPr>
          <w:type w:val="continuous"/>
          <w:pgSz w:w="11906" w:h="16838"/>
          <w:pgMar w:top="526" w:right="1022" w:bottom="178" w:left="420" w:header="720" w:footer="720" w:gutter="0"/>
          <w:cols w:num="2" w:equalWidth="0">
            <w:col w:w="3978" w:space="0"/>
            <w:col w:w="648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28"/>
        <w:ind w:left="1754" w:right="0" w:firstLine="368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液化土层在该区间分布范围较大，如图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所示。沿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区间线路方向长度约为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285m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，盾构区间在其中穿行长</w:t>
      </w:r>
    </w:p>
    <w:p>
      <w:pPr>
        <w:sectPr>
          <w:type w:val="nextColumn"/>
          <w:pgSz w:w="11906" w:h="16838"/>
          <w:pgMar w:top="526" w:right="1022" w:bottom="178" w:left="420" w:header="720" w:footer="720" w:gutter="0"/>
          <w:cols w:num="2" w:equalWidth="0">
            <w:col w:w="3978" w:space="0"/>
            <w:col w:w="6486" w:space="0"/>
          </w:cols>
          <w:docGrid w:linePitch="360"/>
        </w:sectPr>
      </w:pPr>
    </w:p>
    <w:p>
      <w:pPr>
        <w:autoSpaceDN w:val="0"/>
        <w:tabs>
          <w:tab w:pos="5732" w:val="left"/>
        </w:tabs>
        <w:autoSpaceDE w:val="0"/>
        <w:widowControl/>
        <w:spacing w:line="211" w:lineRule="auto" w:before="0" w:after="0"/>
        <w:ind w:left="7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 xml:space="preserve">1   </w:t>
      </w:r>
      <w:r>
        <w:rPr>
          <w:rFonts w:ascii="SimHei" w:hAnsi="SimHei" w:eastAsia="SimHei"/>
          <w:b w:val="0"/>
          <w:i w:val="0"/>
          <w:color w:val="221F1F"/>
          <w:sz w:val="20"/>
        </w:rPr>
        <w:t>工程概况</w:t>
      </w:r>
      <w:r>
        <w:tab/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度约为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83m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，区间隧道顶埋深约为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9.4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～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17.2m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5732" w:val="left"/>
        </w:tabs>
        <w:autoSpaceDE w:val="0"/>
        <w:widowControl/>
        <w:spacing w:line="190" w:lineRule="auto" w:before="58" w:after="54"/>
        <w:ind w:left="7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1.1  </w:t>
      </w:r>
      <w:r>
        <w:rPr>
          <w:rFonts w:ascii="KaiTi" w:hAnsi="KaiTi" w:eastAsia="KaiTi"/>
          <w:b w:val="0"/>
          <w:i w:val="0"/>
          <w:color w:val="221F1F"/>
          <w:sz w:val="19"/>
        </w:rPr>
        <w:t>区间概况</w:t>
      </w:r>
      <w:r>
        <w:tab/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1.3  </w:t>
      </w:r>
      <w:r>
        <w:rPr>
          <w:rFonts w:ascii="KaiTi" w:hAnsi="KaiTi" w:eastAsia="KaiTi"/>
          <w:b w:val="0"/>
          <w:i w:val="0"/>
          <w:color w:val="221F1F"/>
          <w:sz w:val="19"/>
        </w:rPr>
        <w:t>施工情况</w:t>
      </w:r>
    </w:p>
    <w:p>
      <w:pPr>
        <w:sectPr>
          <w:type w:val="continuous"/>
          <w:pgSz w:w="11906" w:h="16838"/>
          <w:pgMar w:top="526" w:right="1022" w:bottom="17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14" w:right="144" w:firstLine="368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无锡地铁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4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号线一期工程广石路站—青石路站区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间为盾构法区间，整体呈北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-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南走向，区间全长约为</w:t>
      </w:r>
    </w:p>
    <w:p>
      <w:pPr>
        <w:sectPr>
          <w:type w:val="continuous"/>
          <w:pgSz w:w="11906" w:h="16838"/>
          <w:pgMar w:top="526" w:right="1022" w:bottom="178" w:left="420" w:header="720" w:footer="720" w:gutter="0"/>
          <w:cols w:num="2" w:equalWidth="0">
            <w:col w:w="5532" w:space="0"/>
            <w:col w:w="493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4980"/>
        <w:ind w:left="200" w:right="0" w:firstLine="368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根据地质勘察报告来看，该区间液化土层分布范围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较大，囊括广石路站南端头部分区域。在广石路站施工</w:t>
      </w:r>
    </w:p>
    <w:p>
      <w:pPr>
        <w:sectPr>
          <w:type w:val="nextColumn"/>
          <w:pgSz w:w="11906" w:h="16838"/>
          <w:pgMar w:top="526" w:right="1022" w:bottom="178" w:left="420" w:header="720" w:footer="720" w:gutter="0"/>
          <w:cols w:num="2" w:equalWidth="0">
            <w:col w:w="5532" w:space="0"/>
            <w:col w:w="4932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126"/>
        <w:ind w:left="0" w:right="3758" w:firstLine="0"/>
        <w:jc w:val="right"/>
      </w:pPr>
      <w:r>
        <w:rPr>
          <w:rFonts w:ascii="SimHei" w:hAnsi="SimHei" w:eastAsia="SimHei"/>
          <w:b w:val="0"/>
          <w:i w:val="0"/>
          <w:color w:val="221F1F"/>
          <w:sz w:val="16"/>
        </w:rPr>
        <w:t>图1 液化土层分布范围纵断面图</w:t>
      </w:r>
    </w:p>
    <w:p>
      <w:pPr>
        <w:sectPr>
          <w:type w:val="continuous"/>
          <w:pgSz w:w="11906" w:h="16838"/>
          <w:pgMar w:top="526" w:right="1022" w:bottom="17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14" w:right="144" w:firstLine="0"/>
        <w:jc w:val="left"/>
      </w:pPr>
      <w:r>
        <w:rPr>
          <w:rFonts w:ascii="SimHei" w:hAnsi="SimHei" w:eastAsia="SimHei"/>
          <w:b w:val="0"/>
          <w:i w:val="0"/>
          <w:color w:val="221F1F"/>
          <w:sz w:val="17"/>
        </w:rPr>
        <w:t>作者简介：</w:t>
      </w:r>
      <w:r>
        <w:rPr>
          <w:rFonts w:ascii="KaiTi" w:hAnsi="KaiTi" w:eastAsia="KaiTi"/>
          <w:b w:val="0"/>
          <w:i w:val="0"/>
          <w:color w:val="221F1F"/>
          <w:sz w:val="17"/>
        </w:rPr>
        <w:t>胡立群，男，工程师，研究方向为轨道交通工程</w:t>
      </w:r>
      <w:r>
        <w:rPr>
          <w:rFonts w:ascii="KaiTi" w:hAnsi="KaiTi" w:eastAsia="KaiTi"/>
          <w:b w:val="0"/>
          <w:i w:val="0"/>
          <w:color w:val="221F1F"/>
          <w:sz w:val="17"/>
        </w:rPr>
        <w:t>施工技术。</w:t>
      </w:r>
    </w:p>
    <w:p>
      <w:pPr>
        <w:autoSpaceDN w:val="0"/>
        <w:tabs>
          <w:tab w:pos="1300" w:val="left"/>
        </w:tabs>
        <w:autoSpaceDE w:val="0"/>
        <w:widowControl/>
        <w:spacing w:line="240" w:lineRule="auto" w:before="50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397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511300" cy="15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526" w:right="1022" w:bottom="178" w:left="420" w:header="720" w:footer="720" w:gutter="0"/>
          <w:cols w:num="2" w:equalWidth="0">
            <w:col w:w="5532" w:space="0"/>
            <w:col w:w="493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00" w:right="0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时，土方开挖已穿越液化土层。在开挖过程中，由于液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化土层的特性，已经引起福特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4S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店地面发生变化，说</w:t>
      </w:r>
    </w:p>
    <w:p>
      <w:pPr>
        <w:sectPr>
          <w:type w:val="nextColumn"/>
          <w:pgSz w:w="11906" w:h="16838"/>
          <w:pgMar w:top="526" w:right="1022" w:bottom="178" w:left="420" w:header="720" w:footer="720" w:gutter="0"/>
          <w:cols w:num="2" w:equalWidth="0">
            <w:col w:w="5532" w:space="0"/>
            <w:col w:w="493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488"/>
        <w:gridCol w:w="3488"/>
        <w:gridCol w:w="3488"/>
      </w:tblGrid>
      <w:tr>
        <w:trPr>
          <w:trHeight w:hRule="exact" w:val="29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28"/>
              </w:rPr>
              <w:t>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20"/>
              </w:rPr>
              <w:t>166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28"/>
              </w:rPr>
              <w:t>·</w:t>
            </w:r>
          </w:p>
        </w:tc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10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221F1F"/>
                <w:sz w:val="18"/>
              </w:rPr>
              <w:t>| 工程管理</w:t>
            </w:r>
            <w:r>
              <w:rPr>
                <w:rFonts w:ascii="SimHei" w:hAnsi="SimHei" w:eastAsia="SimHei"/>
                <w:b w:val="0"/>
                <w:i w:val="0"/>
                <w:color w:val="221F1F"/>
                <w:sz w:val="18"/>
              </w:rPr>
              <w:t xml:space="preserve">| </w:t>
            </w:r>
            <w:r>
              <w:rPr>
                <w:rFonts w:ascii="FZLTHK" w:hAnsi="FZLTHK" w:eastAsia="FZLTHK"/>
                <w:b w:val="0"/>
                <w:i w:val="0"/>
                <w:color w:val="221F1F"/>
                <w:sz w:val="12"/>
              </w:rPr>
              <w:t>Engineering Management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4" w:after="0"/>
              <w:ind w:left="0" w:right="58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221F1F"/>
                <w:sz w:val="16"/>
              </w:rPr>
              <w:t>2020 年第21 期</w:t>
            </w:r>
          </w:p>
        </w:tc>
      </w:tr>
    </w:tbl>
    <w:p>
      <w:pPr>
        <w:autoSpaceDN w:val="0"/>
        <w:autoSpaceDE w:val="0"/>
        <w:widowControl/>
        <w:spacing w:line="14" w:lineRule="exact" w:before="0" w:after="330"/>
        <w:ind w:left="0" w:right="0"/>
      </w:pPr>
    </w:p>
    <w:p>
      <w:pPr>
        <w:sectPr>
          <w:pgSz w:w="11906" w:h="16838"/>
          <w:pgMar w:top="522" w:right="1022" w:bottom="17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14" w:right="198" w:firstLine="0"/>
        <w:jc w:val="both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明这一片区域内的液化土层已经受到了第一次扰动。接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下来的广石路站附属结构施工对液化土层造成了第二次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扰动。待盾构区间右线进入液化土层施工时，将对液化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土层造成第三次扰动。最后左线穿越施工时，将对液化</w:t>
      </w:r>
    </w:p>
    <w:p>
      <w:pPr>
        <w:sectPr>
          <w:type w:val="continuous"/>
          <w:pgSz w:w="11906" w:h="16838"/>
          <w:pgMar w:top="522" w:right="1022" w:bottom="178" w:left="420" w:header="720" w:footer="720" w:gutter="0"/>
          <w:cols w:num="2" w:equalWidth="0">
            <w:col w:w="5532" w:space="0"/>
            <w:col w:w="493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2"/>
        <w:ind w:left="200" w:right="112" w:firstLine="368"/>
        <w:jc w:val="both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2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）难以控制盾构机在液化土层中的掘进姿态，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因此必然需要进行频繁、大量的分区油压调整，而推进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油缸的力是全部作用在后部管片上的，如果某个方向推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力较大，将使原本就不稳定的成型隧道发生更加严重的</w:t>
      </w:r>
    </w:p>
    <w:p>
      <w:pPr>
        <w:sectPr>
          <w:type w:val="nextColumn"/>
          <w:pgSz w:w="11906" w:h="16838"/>
          <w:pgMar w:top="522" w:right="1022" w:bottom="178" w:left="420" w:header="720" w:footer="720" w:gutter="0"/>
          <w:cols w:num="2" w:equalWidth="0">
            <w:col w:w="5532" w:space="0"/>
            <w:col w:w="4932" w:space="0"/>
          </w:cols>
          <w:docGrid w:linePitch="360"/>
        </w:sectPr>
      </w:pPr>
    </w:p>
    <w:p>
      <w:pPr>
        <w:autoSpaceDN w:val="0"/>
        <w:tabs>
          <w:tab w:pos="5732" w:val="left"/>
        </w:tabs>
        <w:autoSpaceDE w:val="0"/>
        <w:widowControl/>
        <w:spacing w:line="185" w:lineRule="auto" w:before="0" w:after="0"/>
        <w:ind w:left="714" w:right="0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土层造成第四次扰动。</w:t>
      </w:r>
      <w:r>
        <w:tab/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位移。</w:t>
      </w:r>
    </w:p>
    <w:p>
      <w:pPr>
        <w:autoSpaceDN w:val="0"/>
        <w:autoSpaceDE w:val="0"/>
        <w:widowControl/>
        <w:spacing w:line="185" w:lineRule="auto" w:before="72" w:after="0"/>
        <w:ind w:left="1082" w:right="0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盾构穿越液化土层施工前，液化土层已经被扰动至</w:t>
      </w:r>
    </w:p>
    <w:p>
      <w:pPr>
        <w:autoSpaceDN w:val="0"/>
        <w:tabs>
          <w:tab w:pos="5732" w:val="left"/>
        </w:tabs>
        <w:autoSpaceDE w:val="0"/>
        <w:widowControl/>
        <w:spacing w:line="214" w:lineRule="auto" w:before="38" w:after="0"/>
        <w:ind w:left="714" w:right="0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少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2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次，液化土层地表建筑物已观测到部分沉降，盾构</w:t>
      </w:r>
      <w:r>
        <w:tab/>
      </w: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 xml:space="preserve">3   </w:t>
      </w:r>
      <w:r>
        <w:rPr>
          <w:rFonts w:ascii="SimHei" w:hAnsi="SimHei" w:eastAsia="SimHei"/>
          <w:b w:val="0"/>
          <w:i w:val="0"/>
          <w:color w:val="221F1F"/>
          <w:sz w:val="20"/>
        </w:rPr>
        <w:t>处理措施</w:t>
      </w:r>
    </w:p>
    <w:p>
      <w:pPr>
        <w:autoSpaceDN w:val="0"/>
        <w:tabs>
          <w:tab w:pos="5732" w:val="left"/>
        </w:tabs>
        <w:autoSpaceDE w:val="0"/>
        <w:widowControl/>
        <w:spacing w:line="187" w:lineRule="auto" w:before="58" w:after="64"/>
        <w:ind w:left="714" w:right="0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施工对土层扰动风险较大，必须采取相应的施工措施，</w:t>
      </w:r>
      <w:r>
        <w:tab/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3.1  </w:t>
      </w:r>
      <w:r>
        <w:rPr>
          <w:rFonts w:ascii="KaiTi" w:hAnsi="KaiTi" w:eastAsia="KaiTi"/>
          <w:b w:val="0"/>
          <w:i w:val="0"/>
          <w:color w:val="221F1F"/>
          <w:sz w:val="19"/>
        </w:rPr>
        <w:t>土体改良</w:t>
      </w:r>
    </w:p>
    <w:p>
      <w:pPr>
        <w:sectPr>
          <w:type w:val="continuous"/>
          <w:pgSz w:w="11906" w:h="16838"/>
          <w:pgMar w:top="522" w:right="1022" w:bottom="17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714" w:right="0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避免风险的发生。</w:t>
      </w:r>
    </w:p>
    <w:p>
      <w:pPr>
        <w:sectPr>
          <w:type w:val="continuous"/>
          <w:pgSz w:w="11906" w:h="16838"/>
          <w:pgMar w:top="522" w:right="1022" w:bottom="178" w:left="420" w:header="720" w:footer="720" w:gutter="0"/>
          <w:cols w:num="2" w:equalWidth="0">
            <w:col w:w="3978" w:space="0"/>
            <w:col w:w="648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42"/>
        <w:ind w:left="1754" w:right="0" w:firstLine="368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为避免盾构施工期间，因液化土层受到扰动继续液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化造成隧道或地面建构筑物发生风险，可对液化土层进</w:t>
      </w:r>
    </w:p>
    <w:p>
      <w:pPr>
        <w:sectPr>
          <w:type w:val="nextColumn"/>
          <w:pgSz w:w="11906" w:h="16838"/>
          <w:pgMar w:top="522" w:right="1022" w:bottom="178" w:left="420" w:header="720" w:footer="720" w:gutter="0"/>
          <w:cols w:num="2" w:equalWidth="0">
            <w:col w:w="3978" w:space="0"/>
            <w:col w:w="6486" w:space="0"/>
          </w:cols>
          <w:docGrid w:linePitch="360"/>
        </w:sectPr>
      </w:pPr>
    </w:p>
    <w:p>
      <w:pPr>
        <w:autoSpaceDN w:val="0"/>
        <w:tabs>
          <w:tab w:pos="5732" w:val="left"/>
        </w:tabs>
        <w:autoSpaceDE w:val="0"/>
        <w:widowControl/>
        <w:spacing w:line="204" w:lineRule="auto" w:before="0" w:after="72"/>
        <w:ind w:left="7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 xml:space="preserve">2   </w:t>
      </w:r>
      <w:r>
        <w:rPr>
          <w:rFonts w:ascii="SimHei" w:hAnsi="SimHei" w:eastAsia="SimHei"/>
          <w:b w:val="0"/>
          <w:i w:val="0"/>
          <w:color w:val="221F1F"/>
          <w:sz w:val="20"/>
        </w:rPr>
        <w:t>风险分析</w:t>
      </w:r>
      <w:r>
        <w:tab/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行土体改良，具体措施如下：</w:t>
      </w:r>
    </w:p>
    <w:p>
      <w:pPr>
        <w:sectPr>
          <w:type w:val="continuous"/>
          <w:pgSz w:w="11906" w:h="16838"/>
          <w:pgMar w:top="522" w:right="1022" w:bottom="178" w:left="420" w:header="720" w:footer="720" w:gutter="0"/>
          <w:cols/>
          <w:docGrid w:linePitch="360"/>
        </w:sectPr>
      </w:pPr>
    </w:p>
    <w:p>
      <w:pPr>
        <w:autoSpaceDN w:val="0"/>
        <w:tabs>
          <w:tab w:pos="1082" w:val="left"/>
        </w:tabs>
        <w:autoSpaceDE w:val="0"/>
        <w:widowControl/>
        <w:spacing w:line="245" w:lineRule="auto" w:before="0" w:after="0"/>
        <w:ind w:left="71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2.1  </w:t>
      </w:r>
      <w:r>
        <w:rPr>
          <w:rFonts w:ascii="KaiTi" w:hAnsi="KaiTi" w:eastAsia="KaiTi"/>
          <w:b w:val="0"/>
          <w:i w:val="0"/>
          <w:color w:val="221F1F"/>
          <w:sz w:val="19"/>
        </w:rPr>
        <w:t>盾构掘进风险</w:t>
      </w:r>
      <w:r>
        <w:br/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根据土体物理性能表可知，②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1-T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黏质粉土夹粉质</w:t>
      </w:r>
    </w:p>
    <w:p>
      <w:pPr>
        <w:sectPr>
          <w:type w:val="continuous"/>
          <w:pgSz w:w="11906" w:h="16838"/>
          <w:pgMar w:top="522" w:right="1022" w:bottom="178" w:left="420" w:header="720" w:footer="720" w:gutter="0"/>
          <w:cols w:num="2" w:equalWidth="0">
            <w:col w:w="5532" w:space="0"/>
            <w:col w:w="493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44"/>
        <w:ind w:left="200" w:right="0" w:firstLine="368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）对液化土层进行改良，可通过地面注浆加固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对液化土层进行土体改良，提高液化土层的稳定性。对</w:t>
      </w:r>
    </w:p>
    <w:p>
      <w:pPr>
        <w:sectPr>
          <w:type w:val="nextColumn"/>
          <w:pgSz w:w="11906" w:h="16838"/>
          <w:pgMar w:top="522" w:right="1022" w:bottom="178" w:left="420" w:header="720" w:footer="720" w:gutter="0"/>
          <w:cols w:num="2" w:equalWidth="0">
            <w:col w:w="5532" w:space="0"/>
            <w:col w:w="493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488"/>
        <w:gridCol w:w="3488"/>
        <w:gridCol w:w="3488"/>
      </w:tblGrid>
      <w:tr>
        <w:trPr>
          <w:trHeight w:hRule="exact" w:val="206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22" w:after="0"/>
              <w:ind w:left="374" w:right="0" w:firstLine="0"/>
              <w:jc w:val="left"/>
            </w:pPr>
            <w:r>
              <w:rPr>
                <w:w w:val="102.22222010294597"/>
                <w:rFonts w:ascii="SimSun" w:hAnsi="SimSun" w:eastAsia="SimSun"/>
                <w:b w:val="0"/>
                <w:i w:val="0"/>
                <w:color w:val="221F1F"/>
                <w:sz w:val="18"/>
              </w:rPr>
              <w:t>黏土土体重度为</w:t>
            </w:r>
            <w:r>
              <w:rPr>
                <w:w w:val="102.22222010294597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19.0kN/m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0" w:after="0"/>
              <w:ind w:left="12" w:right="0" w:firstLine="0"/>
              <w:jc w:val="left"/>
            </w:pPr>
            <w:r>
              <w:rPr>
                <w:w w:val="97.51999594948508"/>
                <w:rFonts w:ascii="TimesNewRomanPSMT" w:hAnsi="TimesNewRomanPSMT" w:eastAsia="TimesNewRomanPSMT"/>
                <w:b w:val="0"/>
                <w:i w:val="0"/>
                <w:color w:val="221F1F"/>
                <w:sz w:val="11"/>
              </w:rPr>
              <w:t>3</w:t>
            </w:r>
            <w:r>
              <w:rPr>
                <w:w w:val="102.22222010294597"/>
                <w:rFonts w:ascii="SimSun" w:hAnsi="SimSun" w:eastAsia="SimSun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1312" w:right="0" w:firstLine="0"/>
              <w:jc w:val="left"/>
            </w:pPr>
            <w:r>
              <w:rPr>
                <w:w w:val="102.22222010294597"/>
                <w:rFonts w:ascii="SimSun" w:hAnsi="SimSun" w:eastAsia="SimSun"/>
                <w:b w:val="0"/>
                <w:i w:val="0"/>
                <w:color w:val="221F1F"/>
                <w:sz w:val="18"/>
              </w:rPr>
              <w:t>距离较近的建筑物进行斜管注浆加固，建筑物发生变形，</w:t>
            </w:r>
          </w:p>
        </w:tc>
      </w:tr>
    </w:tbl>
    <w:p>
      <w:pPr>
        <w:autoSpaceDN w:val="0"/>
        <w:autoSpaceDE w:val="0"/>
        <w:widowControl/>
        <w:spacing w:line="14" w:lineRule="exact" w:before="0" w:after="58"/>
        <w:ind w:left="0" w:right="0"/>
      </w:pPr>
    </w:p>
    <w:p>
      <w:pPr>
        <w:sectPr>
          <w:type w:val="continuous"/>
          <w:pgSz w:w="11906" w:h="16838"/>
          <w:pgMar w:top="522" w:right="1022" w:bottom="17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1082" w:right="0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根据盾构机各部位结构尺寸计算得出相对重度刀盘</w:t>
      </w:r>
    </w:p>
    <w:p>
      <w:pPr>
        <w:autoSpaceDN w:val="0"/>
        <w:autoSpaceDE w:val="0"/>
        <w:widowControl/>
        <w:spacing w:line="226" w:lineRule="auto" w:before="44" w:after="0"/>
        <w:ind w:left="714" w:right="0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（钢质结构）为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 xml:space="preserve">77.4lN/m </w:t>
      </w:r>
      <w:r>
        <w:rPr>
          <w:w w:val="97.51999594948508"/>
          <w:rFonts w:ascii="TimesNewRomanPSMT" w:hAnsi="TimesNewRomanPSMT" w:eastAsia="TimesNewRomanPSMT"/>
          <w:b w:val="0"/>
          <w:i w:val="0"/>
          <w:color w:val="221F1F"/>
          <w:sz w:val="11"/>
        </w:rPr>
        <w:t>3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，刀盘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+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中前盾为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 xml:space="preserve">16.7kN/m </w:t>
      </w:r>
      <w:r>
        <w:rPr>
          <w:w w:val="97.51999594948508"/>
          <w:rFonts w:ascii="TimesNewRomanPSMT" w:hAnsi="TimesNewRomanPSMT" w:eastAsia="TimesNewRomanPSMT"/>
          <w:b w:val="0"/>
          <w:i w:val="0"/>
          <w:color w:val="221F1F"/>
          <w:sz w:val="11"/>
        </w:rPr>
        <w:t>3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，</w:t>
      </w:r>
    </w:p>
    <w:p>
      <w:pPr>
        <w:sectPr>
          <w:type w:val="continuous"/>
          <w:pgSz w:w="11906" w:h="16838"/>
          <w:pgMar w:top="522" w:right="1022" w:bottom="178" w:left="420" w:header="720" w:footer="720" w:gutter="0"/>
          <w:cols w:num="2" w:equalWidth="0">
            <w:col w:w="5534" w:space="0"/>
            <w:col w:w="4930" w:space="0"/>
          </w:cols>
          <w:docGrid w:linePitch="360"/>
        </w:sectPr>
      </w:pPr>
    </w:p>
    <w:p>
      <w:pPr>
        <w:autoSpaceDN w:val="0"/>
        <w:tabs>
          <w:tab w:pos="566" w:val="left"/>
        </w:tabs>
        <w:autoSpaceDE w:val="0"/>
        <w:widowControl/>
        <w:spacing w:line="245" w:lineRule="auto" w:before="0" w:after="30"/>
        <w:ind w:left="198" w:right="0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可以通过注浆控制建筑物稳定，使建筑物安全可控。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2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）可向刀盘前方土体、土仓内注入一定量的添</w:t>
      </w:r>
    </w:p>
    <w:p>
      <w:pPr>
        <w:sectPr>
          <w:type w:val="nextColumn"/>
          <w:pgSz w:w="11906" w:h="16838"/>
          <w:pgMar w:top="522" w:right="1022" w:bottom="178" w:left="420" w:header="720" w:footer="720" w:gutter="0"/>
          <w:cols w:num="2" w:equalWidth="0">
            <w:col w:w="5534" w:space="0"/>
            <w:col w:w="4930" w:space="0"/>
          </w:cols>
          <w:docGrid w:linePitch="360"/>
        </w:sectPr>
      </w:pPr>
    </w:p>
    <w:p>
      <w:pPr>
        <w:autoSpaceDN w:val="0"/>
        <w:tabs>
          <w:tab w:pos="2480" w:val="left"/>
          <w:tab w:pos="3976" w:val="left"/>
          <w:tab w:pos="5732" w:val="left"/>
        </w:tabs>
        <w:autoSpaceDE w:val="0"/>
        <w:widowControl/>
        <w:spacing w:line="226" w:lineRule="auto" w:before="0" w:after="0"/>
        <w:ind w:left="714" w:right="0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中前盾为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，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 xml:space="preserve">4.3kN/m </w:t>
      </w:r>
      <w:r>
        <w:rPr>
          <w:w w:val="97.51999594948508"/>
          <w:rFonts w:ascii="TimesNewRomanPSMT" w:hAnsi="TimesNewRomanPSMT" w:eastAsia="TimesNewRomanPSMT"/>
          <w:b w:val="0"/>
          <w:i w:val="0"/>
          <w:color w:val="221F1F"/>
          <w:sz w:val="11"/>
        </w:rPr>
        <w:t>3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，尾盾为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 xml:space="preserve">4.2lN/m </w:t>
      </w:r>
      <w:r>
        <w:rPr>
          <w:w w:val="97.51999594948508"/>
          <w:rFonts w:ascii="TimesNewRomanPSMT" w:hAnsi="TimesNewRomanPSMT" w:eastAsia="TimesNewRomanPSMT"/>
          <w:b w:val="0"/>
          <w:i w:val="0"/>
          <w:color w:val="221F1F"/>
          <w:sz w:val="11"/>
        </w:rPr>
        <w:t>3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（不含管片）、</w:t>
      </w:r>
      <w:r>
        <w:tab/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加剂，以减小其渗透系数，提高保水性，防止涌水、涌</w:t>
      </w:r>
    </w:p>
    <w:p>
      <w:pPr>
        <w:autoSpaceDN w:val="0"/>
        <w:tabs>
          <w:tab w:pos="1360" w:val="left"/>
          <w:tab w:pos="5732" w:val="left"/>
        </w:tabs>
        <w:autoSpaceDE w:val="0"/>
        <w:widowControl/>
        <w:spacing w:line="226" w:lineRule="auto" w:before="30" w:after="0"/>
        <w:ind w:left="714" w:right="0" w:firstLine="0"/>
        <w:jc w:val="left"/>
      </w:pP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 xml:space="preserve">7.2lN/m </w:t>
      </w:r>
      <w:r>
        <w:rPr>
          <w:w w:val="97.51999594948508"/>
          <w:rFonts w:ascii="TimesNewRomanPSMT" w:hAnsi="TimesNewRomanPSMT" w:eastAsia="TimesNewRomanPSMT"/>
          <w:b w:val="0"/>
          <w:i w:val="0"/>
          <w:color w:val="221F1F"/>
          <w:sz w:val="11"/>
        </w:rPr>
        <w:t>3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（含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2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环管片）。</w:t>
      </w:r>
      <w:r>
        <w:tab/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砂现象的发生。添加剂主要有膨润土、黏土、泡沫剂、</w:t>
      </w:r>
    </w:p>
    <w:p>
      <w:pPr>
        <w:autoSpaceDN w:val="0"/>
        <w:tabs>
          <w:tab w:pos="5732" w:val="left"/>
        </w:tabs>
        <w:autoSpaceDE w:val="0"/>
        <w:widowControl/>
        <w:spacing w:line="185" w:lineRule="auto" w:before="58" w:after="0"/>
        <w:ind w:left="1082" w:right="0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根据盾构机各部位密度和土体重度可知，盾构机在</w:t>
      </w:r>
      <w:r>
        <w:tab/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克泥效等。</w:t>
      </w:r>
    </w:p>
    <w:p>
      <w:pPr>
        <w:autoSpaceDN w:val="0"/>
        <w:tabs>
          <w:tab w:pos="5732" w:val="left"/>
        </w:tabs>
        <w:autoSpaceDE w:val="0"/>
        <w:widowControl/>
        <w:spacing w:line="185" w:lineRule="auto" w:before="72" w:after="66"/>
        <w:ind w:left="714" w:right="0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液化土层呈现“头重尾轻”的状态。因此，当土体出现</w:t>
      </w:r>
      <w:r>
        <w:tab/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3.2  </w:t>
      </w:r>
      <w:r>
        <w:rPr>
          <w:rFonts w:ascii="KaiTi" w:hAnsi="KaiTi" w:eastAsia="KaiTi"/>
          <w:b w:val="0"/>
          <w:i w:val="0"/>
          <w:color w:val="221F1F"/>
          <w:sz w:val="19"/>
        </w:rPr>
        <w:t>姿态控制</w:t>
      </w:r>
    </w:p>
    <w:p>
      <w:pPr>
        <w:sectPr>
          <w:type w:val="continuous"/>
          <w:pgSz w:w="11906" w:h="16838"/>
          <w:pgMar w:top="522" w:right="1022" w:bottom="17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14" w:right="198" w:firstLine="0"/>
        <w:jc w:val="both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严重液化时，盾构机前部将产生向下栽头的趋势，盾构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机中后部将产生向上翘起的趋势，盾构姿态难以控制，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如果在接收段范围仍然无法保证盾构姿态，可能影响盾</w:t>
      </w:r>
    </w:p>
    <w:p>
      <w:pPr>
        <w:sectPr>
          <w:type w:val="continuous"/>
          <w:pgSz w:w="11906" w:h="16838"/>
          <w:pgMar w:top="522" w:right="1022" w:bottom="178" w:left="420" w:header="720" w:footer="720" w:gutter="0"/>
          <w:cols w:num="2" w:equalWidth="0">
            <w:col w:w="5532" w:space="0"/>
            <w:col w:w="493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2"/>
        <w:ind w:left="200" w:right="0" w:firstLine="368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在液化地层中，由于盾构机土仓压力、刀盘扭矩等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波动较大，容易造成盾构姿态难以控制。在这种情况下，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应密切关注盾构机水平、垂直和俯仰角的变化，保持土</w:t>
      </w:r>
    </w:p>
    <w:p>
      <w:pPr>
        <w:sectPr>
          <w:type w:val="nextColumn"/>
          <w:pgSz w:w="11906" w:h="16838"/>
          <w:pgMar w:top="522" w:right="1022" w:bottom="178" w:left="420" w:header="720" w:footer="720" w:gutter="0"/>
          <w:cols w:num="2" w:equalWidth="0">
            <w:col w:w="5532" w:space="0"/>
            <w:col w:w="4932" w:space="0"/>
          </w:cols>
          <w:docGrid w:linePitch="360"/>
        </w:sectPr>
      </w:pPr>
    </w:p>
    <w:p>
      <w:pPr>
        <w:autoSpaceDN w:val="0"/>
        <w:tabs>
          <w:tab w:pos="5732" w:val="left"/>
        </w:tabs>
        <w:autoSpaceDE w:val="0"/>
        <w:widowControl/>
        <w:spacing w:line="190" w:lineRule="auto" w:before="0" w:after="72"/>
        <w:ind w:left="714" w:right="0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构接收。</w:t>
      </w:r>
      <w:r>
        <w:tab/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仓压力等于或略大于前方静止土压力和水压力之和。同</w:t>
      </w:r>
    </w:p>
    <w:p>
      <w:pPr>
        <w:sectPr>
          <w:type w:val="continuous"/>
          <w:pgSz w:w="11906" w:h="16838"/>
          <w:pgMar w:top="522" w:right="1022" w:bottom="17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14" w:right="144" w:firstLine="368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一旦盾构机在掘进过程中发生快速位移、栽头的情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况，将很难做出有效控制，仅能通过调整分区油缸推力</w:t>
      </w:r>
    </w:p>
    <w:p>
      <w:pPr>
        <w:sectPr>
          <w:type w:val="continuous"/>
          <w:pgSz w:w="11906" w:h="16838"/>
          <w:pgMar w:top="522" w:right="1022" w:bottom="178" w:left="420" w:header="720" w:footer="720" w:gutter="0"/>
          <w:cols w:num="2" w:equalWidth="0">
            <w:col w:w="5532" w:space="0"/>
            <w:col w:w="493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2"/>
        <w:ind w:left="200" w:right="0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时，在各项参数可控的条件下，适当提高掘进速度，减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少盾构对土体的扰动时间，避免停机。</w:t>
      </w:r>
    </w:p>
    <w:p>
      <w:pPr>
        <w:sectPr>
          <w:type w:val="nextColumn"/>
          <w:pgSz w:w="11906" w:h="16838"/>
          <w:pgMar w:top="522" w:right="1022" w:bottom="178" w:left="420" w:header="720" w:footer="720" w:gutter="0"/>
          <w:cols w:num="2" w:equalWidth="0">
            <w:col w:w="5532" w:space="0"/>
            <w:col w:w="4932" w:space="0"/>
          </w:cols>
          <w:docGrid w:linePitch="360"/>
        </w:sectPr>
      </w:pPr>
    </w:p>
    <w:p>
      <w:pPr>
        <w:autoSpaceDN w:val="0"/>
        <w:tabs>
          <w:tab w:pos="5732" w:val="left"/>
        </w:tabs>
        <w:autoSpaceDE w:val="0"/>
        <w:widowControl/>
        <w:spacing w:line="185" w:lineRule="auto" w:before="0" w:after="72"/>
        <w:ind w:left="714" w:right="0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进行微调。如果盾构机位移、栽头导致姿态变化过大，</w:t>
      </w:r>
      <w:r>
        <w:tab/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3.3  </w:t>
      </w:r>
      <w:r>
        <w:rPr>
          <w:rFonts w:ascii="KaiTi" w:hAnsi="KaiTi" w:eastAsia="KaiTi"/>
          <w:b w:val="0"/>
          <w:i w:val="0"/>
          <w:color w:val="221F1F"/>
          <w:sz w:val="19"/>
        </w:rPr>
        <w:t>洞内加固</w:t>
      </w:r>
    </w:p>
    <w:p>
      <w:pPr>
        <w:sectPr>
          <w:type w:val="continuous"/>
          <w:pgSz w:w="11906" w:h="16838"/>
          <w:pgMar w:top="522" w:right="1022" w:bottom="17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14" w:right="198" w:firstLine="0"/>
        <w:jc w:val="both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就会造成管片与盾构机盾尾密封间隙的变化，当间隙变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化超出盾尾刷承受范围时，外部流动性极强、含水率较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高的②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1-T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层黏质粉土夹粉质黏土将很快涌入盾尾，进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而扩散至整个成型隧道内。一旦发生盾尾泄露，盾构机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外土体形成空洞，将进一步导致盾构机姿态恶化，盾尾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间隙进一步增大，由此形成恶性循环。</w:t>
      </w:r>
    </w:p>
    <w:p>
      <w:pPr>
        <w:autoSpaceDN w:val="0"/>
        <w:tabs>
          <w:tab w:pos="1082" w:val="left"/>
        </w:tabs>
        <w:autoSpaceDE w:val="0"/>
        <w:widowControl/>
        <w:spacing w:line="245" w:lineRule="auto" w:before="72" w:after="0"/>
        <w:ind w:left="71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2.2  </w:t>
      </w:r>
      <w:r>
        <w:rPr>
          <w:rFonts w:ascii="KaiTi" w:hAnsi="KaiTi" w:eastAsia="KaiTi"/>
          <w:b w:val="0"/>
          <w:i w:val="0"/>
          <w:color w:val="221F1F"/>
          <w:sz w:val="19"/>
        </w:rPr>
        <w:t>地面建构筑物风险</w:t>
      </w:r>
      <w:r>
        <w:br/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由于液化土层分部范围较大，涉及的地面建构筑物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也较多，因此地面一旦发生大幅度的隆沉变化，受到波</w:t>
      </w:r>
    </w:p>
    <w:p>
      <w:pPr>
        <w:sectPr>
          <w:type w:val="continuous"/>
          <w:pgSz w:w="11906" w:h="16838"/>
          <w:pgMar w:top="522" w:right="1022" w:bottom="178" w:left="420" w:header="720" w:footer="720" w:gutter="0"/>
          <w:cols w:num="2" w:equalWidth="0">
            <w:col w:w="5532" w:space="0"/>
            <w:col w:w="493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00" w:right="112" w:firstLine="368"/>
        <w:jc w:val="both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洞尾间隙往往会导致土体受卸荷作用产生扰动，此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外，隧道成型后自身的浮力以及运营期间列车行驶的震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动也容易引起隧道在液化土层中的变化，采用同步注浆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和二次注浆可以减少这些因素对隧道产生的影响。</w:t>
      </w:r>
    </w:p>
    <w:p>
      <w:pPr>
        <w:autoSpaceDN w:val="0"/>
        <w:autoSpaceDE w:val="0"/>
        <w:widowControl/>
        <w:spacing w:line="245" w:lineRule="auto" w:before="72" w:after="292"/>
        <w:ind w:left="200" w:right="112" w:firstLine="368"/>
        <w:jc w:val="both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同步注浆方面，可在普通注浆材料中添加一些改性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水玻璃注浆液，加快浆液在地层中的封闭成环；二次注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浆方面，可采用插注浆管进行全周二次注浆，以加强其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整体结构，明显降低地表沉降。</w:t>
      </w:r>
    </w:p>
    <w:p>
      <w:pPr>
        <w:sectPr>
          <w:type w:val="nextColumn"/>
          <w:pgSz w:w="11906" w:h="16838"/>
          <w:pgMar w:top="522" w:right="1022" w:bottom="178" w:left="420" w:header="720" w:footer="720" w:gutter="0"/>
          <w:cols w:num="2" w:equalWidth="0">
            <w:col w:w="5532" w:space="0"/>
            <w:col w:w="4932" w:space="0"/>
          </w:cols>
          <w:docGrid w:linePitch="360"/>
        </w:sectPr>
      </w:pPr>
    </w:p>
    <w:p>
      <w:pPr>
        <w:autoSpaceDN w:val="0"/>
        <w:tabs>
          <w:tab w:pos="5732" w:val="left"/>
        </w:tabs>
        <w:autoSpaceDE w:val="0"/>
        <w:widowControl/>
        <w:spacing w:line="209" w:lineRule="auto" w:before="0" w:after="66"/>
        <w:ind w:left="714" w:right="0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及的建构筑物数量必然较多。</w:t>
      </w:r>
      <w:r>
        <w:tab/>
      </w: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 xml:space="preserve">4   </w:t>
      </w:r>
      <w:r>
        <w:rPr>
          <w:rFonts w:ascii="SimHei" w:hAnsi="SimHei" w:eastAsia="SimHei"/>
          <w:b w:val="0"/>
          <w:i w:val="0"/>
          <w:color w:val="221F1F"/>
          <w:sz w:val="20"/>
        </w:rPr>
        <w:t>结束语</w:t>
      </w:r>
    </w:p>
    <w:p>
      <w:pPr>
        <w:sectPr>
          <w:type w:val="continuous"/>
          <w:pgSz w:w="11906" w:h="16838"/>
          <w:pgMar w:top="522" w:right="1022" w:bottom="17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14" w:right="246" w:firstLine="368"/>
        <w:jc w:val="both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）地面临近建筑。广石路站南端头附近现有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3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家汽车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4S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店，均为钢结构框架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+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大面积落地玻璃幕墙，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对地表变化比较敏感。当钢结构框架变形时，玻璃幕墙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因其本身材质特性容易发生爆裂。</w:t>
      </w:r>
    </w:p>
    <w:p>
      <w:pPr>
        <w:autoSpaceDN w:val="0"/>
        <w:autoSpaceDE w:val="0"/>
        <w:widowControl/>
        <w:spacing w:line="245" w:lineRule="auto" w:before="66" w:after="0"/>
        <w:ind w:left="714" w:right="154" w:firstLine="368"/>
        <w:jc w:val="both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2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）地下管线。盾构穿越液化土层段上方存在多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条重要的自来水、雨水、燃气及电力管线，且这一部分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管线供应区域面积较大，无论哪一条管线受到影响，都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将影响附近大量居民、商铺、工厂的正常生活、生产秩序。</w:t>
      </w:r>
    </w:p>
    <w:p>
      <w:pPr>
        <w:sectPr>
          <w:type w:val="continuous"/>
          <w:pgSz w:w="11906" w:h="16838"/>
          <w:pgMar w:top="522" w:right="1022" w:bottom="178" w:left="420" w:header="720" w:footer="720" w:gutter="0"/>
          <w:cols w:num="2" w:equalWidth="0">
            <w:col w:w="5580" w:space="0"/>
            <w:col w:w="4884" w:space="0"/>
          </w:cols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72"/>
        <w:ind w:left="152" w:right="0" w:firstLine="368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土压平衡盾构在液化土层中施工存在较大的风险，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必须在考虑具体地质条件、周边环境和施工工序的条件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下进行细致的风险分析。同时，重视施工对土层造成的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多次扰动、盾构姿态控制、掘进参数监视、地表沉降控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制以及施工组织管理，采取土体改良、洞内加固等相应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措施，在施工前、施工中、施工后全过程控制施工风险。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此外，相比土压平衡盾构，泥水盾构拥有压力均匀可控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的优点，这为隧道在液化土层中施工的机械选型提供了</w:t>
      </w:r>
    </w:p>
    <w:p>
      <w:pPr>
        <w:sectPr>
          <w:type w:val="nextColumn"/>
          <w:pgSz w:w="11906" w:h="16838"/>
          <w:pgMar w:top="522" w:right="1022" w:bottom="178" w:left="420" w:header="720" w:footer="720" w:gutter="0"/>
          <w:cols w:num="2" w:equalWidth="0">
            <w:col w:w="5580" w:space="0"/>
            <w:col w:w="488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232"/>
        <w:gridCol w:w="5232"/>
      </w:tblGrid>
      <w:tr>
        <w:trPr>
          <w:trHeight w:hRule="exact" w:val="690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742" w:right="144" w:hanging="368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6"/>
              </w:rPr>
              <w:t xml:space="preserve">2.3  </w:t>
            </w:r>
            <w:r>
              <w:rPr>
                <w:rFonts w:ascii="KaiTi" w:hAnsi="KaiTi" w:eastAsia="KaiTi"/>
                <w:b w:val="0"/>
                <w:i w:val="0"/>
                <w:color w:val="221F1F"/>
                <w:sz w:val="19"/>
              </w:rPr>
              <w:t>隧道运营风险</w:t>
            </w:r>
            <w:r>
              <w:br/>
            </w:r>
            <w:r>
              <w:rPr>
                <w:w w:val="102.22222010294597"/>
                <w:rFonts w:ascii="SimSun" w:hAnsi="SimSun" w:eastAsia="SimSun"/>
                <w:b w:val="0"/>
                <w:i w:val="0"/>
                <w:color w:val="221F1F"/>
                <w:sz w:val="18"/>
              </w:rPr>
              <w:t>成型隧道的风险及后果主要来自以下两个方面：</w:t>
            </w:r>
            <w:r>
              <w:rPr>
                <w:w w:val="102.22222010294597"/>
                <w:rFonts w:ascii="SimSun" w:hAnsi="SimSun" w:eastAsia="SimSun"/>
                <w:b w:val="0"/>
                <w:i w:val="0"/>
                <w:color w:val="221F1F"/>
                <w:sz w:val="18"/>
              </w:rPr>
              <w:t>（</w:t>
            </w:r>
            <w:r>
              <w:rPr>
                <w:w w:val="102.22222010294597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1</w:t>
            </w:r>
            <w:r>
              <w:rPr>
                <w:w w:val="102.22222010294597"/>
                <w:rFonts w:ascii="SimSun" w:hAnsi="SimSun" w:eastAsia="SimSun"/>
                <w:b w:val="0"/>
                <w:i w:val="0"/>
                <w:color w:val="221F1F"/>
                <w:sz w:val="18"/>
              </w:rPr>
              <w:t>）成型隧道在液化土层中没有良好的持力层，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0" w:after="0"/>
              <w:ind w:left="212" w:right="1296" w:firstLine="0"/>
              <w:jc w:val="left"/>
            </w:pPr>
            <w:r>
              <w:rPr>
                <w:w w:val="102.22222010294597"/>
                <w:rFonts w:ascii="SimSun" w:hAnsi="SimSun" w:eastAsia="SimSun"/>
                <w:b w:val="0"/>
                <w:i w:val="0"/>
                <w:color w:val="221F1F"/>
                <w:sz w:val="18"/>
              </w:rPr>
              <w:t>一个可选研究的方向。</w:t>
            </w:r>
            <w:r>
              <w:rPr>
                <w:rFonts w:ascii="SimHei" w:hAnsi="SimHei" w:eastAsia="SimHei"/>
                <w:b w:val="0"/>
                <w:i w:val="0"/>
                <w:color w:val="221F1F"/>
                <w:sz w:val="20"/>
              </w:rPr>
              <w:t>参考文献：</w:t>
            </w:r>
          </w:p>
        </w:tc>
      </w:tr>
    </w:tbl>
    <w:p>
      <w:pPr>
        <w:autoSpaceDN w:val="0"/>
        <w:autoSpaceDE w:val="0"/>
        <w:widowControl/>
        <w:spacing w:line="14" w:lineRule="exact" w:before="0" w:after="58"/>
        <w:ind w:left="0" w:right="0"/>
      </w:pPr>
    </w:p>
    <w:p>
      <w:pPr>
        <w:sectPr>
          <w:type w:val="continuous"/>
          <w:pgSz w:w="11906" w:h="16838"/>
          <w:pgMar w:top="522" w:right="1022" w:bottom="17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14" w:right="198" w:firstLine="0"/>
        <w:jc w:val="both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自身无法稳定。由于成型隧道在土体中的天然浮力，整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体有一个向上移动的趋势。液化土层本身自稳性差、承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载力交底较低、含水量较高，因此成型隧道在液化土层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中很有可能发生较大的位移，无论是横向位移还是竖向</w:t>
      </w:r>
    </w:p>
    <w:p>
      <w:pPr>
        <w:sectPr>
          <w:type w:val="continuous"/>
          <w:pgSz w:w="11906" w:h="16838"/>
          <w:pgMar w:top="522" w:right="1022" w:bottom="178" w:left="420" w:header="720" w:footer="720" w:gutter="0"/>
          <w:cols w:num="2" w:equalWidth="0">
            <w:col w:w="5532" w:space="0"/>
            <w:col w:w="4932" w:space="0"/>
          </w:cols>
          <w:docGrid w:linePitch="360"/>
        </w:sectPr>
      </w:pPr>
    </w:p>
    <w:p>
      <w:pPr>
        <w:autoSpaceDN w:val="0"/>
        <w:tabs>
          <w:tab w:pos="482" w:val="left"/>
        </w:tabs>
        <w:autoSpaceDE w:val="0"/>
        <w:widowControl/>
        <w:spacing w:line="245" w:lineRule="auto" w:before="0" w:after="0"/>
        <w:ind w:left="200" w:right="0" w:firstLine="0"/>
        <w:jc w:val="left"/>
      </w:pPr>
      <w:r>
        <w:rPr>
          <w:rFonts w:ascii="KaiTi" w:hAnsi="KaiTi" w:eastAsia="KaiTi"/>
          <w:b w:val="0"/>
          <w:i w:val="0"/>
          <w:color w:val="221F1F"/>
          <w:sz w:val="17"/>
        </w:rPr>
        <w:t>[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1</w:t>
      </w:r>
      <w:r>
        <w:rPr>
          <w:rFonts w:ascii="KaiTi" w:hAnsi="KaiTi" w:eastAsia="KaiTi"/>
          <w:b w:val="0"/>
          <w:i w:val="0"/>
          <w:color w:val="221F1F"/>
          <w:sz w:val="17"/>
        </w:rPr>
        <w:t>] 田瑞忠. 盾构穿越粉砂、粉土液化地层施工技术[J]. 铁道</w:t>
      </w:r>
      <w:r>
        <w:rPr>
          <w:rFonts w:ascii="KaiTi" w:hAnsi="KaiTi" w:eastAsia="KaiTi"/>
          <w:b w:val="0"/>
          <w:i w:val="0"/>
          <w:color w:val="221F1F"/>
          <w:sz w:val="17"/>
        </w:rPr>
        <w:t>建筑技术,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2019</w:t>
      </w:r>
      <w:r>
        <w:rPr>
          <w:rFonts w:ascii="KaiTi" w:hAnsi="KaiTi" w:eastAsia="KaiTi"/>
          <w:b w:val="0"/>
          <w:i w:val="0"/>
          <w:color w:val="221F1F"/>
          <w:sz w:val="17"/>
        </w:rPr>
        <w:t>(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8</w:t>
      </w:r>
      <w:r>
        <w:rPr>
          <w:rFonts w:ascii="KaiTi" w:hAnsi="KaiTi" w:eastAsia="KaiTi"/>
          <w:b w:val="0"/>
          <w:i w:val="0"/>
          <w:color w:val="221F1F"/>
          <w:sz w:val="17"/>
        </w:rPr>
        <w:t>):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85</w:t>
      </w:r>
      <w:r>
        <w:rPr>
          <w:rFonts w:ascii="KaiTi" w:hAnsi="KaiTi" w:eastAsia="KaiTi"/>
          <w:b w:val="0"/>
          <w:i w:val="0"/>
          <w:color w:val="221F1F"/>
          <w:sz w:val="17"/>
        </w:rPr>
        <w:t>-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88</w:t>
      </w:r>
      <w:r>
        <w:rPr>
          <w:rFonts w:ascii="KaiTi" w:hAnsi="KaiTi" w:eastAsia="KaiTi"/>
          <w:b w:val="0"/>
          <w:i w:val="0"/>
          <w:color w:val="221F1F"/>
          <w:sz w:val="17"/>
        </w:rPr>
        <w:t>.</w:t>
      </w:r>
    </w:p>
    <w:p>
      <w:pPr>
        <w:autoSpaceDN w:val="0"/>
        <w:tabs>
          <w:tab w:pos="482" w:val="left"/>
        </w:tabs>
        <w:autoSpaceDE w:val="0"/>
        <w:widowControl/>
        <w:spacing w:line="245" w:lineRule="auto" w:before="98" w:after="42"/>
        <w:ind w:left="200" w:right="0" w:firstLine="0"/>
        <w:jc w:val="left"/>
      </w:pPr>
      <w:r>
        <w:rPr>
          <w:rFonts w:ascii="KaiTi" w:hAnsi="KaiTi" w:eastAsia="KaiTi"/>
          <w:b w:val="0"/>
          <w:i w:val="0"/>
          <w:color w:val="221F1F"/>
          <w:sz w:val="17"/>
        </w:rPr>
        <w:t>[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2</w:t>
      </w:r>
      <w:r>
        <w:rPr>
          <w:rFonts w:ascii="KaiTi" w:hAnsi="KaiTi" w:eastAsia="KaiTi"/>
          <w:b w:val="0"/>
          <w:i w:val="0"/>
          <w:color w:val="221F1F"/>
          <w:sz w:val="17"/>
        </w:rPr>
        <w:t>] 唐益群, 宋永辉, 周念清, 等. 土压平衡盾构在砂性土中施</w:t>
      </w:r>
      <w:r>
        <w:rPr>
          <w:rFonts w:ascii="KaiTi" w:hAnsi="KaiTi" w:eastAsia="KaiTi"/>
          <w:b w:val="0"/>
          <w:i w:val="0"/>
          <w:color w:val="221F1F"/>
          <w:sz w:val="17"/>
        </w:rPr>
        <w:t>工问题的试验研究[J]. 岩石力学与工程学报,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2005</w:t>
      </w:r>
      <w:r>
        <w:rPr>
          <w:rFonts w:ascii="KaiTi" w:hAnsi="KaiTi" w:eastAsia="KaiTi"/>
          <w:b w:val="0"/>
          <w:i w:val="0"/>
          <w:color w:val="221F1F"/>
          <w:sz w:val="17"/>
        </w:rPr>
        <w:t>,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24</w:t>
      </w:r>
      <w:r>
        <w:rPr>
          <w:rFonts w:ascii="KaiTi" w:hAnsi="KaiTi" w:eastAsia="KaiTi"/>
          <w:b w:val="0"/>
          <w:i w:val="0"/>
          <w:color w:val="221F1F"/>
          <w:sz w:val="17"/>
        </w:rPr>
        <w:t>(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1</w:t>
      </w:r>
      <w:r>
        <w:rPr>
          <w:rFonts w:ascii="KaiTi" w:hAnsi="KaiTi" w:eastAsia="KaiTi"/>
          <w:b w:val="0"/>
          <w:i w:val="0"/>
          <w:color w:val="221F1F"/>
          <w:sz w:val="17"/>
        </w:rPr>
        <w:t xml:space="preserve">): </w:t>
      </w:r>
    </w:p>
    <w:p>
      <w:pPr>
        <w:sectPr>
          <w:type w:val="nextColumn"/>
          <w:pgSz w:w="11906" w:h="16838"/>
          <w:pgMar w:top="522" w:right="1022" w:bottom="178" w:left="420" w:header="720" w:footer="720" w:gutter="0"/>
          <w:cols w:num="2" w:equalWidth="0">
            <w:col w:w="5532" w:space="0"/>
            <w:col w:w="4932" w:space="0"/>
          </w:cols>
          <w:docGrid w:linePitch="360"/>
        </w:sectPr>
      </w:pPr>
    </w:p>
    <w:p>
      <w:pPr>
        <w:autoSpaceDN w:val="0"/>
        <w:tabs>
          <w:tab w:pos="6014" w:val="left"/>
        </w:tabs>
        <w:autoSpaceDE w:val="0"/>
        <w:widowControl/>
        <w:spacing w:line="254" w:lineRule="auto" w:before="0" w:after="72"/>
        <w:ind w:left="714" w:right="0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位移，都会造成盾构机与管片之间的盾尾间隙变化，一</w:t>
      </w:r>
      <w:r>
        <w:tab/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52</w:t>
      </w:r>
      <w:r>
        <w:rPr>
          <w:rFonts w:ascii="KaiTi" w:hAnsi="KaiTi" w:eastAsia="KaiTi"/>
          <w:b w:val="0"/>
          <w:i w:val="0"/>
          <w:color w:val="221F1F"/>
          <w:sz w:val="17"/>
        </w:rPr>
        <w:t>-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56</w:t>
      </w:r>
      <w:r>
        <w:rPr>
          <w:rFonts w:ascii="KaiTi" w:hAnsi="KaiTi" w:eastAsia="KaiTi"/>
          <w:b w:val="0"/>
          <w:i w:val="0"/>
          <w:color w:val="221F1F"/>
          <w:sz w:val="17"/>
        </w:rPr>
        <w:t>.</w:t>
      </w:r>
    </w:p>
    <w:p>
      <w:pPr>
        <w:sectPr>
          <w:type w:val="continuous"/>
          <w:pgSz w:w="11906" w:h="16838"/>
          <w:pgMar w:top="522" w:right="1022" w:bottom="17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14" w:right="144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旦盾尾间隙变化超过一定程度，同样可能发生盾尾泄露，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后果与上面分析的盾构机姿态位移是相同的。</w:t>
      </w:r>
    </w:p>
    <w:p>
      <w:pPr>
        <w:autoSpaceDN w:val="0"/>
        <w:tabs>
          <w:tab w:pos="1300" w:val="left"/>
        </w:tabs>
        <w:autoSpaceDE w:val="0"/>
        <w:widowControl/>
        <w:spacing w:line="240" w:lineRule="auto" w:before="56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39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397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511300" cy="152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522" w:right="1022" w:bottom="178" w:left="420" w:header="720" w:footer="720" w:gutter="0"/>
          <w:cols w:num="2" w:equalWidth="0">
            <w:col w:w="5580" w:space="0"/>
            <w:col w:w="488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44" w:right="0" w:firstLine="0"/>
        <w:jc w:val="center"/>
      </w:pPr>
      <w:r>
        <w:rPr>
          <w:rFonts w:ascii="KaiTi" w:hAnsi="KaiTi" w:eastAsia="KaiTi"/>
          <w:b w:val="0"/>
          <w:i w:val="0"/>
          <w:color w:val="221F1F"/>
          <w:sz w:val="17"/>
        </w:rPr>
        <w:t>[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3</w:t>
      </w:r>
      <w:r>
        <w:rPr>
          <w:rFonts w:ascii="KaiTi" w:hAnsi="KaiTi" w:eastAsia="KaiTi"/>
          <w:b w:val="0"/>
          <w:i w:val="0"/>
          <w:color w:val="221F1F"/>
          <w:sz w:val="17"/>
        </w:rPr>
        <w:t>] 王胜平, 阎高翔. 南京地铁一号线许府巷一南京站盾构区</w:t>
      </w:r>
      <w:r>
        <w:rPr>
          <w:rFonts w:ascii="KaiTi" w:hAnsi="KaiTi" w:eastAsia="KaiTi"/>
          <w:b w:val="0"/>
          <w:i w:val="0"/>
          <w:color w:val="221F1F"/>
          <w:sz w:val="17"/>
        </w:rPr>
        <w:t>间地震液化分析[J]. 现代隧道技术,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2004</w:t>
      </w:r>
      <w:r>
        <w:rPr>
          <w:rFonts w:ascii="KaiTi" w:hAnsi="KaiTi" w:eastAsia="KaiTi"/>
          <w:b w:val="0"/>
          <w:i w:val="0"/>
          <w:color w:val="221F1F"/>
          <w:sz w:val="17"/>
        </w:rPr>
        <w:t>,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38</w:t>
      </w:r>
      <w:r>
        <w:rPr>
          <w:rFonts w:ascii="KaiTi" w:hAnsi="KaiTi" w:eastAsia="KaiTi"/>
          <w:b w:val="0"/>
          <w:i w:val="0"/>
          <w:color w:val="221F1F"/>
          <w:sz w:val="17"/>
        </w:rPr>
        <w:t>(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2</w:t>
      </w:r>
      <w:r>
        <w:rPr>
          <w:rFonts w:ascii="KaiTi" w:hAnsi="KaiTi" w:eastAsia="KaiTi"/>
          <w:b w:val="0"/>
          <w:i w:val="0"/>
          <w:color w:val="221F1F"/>
          <w:sz w:val="17"/>
        </w:rPr>
        <w:t>):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19</w:t>
      </w:r>
      <w:r>
        <w:rPr>
          <w:rFonts w:ascii="KaiTi" w:hAnsi="KaiTi" w:eastAsia="KaiTi"/>
          <w:b w:val="0"/>
          <w:i w:val="0"/>
          <w:color w:val="221F1F"/>
          <w:sz w:val="17"/>
        </w:rPr>
        <w:t>-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23</w:t>
      </w:r>
      <w:r>
        <w:rPr>
          <w:rFonts w:ascii="KaiTi" w:hAnsi="KaiTi" w:eastAsia="KaiTi"/>
          <w:b w:val="0"/>
          <w:i w:val="0"/>
          <w:color w:val="221F1F"/>
          <w:sz w:val="17"/>
        </w:rPr>
        <w:t>.</w:t>
      </w:r>
    </w:p>
    <w:sectPr w:rsidR="00FC693F" w:rsidRPr="0006063C" w:rsidSect="00034616">
      <w:type w:val="nextColumn"/>
      <w:pgSz w:w="11906" w:h="16838"/>
      <w:pgMar w:top="522" w:right="1022" w:bottom="178" w:left="420" w:header="720" w:footer="720" w:gutter="0"/>
      <w:cols w:num="2" w:equalWidth="0">
        <w:col w:w="5580" w:space="0"/>
        <w:col w:w="4884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