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4037329</wp:posOffset>
            </wp:positionH>
            <wp:positionV relativeFrom="page">
              <wp:posOffset>5728970</wp:posOffset>
            </wp:positionV>
            <wp:extent cx="2821940" cy="168326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6832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7048500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7048500</wp:posOffset>
            </wp:positionV>
            <wp:extent cx="508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7035800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7035800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7023100</wp:posOffset>
            </wp:positionV>
            <wp:extent cx="1397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7023100</wp:posOffset>
            </wp:positionV>
            <wp:extent cx="635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6985000</wp:posOffset>
            </wp:positionV>
            <wp:extent cx="127000" cy="88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6985000</wp:posOffset>
            </wp:positionV>
            <wp:extent cx="381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6985000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6883400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6883400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6870700</wp:posOffset>
            </wp:positionV>
            <wp:extent cx="88900" cy="63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6845300</wp:posOffset>
            </wp:positionV>
            <wp:extent cx="190500" cy="114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6845300</wp:posOffset>
            </wp:positionV>
            <wp:extent cx="50800" cy="76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6807200</wp:posOffset>
            </wp:positionV>
            <wp:extent cx="38100" cy="6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6769100</wp:posOffset>
            </wp:positionV>
            <wp:extent cx="381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6756400</wp:posOffset>
            </wp:positionV>
            <wp:extent cx="76200" cy="215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6743700</wp:posOffset>
            </wp:positionV>
            <wp:extent cx="203200" cy="190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6731000</wp:posOffset>
            </wp:positionV>
            <wp:extent cx="762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6731000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6718300</wp:posOffset>
            </wp:positionV>
            <wp:extent cx="508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6680200</wp:posOffset>
            </wp:positionV>
            <wp:extent cx="190500" cy="1016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6667500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6654800</wp:posOffset>
            </wp:positionV>
            <wp:extent cx="2667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6642100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6629400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6629400</wp:posOffset>
            </wp:positionV>
            <wp:extent cx="889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6629400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6604000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6426200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6413500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6311900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6235700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6057900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6807200</wp:posOffset>
            </wp:positionV>
            <wp:extent cx="25400" cy="25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6718300</wp:posOffset>
            </wp:positionV>
            <wp:extent cx="38100" cy="254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5943600</wp:posOffset>
            </wp:positionV>
            <wp:extent cx="152400" cy="3937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5867400</wp:posOffset>
            </wp:positionV>
            <wp:extent cx="406400" cy="4064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5803900</wp:posOffset>
            </wp:positionV>
            <wp:extent cx="177800" cy="533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3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5803900</wp:posOffset>
            </wp:positionV>
            <wp:extent cx="660400" cy="7620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507"/>
        <w:gridCol w:w="3507"/>
        <w:gridCol w:w="3507"/>
      </w:tblGrid>
      <w:tr>
        <w:trPr>
          <w:trHeight w:hRule="exact" w:val="614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5.99999999999994" w:type="dxa"/>
            </w:tblPr>
            <w:tblGrid>
              <w:gridCol w:w="4980"/>
            </w:tblGrid>
            <w:tr>
              <w:trPr>
                <w:trHeight w:hRule="exact" w:val="208"/>
              </w:trPr>
              <w:tc>
                <w:tcPr>
                  <w:tcW w:type="dxa" w:w="1300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8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SimSun" w:hAnsi="SimSun" w:eastAsia="SimSun"/>
                      <w:b w:val="0"/>
                      <w:i w:val="0"/>
                      <w:color w:val="FFFFFF"/>
                      <w:sz w:val="17"/>
                    </w:rPr>
                    <w:t>隧道与桥梁工程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0" w:right="22" w:firstLine="0"/>
              <w:jc w:val="right"/>
            </w:pPr>
            <w:r>
              <w:rPr>
                <w:w w:val="97.99841774834526"/>
                <w:rFonts w:ascii="FZCSJW--GB1-0" w:hAnsi="FZCSJW--GB1-0" w:eastAsia="FZCSJW--GB1-0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4329" cy="3517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29" cy="35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92" w:lineRule="exact" w:before="328" w:after="0"/>
        <w:ind w:left="2348" w:right="0" w:firstLine="0"/>
        <w:jc w:val="left"/>
      </w:pPr>
      <w:r>
        <w:rPr>
          <w:rFonts w:ascii="FZCSJW--GB1-0" w:hAnsi="FZCSJW--GB1-0" w:eastAsia="FZCSJW--GB1-0"/>
          <w:b w:val="0"/>
          <w:i w:val="0"/>
          <w:color w:val="221F1F"/>
          <w:sz w:val="41"/>
        </w:rPr>
        <w:t>盾构下穿埋深较大的管线监测与分析</w:t>
      </w:r>
    </w:p>
    <w:p>
      <w:pPr>
        <w:autoSpaceDN w:val="0"/>
        <w:autoSpaceDE w:val="0"/>
        <w:widowControl/>
        <w:spacing w:line="488" w:lineRule="exact" w:before="548" w:after="0"/>
        <w:ind w:left="0" w:right="4372" w:firstLine="0"/>
        <w:jc w:val="righ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文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/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徐亚军</w:t>
      </w:r>
    </w:p>
    <w:p>
      <w:pPr>
        <w:autoSpaceDN w:val="0"/>
        <w:tabs>
          <w:tab w:pos="1360" w:val="left"/>
          <w:tab w:pos="1692" w:val="left"/>
        </w:tabs>
        <w:autoSpaceDE w:val="0"/>
        <w:widowControl/>
        <w:spacing w:line="286" w:lineRule="exact" w:before="274" w:after="0"/>
        <w:ind w:left="1000" w:right="0" w:firstLine="0"/>
        <w:jc w:val="left"/>
      </w:pP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摘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要：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城市地铁盾构隧道施工常需从既有管线等建筑物下穿越，如地下电缆、污水管道、燃气管道等，尤其是高压燃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气管对隧道施工中的地层沉降控制要求高，若沉降过大，可能造成管道破裂、燃气泄漏，对周边环境、安全造成严重影响。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如何确保上部管线与隧道结构安全是施工中的难题，本文以常州地铁盾构下穿埋深较大燃气管线施工为例，通过监测数据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分析指导盾构施工，对后续施工及类似工程有一定指导作用。</w:t>
      </w:r>
    </w:p>
    <w:p>
      <w:pPr>
        <w:autoSpaceDN w:val="0"/>
        <w:autoSpaceDE w:val="0"/>
        <w:widowControl/>
        <w:spacing w:line="200" w:lineRule="exact" w:before="84" w:after="40"/>
        <w:ind w:left="1360" w:right="0" w:firstLine="0"/>
        <w:jc w:val="left"/>
      </w:pP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关键词：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土压平衡盾构；下穿管线；监测；沉降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630"/>
        <w:gridCol w:w="2630"/>
        <w:gridCol w:w="2630"/>
        <w:gridCol w:w="2630"/>
      </w:tblGrid>
      <w:tr>
        <w:trPr>
          <w:trHeight w:hRule="exact" w:val="708"/>
        </w:trPr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0" w:after="0"/>
              <w:ind w:left="0" w:right="198" w:firstLine="0"/>
              <w:jc w:val="righ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中图分类号：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U455.43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0" w:after="0"/>
              <w:ind w:left="236" w:right="0" w:firstLine="0"/>
              <w:jc w:val="lef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文献标识码：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86" w:after="0"/>
              <w:ind w:left="65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阀门，以降低施工风险</w:t>
            </w:r>
            <w:r>
              <w:rPr>
                <w:w w:val="97.45922088623047"/>
                <w:rFonts w:ascii="HYa6gj" w:hAnsi="HYa6gj" w:eastAsia="HYa6gj"/>
                <w:b w:val="0"/>
                <w:i w:val="0"/>
                <w:color w:val="221F1F"/>
                <w:sz w:val="10"/>
              </w:rPr>
              <w:t>[2]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72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58" w:after="0"/>
              <w:ind w:left="0" w:right="116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2" w:after="0"/>
              <w:ind w:left="118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工程概况</w:t>
            </w:r>
          </w:p>
        </w:tc>
        <w:tc>
          <w:tcPr>
            <w:tcW w:type="dxa" w:w="2630"/>
            <w:vMerge/>
            <w:tcBorders/>
          </w:tcPr>
          <w:p/>
        </w:tc>
        <w:tc>
          <w:tcPr>
            <w:tcW w:type="dxa" w:w="2630"/>
            <w:vMerge/>
            <w:tcBorders/>
          </w:tcPr>
          <w:p/>
        </w:tc>
      </w:tr>
    </w:tbl>
    <w:p>
      <w:pPr>
        <w:autoSpaceDN w:val="0"/>
        <w:tabs>
          <w:tab w:pos="1360" w:val="left"/>
          <w:tab w:pos="6282" w:val="left"/>
          <w:tab w:pos="6634" w:val="left"/>
        </w:tabs>
        <w:autoSpaceDE w:val="0"/>
        <w:widowControl/>
        <w:spacing w:line="242" w:lineRule="exact" w:before="0" w:after="2"/>
        <w:ind w:left="1000" w:right="2880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盾构下穿埋深较大的燃气管线位于常州地铁1 号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 xml:space="preserve">线一期工程延政大道站至长虹路站区间（SK12 + </w:t>
      </w: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3</w:t>
      </w:r>
      <w:r>
        <w:tab/>
      </w:r>
      <w:r>
        <w:rPr>
          <w:w w:val="97.99887339274088"/>
          <w:rFonts w:ascii="FZCSJW--GB1-0" w:hAnsi="FZCSJW--GB1-0" w:eastAsia="FZCSJW--GB1-0"/>
          <w:b w:val="0"/>
          <w:i w:val="0"/>
          <w:color w:val="221F1F"/>
          <w:sz w:val="21"/>
        </w:rPr>
        <w:t>监测分析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686.432 至SK13+322.829，上行线贯通里程）范围内，</w:t>
      </w: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3.1 监测布设</w:t>
      </w:r>
    </w:p>
    <w:p>
      <w:pPr>
        <w:sectPr>
          <w:pgSz w:w="12246" w:h="15931"/>
          <w:pgMar w:top="350" w:right="1304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100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区间盾构埋深范围为9.5～13.3m，线路中线间距约为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14～17.6m。隧道施工采用小松土压平衡盾构机，盾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体外直径为φ6.34m，主机长8.68m，整机长度为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58.24m，最大推力3773T。衬砌管片采用内径为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5.5m，厚度0.35m，宽度1.2m。盾构区间地层为：①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填土、②3 淤泥质粉质粘土、②41 粉质粘土、③1 粘土、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③2 粘土、④1 粉质粘土夹粘质粉土、⑤1 砂质粉土、⑤2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砂质粉土、⑥1 粉质粘土、⑥2 粉质粘土、⑥3 粘土、⑥4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粉质粘土；区间的地下水有浅部土层中的潜水、承压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水，承压水分第一层承压水和第二层承压水。盾构施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工由长虹路站始发，延政大道接收，下行线先行施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[1]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100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区间隧道上、下行线平行下穿燃气管线，盾构下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 xml:space="preserve">穿里程：下行线为XK13+296.92m，上行线为XK13+ 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296.68m，属于正交下穿，线路下穿段落为直线。下穿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管线为：牵引管法施工，燃气Φ160mmPE 材质管线，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与盾构区间隧道交汇处最大深埋深约8.5m，相应盾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构隧道（顶部）埋深为9.5m，管线处于④1 黏质粉土夹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粉质黏土中，相应位置盾构机处于④1 黏质粉土夹粉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质黏土、⑤1 砂质粉土、⑥2 粉质粘土，隧道位于第一层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承压含水层中，对工程影响很大。</w:t>
      </w:r>
    </w:p>
    <w:p>
      <w:pPr>
        <w:sectPr>
          <w:type w:val="continuous"/>
          <w:pgSz w:w="12246" w:h="15931"/>
          <w:pgMar w:top="350" w:right="1304" w:bottom="176" w:left="420" w:header="720" w:footer="720" w:gutter="0"/>
          <w:cols w:num="2" w:equalWidth="0">
            <w:col w:w="5750" w:space="0"/>
            <w:col w:w="477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64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由于燃气管线位于花园街正下方，管线埋深较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大，且管线为PE 管材质，无法对管线直接进行沉降监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测，因此在盾构施工时，主要通过管线上方间接监测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点及地表监测点的监测数据，分析管线的沉降变形。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主要影响区监测点位：燃气管线监测点为MC20、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MC21、MC22、MC23，其他监测点为盾构施工21 环监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测断面地表监测点，管线与隧道位置及主要监测点如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图1 所示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[3]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822" w:val="left"/>
        </w:tabs>
        <w:autoSpaceDE w:val="0"/>
        <w:widowControl/>
        <w:spacing w:line="282" w:lineRule="exact" w:before="2670" w:after="24"/>
        <w:ind w:left="532" w:right="720" w:firstLine="0"/>
        <w:jc w:val="left"/>
      </w:pPr>
      <w:r>
        <w:tab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图1 管线与隧道位置及主要监测点图</w:t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3.2 监测分析</w:t>
      </w:r>
    </w:p>
    <w:p>
      <w:pPr>
        <w:sectPr>
          <w:type w:val="nextColumn"/>
          <w:pgSz w:w="12246" w:h="15931"/>
          <w:pgMar w:top="350" w:right="1304" w:bottom="176" w:left="420" w:header="720" w:footer="720" w:gutter="0"/>
          <w:cols w:num="2" w:equalWidth="0">
            <w:col w:w="5750" w:space="0"/>
            <w:col w:w="47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630"/>
        <w:gridCol w:w="2630"/>
        <w:gridCol w:w="2630"/>
        <w:gridCol w:w="2630"/>
      </w:tblGrid>
      <w:tr>
        <w:trPr>
          <w:trHeight w:hRule="exact" w:val="23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0" w:right="116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18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主要风险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3.2.1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线路于2016 年5 月17 日掘进面靠近管线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6" w:h="15931"/>
          <w:pgMar w:top="350" w:right="1304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000" w:right="2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盾构区间下穿燃气管线涉及地层有④1 粉质粘土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夹粘质粉土、⑤1 砂质粉土、⑥2 粉质粘土，该层土在动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水压力条件下极易发生流砂或管涌现象。在该类土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层中进行盾构掘进时若掘进面失稳，将会引起突发性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涌水和流砂，对工程建设本身及周边环境造成重大事</w:t>
      </w:r>
    </w:p>
    <w:p>
      <w:pPr>
        <w:sectPr>
          <w:type w:val="continuous"/>
          <w:pgSz w:w="12246" w:h="15931"/>
          <w:pgMar w:top="350" w:right="1304" w:bottom="176" w:left="420" w:header="720" w:footer="720" w:gutter="0"/>
          <w:cols w:num="2" w:equalWidth="0">
            <w:col w:w="5702" w:space="0"/>
            <w:col w:w="482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62"/>
        <w:ind w:left="212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时，首先进入的是XD21 隧道所在的监测断面，且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XD21 监测点距离MC21 监测点距离为1.8m，监测数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据反映XD21、XD21-4、XD21-6 及MC21 监测点出现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变化速率及累计变化量超过设计控制值，沉降明显；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监测断面地表监测点变化量最大的点为XD21，累计</w:t>
      </w:r>
    </w:p>
    <w:p>
      <w:pPr>
        <w:sectPr>
          <w:type w:val="nextColumn"/>
          <w:pgSz w:w="12246" w:h="15931"/>
          <w:pgMar w:top="350" w:right="1304" w:bottom="176" w:left="420" w:header="720" w:footer="720" w:gutter="0"/>
          <w:cols w:num="2" w:equalWidth="0">
            <w:col w:w="5702" w:space="0"/>
            <w:col w:w="4820" w:space="0"/>
          </w:cols>
          <w:docGrid w:linePitch="360"/>
        </w:sectPr>
      </w:pPr>
    </w:p>
    <w:p>
      <w:pPr>
        <w:autoSpaceDN w:val="0"/>
        <w:tabs>
          <w:tab w:pos="5914" w:val="left"/>
        </w:tabs>
        <w:autoSpaceDE w:val="0"/>
        <w:widowControl/>
        <w:spacing w:line="176" w:lineRule="exact" w:before="0" w:after="58"/>
        <w:ind w:left="100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故。</w:t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沉降量为-55.45mm，变化量为-51.55mm；管线监测</w:t>
      </w:r>
    </w:p>
    <w:p>
      <w:pPr>
        <w:sectPr>
          <w:type w:val="continuous"/>
          <w:pgSz w:w="12246" w:h="15931"/>
          <w:pgMar w:top="350" w:right="1304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100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盾构下穿燃气管线主要风险：管线开裂、破损、泄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露等，此燃气管线距离盾构隧道顶部最小净距1m，施</w:t>
      </w:r>
    </w:p>
    <w:p>
      <w:pPr>
        <w:sectPr>
          <w:type w:val="continuous"/>
          <w:pgSz w:w="12246" w:h="15931"/>
          <w:pgMar w:top="350" w:right="1304" w:bottom="176" w:left="420" w:header="720" w:footer="720" w:gutter="0"/>
          <w:cols w:num="2" w:equalWidth="0">
            <w:col w:w="5702" w:space="0"/>
            <w:col w:w="4820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64"/>
        <w:ind w:left="212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点MC21，累计沉降量为- 32.15mm，变化量为-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29.85mm；其余主要监测点数据稳定可控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[4]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2246" w:h="15931"/>
          <w:pgMar w:top="350" w:right="1304" w:bottom="176" w:left="420" w:header="720" w:footer="720" w:gutter="0"/>
          <w:cols w:num="2" w:equalWidth="0">
            <w:col w:w="5702" w:space="0"/>
            <w:col w:w="48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507"/>
        <w:gridCol w:w="3507"/>
        <w:gridCol w:w="3507"/>
      </w:tblGrid>
      <w:tr>
        <w:trPr>
          <w:trHeight w:hRule="exact" w:val="236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50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工风险较大，盾构下穿此段落施工阶段关闭管线两端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98" w:firstLine="0"/>
              <w:jc w:val="righ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3.2.2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盾构在19 环至23 环平均土仓压力及注浆</w:t>
            </w:r>
          </w:p>
        </w:tc>
      </w:tr>
    </w:tbl>
    <w:p>
      <w:pPr>
        <w:autoSpaceDN w:val="0"/>
        <w:autoSpaceDE w:val="0"/>
        <w:widowControl/>
        <w:spacing w:line="358" w:lineRule="auto" w:before="110" w:after="0"/>
        <w:ind w:left="0" w:right="136" w:firstLine="0"/>
        <w:jc w:val="righ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45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5931"/>
          <w:pgMar w:top="350" w:right="1304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7486650</wp:posOffset>
            </wp:positionV>
            <wp:extent cx="2780029" cy="178059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80029" cy="17805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8902700</wp:posOffset>
            </wp:positionV>
            <wp:extent cx="533400" cy="889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8902700</wp:posOffset>
            </wp:positionV>
            <wp:extent cx="546100" cy="889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8902700</wp:posOffset>
            </wp:positionV>
            <wp:extent cx="431800" cy="889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8902700</wp:posOffset>
            </wp:positionV>
            <wp:extent cx="482600" cy="889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8775700</wp:posOffset>
            </wp:positionV>
            <wp:extent cx="23114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8737600</wp:posOffset>
            </wp:positionV>
            <wp:extent cx="279400" cy="889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8572500</wp:posOffset>
            </wp:positionV>
            <wp:extent cx="279400" cy="889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8407400</wp:posOffset>
            </wp:positionV>
            <wp:extent cx="279400" cy="889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8242300</wp:posOffset>
            </wp:positionV>
            <wp:extent cx="254000" cy="1143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7899400</wp:posOffset>
            </wp:positionV>
            <wp:extent cx="25400" cy="254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7772400</wp:posOffset>
            </wp:positionV>
            <wp:extent cx="2628900" cy="10033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7772400</wp:posOffset>
            </wp:positionV>
            <wp:extent cx="228600" cy="889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7607300</wp:posOffset>
            </wp:positionV>
            <wp:extent cx="889000" cy="1270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506"/>
        <w:gridCol w:w="3506"/>
        <w:gridCol w:w="3506"/>
      </w:tblGrid>
      <w:tr>
        <w:trPr>
          <w:trHeight w:hRule="exact" w:val="53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51790" cy="35179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" cy="351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78" w:after="0"/>
              <w:ind w:left="38" w:right="0" w:firstLine="0"/>
              <w:jc w:val="left"/>
            </w:pPr>
            <w:r>
              <w:rPr>
                <w:w w:val="97.99841774834526"/>
                <w:rFonts w:ascii="FZCSJW--GB1-0" w:hAnsi="FZCSJW--GB1-0" w:eastAsia="FZCSJW--GB1-0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12.0000000000005" w:type="dxa"/>
            </w:tblPr>
            <w:tblGrid>
              <w:gridCol w:w="4540"/>
            </w:tblGrid>
            <w:tr>
              <w:trPr>
                <w:trHeight w:hRule="exact" w:val="208"/>
              </w:trPr>
              <w:tc>
                <w:tcPr>
                  <w:tcW w:type="dxa" w:w="1302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auto" w:before="28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SimSun" w:hAnsi="SimSun" w:eastAsia="SimSun"/>
                      <w:b w:val="0"/>
                      <w:i w:val="0"/>
                      <w:color w:val="FFFFFF"/>
                      <w:sz w:val="17"/>
                    </w:rPr>
                    <w:t>隧道与桥梁工程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2246" w:h="15931"/>
          <w:pgMar w:top="350" w:right="1308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100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量如表1 所示。</w:t>
      </w:r>
    </w:p>
    <w:p>
      <w:pPr>
        <w:autoSpaceDN w:val="0"/>
        <w:autoSpaceDE w:val="0"/>
        <w:widowControl/>
        <w:spacing w:line="192" w:lineRule="exact" w:before="46" w:after="28"/>
        <w:ind w:left="0" w:right="1170" w:firstLine="0"/>
        <w:jc w:val="right"/>
      </w:pP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表1 土仓压力及注浆量统计表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1.9999999999999" w:type="dxa"/>
      </w:tblPr>
      <w:tblGrid>
        <w:gridCol w:w="1503"/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06"/>
        </w:trPr>
        <w:tc>
          <w:tcPr>
            <w:tcW w:type="dxa" w:w="768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70" w:firstLine="0"/>
              <w:jc w:val="right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项</w:t>
            </w:r>
          </w:p>
        </w:tc>
        <w:tc>
          <w:tcPr>
            <w:tcW w:type="dxa" w:w="780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94" w:right="0" w:firstLine="0"/>
              <w:jc w:val="left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目</w:t>
            </w:r>
          </w:p>
        </w:tc>
        <w:tc>
          <w:tcPr>
            <w:tcW w:type="dxa" w:w="580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19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</w:t>
            </w:r>
          </w:p>
        </w:tc>
        <w:tc>
          <w:tcPr>
            <w:tcW w:type="dxa" w:w="580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20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</w:t>
            </w:r>
          </w:p>
        </w:tc>
        <w:tc>
          <w:tcPr>
            <w:tcW w:type="dxa" w:w="600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21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</w:t>
            </w:r>
          </w:p>
        </w:tc>
        <w:tc>
          <w:tcPr>
            <w:tcW w:type="dxa" w:w="580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22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</w:t>
            </w:r>
          </w:p>
        </w:tc>
        <w:tc>
          <w:tcPr>
            <w:tcW w:type="dxa" w:w="618"/>
            <w:tcBorders>
              <w:top w:sz="11.338399887084961" w:val="single" w:color="#221F1F"/>
              <w:bottom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8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23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</w:t>
            </w:r>
          </w:p>
        </w:tc>
      </w:tr>
      <w:tr>
        <w:trPr>
          <w:trHeight w:hRule="exact" w:val="438"/>
        </w:trPr>
        <w:tc>
          <w:tcPr>
            <w:tcW w:type="dxa" w:w="1548"/>
            <w:gridSpan w:val="2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46" w:after="0"/>
              <w:ind w:left="0" w:right="0" w:firstLine="0"/>
              <w:jc w:val="center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平均土仓压力（</w:t>
            </w: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bar</w:t>
            </w: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）</w:t>
            </w:r>
          </w:p>
        </w:tc>
        <w:tc>
          <w:tcPr>
            <w:tcW w:type="dxa" w:w="580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0.4426</w:t>
            </w:r>
          </w:p>
        </w:tc>
        <w:tc>
          <w:tcPr>
            <w:tcW w:type="dxa" w:w="580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0.6522</w:t>
            </w:r>
          </w:p>
        </w:tc>
        <w:tc>
          <w:tcPr>
            <w:tcW w:type="dxa" w:w="600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0.7506</w:t>
            </w:r>
          </w:p>
        </w:tc>
        <w:tc>
          <w:tcPr>
            <w:tcW w:type="dxa" w:w="580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0.4954</w:t>
            </w:r>
          </w:p>
        </w:tc>
        <w:tc>
          <w:tcPr>
            <w:tcW w:type="dxa" w:w="618"/>
            <w:tcBorders>
              <w:top w:sz="2.94799995422363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1.1305</w:t>
            </w:r>
          </w:p>
        </w:tc>
      </w:tr>
      <w:tr>
        <w:trPr>
          <w:trHeight w:hRule="exact" w:val="376"/>
        </w:trPr>
        <w:tc>
          <w:tcPr>
            <w:tcW w:type="dxa" w:w="1548"/>
            <w:gridSpan w:val="2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0" w:firstLine="0"/>
              <w:jc w:val="center"/>
            </w:pPr>
            <w:r>
              <w:rPr>
                <w:w w:val="97.99920916557312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注浆量（方）</w:t>
            </w:r>
          </w:p>
        </w:tc>
        <w:tc>
          <w:tcPr>
            <w:tcW w:type="dxa" w:w="580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2.46</w:t>
            </w:r>
          </w:p>
        </w:tc>
        <w:tc>
          <w:tcPr>
            <w:tcW w:type="dxa" w:w="580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2.65</w:t>
            </w:r>
          </w:p>
        </w:tc>
        <w:tc>
          <w:tcPr>
            <w:tcW w:type="dxa" w:w="600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2.48</w:t>
            </w:r>
          </w:p>
        </w:tc>
        <w:tc>
          <w:tcPr>
            <w:tcW w:type="dxa" w:w="580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6.46</w:t>
            </w:r>
          </w:p>
        </w:tc>
        <w:tc>
          <w:tcPr>
            <w:tcW w:type="dxa" w:w="618"/>
            <w:tcBorders>
              <w:bottom w:sz="11.3383998870849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0" w:after="0"/>
              <w:ind w:left="0" w:right="0" w:firstLine="0"/>
              <w:jc w:val="center"/>
            </w:pPr>
            <w:r>
              <w:rPr>
                <w:w w:val="97.99920916557312"/>
                <w:rFonts w:ascii="NEU" w:hAnsi="NEU" w:eastAsia="NEU"/>
                <w:b w:val="0"/>
                <w:i w:val="0"/>
                <w:color w:val="221F1F"/>
                <w:sz w:val="16"/>
              </w:rPr>
              <w:t>4.12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1000" w:right="216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根据监测数据进行原因分析，盾构自长虹路站始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发，刚出加固区进入区间施工，累计推进22 环（其中加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固区长度10m），处于盾构参数调整试验阶段。由于加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固区和非加固区地层结构不同，在加固区推进过程中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土仓压力较大，出加固区后进行掘进参数调整，在掘进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19 环时土仓压力凸显偏低，盾构掘进土仓压力与掘进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面前方土体土压力不匹配，进而导致开挖面失衡，出土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量过大，且地层损失过大；另外，在下穿管线段落时降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低了土仓压力，导致沉降监测点下沉值较大。</w:t>
      </w:r>
    </w:p>
    <w:p>
      <w:pPr>
        <w:autoSpaceDN w:val="0"/>
        <w:autoSpaceDE w:val="0"/>
        <w:widowControl/>
        <w:spacing w:line="234" w:lineRule="exact" w:before="0" w:after="0"/>
        <w:ind w:left="864" w:right="216" w:firstLine="0"/>
        <w:jc w:val="righ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盾构法施工中地层损失、盾构施工区域土体受扰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动或重塑土再固结是引起地面沉降的主要因素。盾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构注浆是在管片拼装完成后，随着盾构的推进，管片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与洞体之间出现空隙，如不及时充填，地层应力会得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以释放而产生变形，其结果发生地面沉降，邻近建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（构）筑物沉降、变形或破坏等。注浆的主要作用就是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抑制隧道周边地层松弛，防止地层变形，及早使管片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环安定，千斤顶推力平滑地向地层传递，作用于管片</w:t>
      </w:r>
    </w:p>
    <w:p>
      <w:pPr>
        <w:sectPr>
          <w:type w:val="continuous"/>
          <w:pgSz w:w="12246" w:h="15931"/>
          <w:pgMar w:top="350" w:right="1308" w:bottom="176" w:left="420" w:header="720" w:footer="720" w:gutter="0"/>
          <w:cols w:num="2" w:equalWidth="0">
            <w:col w:w="5706" w:space="0"/>
            <w:col w:w="4811" w:space="0"/>
          </w:cols>
          <w:docGrid w:linePitch="360"/>
        </w:sectPr>
      </w:pPr>
    </w:p>
    <w:p>
      <w:pPr>
        <w:autoSpaceDN w:val="0"/>
        <w:tabs>
          <w:tab w:pos="568" w:val="left"/>
          <w:tab w:pos="576" w:val="left"/>
          <w:tab w:pos="928" w:val="left"/>
        </w:tabs>
        <w:autoSpaceDE w:val="0"/>
        <w:widowControl/>
        <w:spacing w:line="236" w:lineRule="exact" w:before="2" w:after="0"/>
        <w:ind w:left="208" w:right="0" w:firstLine="0"/>
        <w:jc w:val="left"/>
      </w:pPr>
      <w:r>
        <w:tab/>
      </w:r>
      <w:r>
        <w:tab/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5</w:t>
      </w:r>
      <w:r>
        <w:tab/>
      </w:r>
      <w:r>
        <w:rPr>
          <w:w w:val="97.99887339274088"/>
          <w:rFonts w:ascii="FZCSJW--GB1-0" w:hAnsi="FZCSJW--GB1-0" w:eastAsia="FZCSJW--GB1-0"/>
          <w:b w:val="0"/>
          <w:i w:val="0"/>
          <w:color w:val="221F1F"/>
          <w:sz w:val="21"/>
        </w:rPr>
        <w:t>结语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本文就盾构下穿埋深较大的管线在监测、盾构施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工等方面进行阐述，结合施工过程中的监测数据对盾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构施工进行指导，总结如下：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对于重大风险源，需对其制定专项施工方案、监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测方案，必要时应对其进行专项设计。本次盾构下穿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Φ160mm 燃气管线，管线埋深约8.5m，相应盾构隧道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埋深为9.5m，制定专项监测方案，并且在盾构下穿管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线施工阶段，关闭两端阀门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[6]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208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盾构施工造成地表土层的隆沉主要源于土层损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失和土体扰动，在下穿施工前应进一步核实风险源与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隧道的相互关系；下穿管线时，尤其埋深较大的管线，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应及时调整土仓压力，减少管线隆沉，防止管线开裂。</w:t>
      </w:r>
    </w:p>
    <w:p>
      <w:pPr>
        <w:autoSpaceDN w:val="0"/>
        <w:autoSpaceDE w:val="0"/>
        <w:widowControl/>
        <w:spacing w:line="236" w:lineRule="exact" w:before="0" w:after="560"/>
        <w:ind w:left="208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在下穿管线施工中建议：在下穿管线施工前，通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过监测数据修正掘进参数，保持土压平衡；在下穿通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过时，应至少保持前环正常掘进的土仓压力，也可以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根据管线材质，适当增加土仓压力。由于管线是允许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微小变形的（具体根据管线材质及管线性质确定），在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施工中稍有隆起，注浆后，由于土体效应，之后回落；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在下穿管线施工时，若减小土仓压力等，致使管线下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沉，虽然通过二次注浆，即使增大了注浆压力，也同样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很难恢复到正常位置。</w:t>
      </w:r>
    </w:p>
    <w:p>
      <w:pPr>
        <w:sectPr>
          <w:type w:val="nextColumn"/>
          <w:pgSz w:w="12246" w:h="15931"/>
          <w:pgMar w:top="350" w:right="1308" w:bottom="176" w:left="420" w:header="720" w:footer="720" w:gutter="0"/>
          <w:cols w:num="2" w:equalWidth="0">
            <w:col w:w="5706" w:space="0"/>
            <w:col w:w="481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00" w:right="4896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的土压力平衡，减小作用于管片的应力和管片变形，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盾构的方向控制，形成有效的防水层等作用。结合监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测数据，并通过注浆量统计表分析，下穿管线段落存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在注浆量不足的问题，造成了监测点沉降量较大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[5]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4" w:lineRule="exact" w:before="0" w:after="204"/>
        <w:ind w:left="1000" w:right="5028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通过监测数据及盾构掘进参数综合分析，造成沉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降的原因为盾构施工土仓压力、注浆量不足。燃气管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线位于21 环、22 环上方，MC21 监测点沉降量较大，且</w:t>
      </w:r>
      <w:r>
        <w:br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XD21、XD21-4、XD21-6 沉降量较大。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506"/>
        <w:gridCol w:w="3506"/>
        <w:gridCol w:w="3506"/>
      </w:tblGrid>
      <w:tr>
        <w:trPr>
          <w:trHeight w:hRule="exact" w:val="32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60" w:after="0"/>
              <w:ind w:left="0" w:right="116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4" w:after="0"/>
              <w:ind w:left="118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采取措施及效果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6" w:after="0"/>
              <w:ind w:left="402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参考文献：</w:t>
            </w:r>
          </w:p>
        </w:tc>
      </w:tr>
      <w:tr>
        <w:trPr>
          <w:trHeight w:hRule="exact" w:val="188"/>
        </w:trPr>
        <w:tc>
          <w:tcPr>
            <w:tcW w:type="dxa" w:w="5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68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结合监测数据及盾构掘进参数综合分析，采取加</w:t>
            </w:r>
          </w:p>
        </w:tc>
        <w:tc>
          <w:tcPr>
            <w:tcW w:type="dxa" w:w="3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continuous"/>
          <w:pgSz w:w="12246" w:h="15931"/>
          <w:pgMar w:top="350" w:right="1308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100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强二次注浆，并增大注浆压力及注浆量等措施。通过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加强二次注浆，在2016 年5 月18 日，MC21、XD21、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XD21-4、XD21-6 监测点均有不同程度回升；之后，由</w:t>
      </w:r>
    </w:p>
    <w:p>
      <w:pPr>
        <w:sectPr>
          <w:type w:val="continuous"/>
          <w:pgSz w:w="12246" w:h="15931"/>
          <w:pgMar w:top="350" w:right="1308" w:bottom="176" w:left="420" w:header="720" w:footer="720" w:gutter="0"/>
          <w:cols w:num="2" w:equalWidth="0">
            <w:col w:w="5750" w:space="0"/>
            <w:col w:w="476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34"/>
        <w:ind w:left="164" w:right="112" w:firstLine="360"/>
        <w:jc w:val="both"/>
      </w:pP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[1]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中华人民共和国住房和城乡建设部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中华人民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共和国国家质量监督检验检疫总局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城市轨道交通工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程监测技术规范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:GB 50911-2013[S].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北京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: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中国建筑工</w:t>
      </w:r>
    </w:p>
    <w:p>
      <w:pPr>
        <w:sectPr>
          <w:type w:val="nextColumn"/>
          <w:pgSz w:w="12246" w:h="15931"/>
          <w:pgMar w:top="350" w:right="1308" w:bottom="176" w:left="420" w:header="720" w:footer="720" w:gutter="0"/>
          <w:cols w:num="2" w:equalWidth="0">
            <w:col w:w="5750" w:space="0"/>
            <w:col w:w="4768" w:space="0"/>
          </w:cols>
          <w:docGrid w:linePitch="360"/>
        </w:sectPr>
      </w:pPr>
    </w:p>
    <w:p>
      <w:pPr>
        <w:autoSpaceDN w:val="0"/>
        <w:tabs>
          <w:tab w:pos="5914" w:val="left"/>
        </w:tabs>
        <w:autoSpaceDE w:val="0"/>
        <w:widowControl/>
        <w:spacing w:line="176" w:lineRule="exact" w:before="0" w:after="56"/>
        <w:ind w:left="100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于土体固结效应，略有沉降，并逐渐趋于平稳；地表进</w:t>
      </w:r>
      <w:r>
        <w:tab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业出版社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,2013.</w:t>
      </w:r>
    </w:p>
    <w:p>
      <w:pPr>
        <w:sectPr>
          <w:type w:val="continuous"/>
          <w:pgSz w:w="12246" w:h="15931"/>
          <w:pgMar w:top="350" w:right="1308" w:bottom="176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000" w:right="210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行探孔检测以及注浆加固处理，MC21、XD21、XD21-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4、XD21-6 主要监测点变化如图2 所示。结合监测数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据对盾构掘进参数进行调整，通过调整土仓压力值、严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格控制同步注浆压力、掘进速度等措施，后续施工监测</w:t>
      </w:r>
    </w:p>
    <w:p>
      <w:pPr>
        <w:sectPr>
          <w:type w:val="continuous"/>
          <w:pgSz w:w="12246" w:h="15931"/>
          <w:pgMar w:top="350" w:right="1308" w:bottom="176" w:left="420" w:header="720" w:footer="720" w:gutter="0"/>
          <w:cols w:num="2" w:equalWidth="0">
            <w:col w:w="5702" w:space="0"/>
            <w:col w:w="4815" w:space="0"/>
          </w:cols>
          <w:docGrid w:linePitch="360"/>
        </w:sectPr>
      </w:pPr>
    </w:p>
    <w:p>
      <w:pPr>
        <w:autoSpaceDN w:val="0"/>
        <w:tabs>
          <w:tab w:pos="572" w:val="left"/>
        </w:tabs>
        <w:autoSpaceDE w:val="0"/>
        <w:widowControl/>
        <w:spacing w:line="218" w:lineRule="exact" w:before="0" w:after="0"/>
        <w:ind w:left="212" w:right="0" w:firstLine="0"/>
        <w:jc w:val="left"/>
      </w:pP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[2]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张润峰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梁荣柱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张献民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下穿既有建筑期间盾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构施工参数分析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浙江大学学报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,2016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551-558.</w:t>
      </w:r>
    </w:p>
    <w:p>
      <w:pPr>
        <w:autoSpaceDN w:val="0"/>
        <w:tabs>
          <w:tab w:pos="572" w:val="left"/>
        </w:tabs>
        <w:autoSpaceDE w:val="0"/>
        <w:widowControl/>
        <w:spacing w:line="236" w:lineRule="exact" w:before="0" w:after="36"/>
        <w:ind w:left="212" w:right="0" w:firstLine="0"/>
        <w:jc w:val="left"/>
      </w:pP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[3]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唐晓武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朱季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刘维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盾构施工过程中的土体变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形研究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岩石力学与工程学报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,2010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417-422.</w:t>
      </w:r>
    </w:p>
    <w:p>
      <w:pPr>
        <w:sectPr>
          <w:type w:val="nextColumn"/>
          <w:pgSz w:w="12246" w:h="15931"/>
          <w:pgMar w:top="350" w:right="1308" w:bottom="176" w:left="420" w:header="720" w:footer="720" w:gutter="0"/>
          <w:cols w:num="2" w:equalWidth="0">
            <w:col w:w="5702" w:space="0"/>
            <w:col w:w="4815" w:space="0"/>
          </w:cols>
          <w:docGrid w:linePitch="360"/>
        </w:sectPr>
      </w:pPr>
    </w:p>
    <w:p>
      <w:pPr>
        <w:autoSpaceDN w:val="0"/>
        <w:tabs>
          <w:tab w:pos="5914" w:val="left"/>
          <w:tab w:pos="6274" w:val="left"/>
        </w:tabs>
        <w:autoSpaceDE w:val="0"/>
        <w:widowControl/>
        <w:spacing w:line="224" w:lineRule="exact" w:before="0" w:after="0"/>
        <w:ind w:left="100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数据稳定。</w:t>
      </w:r>
      <w:r>
        <w:tab/>
      </w: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[4]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林存刚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刘干斌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梁荣柱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隧道坡度对盾构掘进</w:t>
      </w:r>
      <w:r>
        <w:tab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引起地面隆陷的影响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岩土工程学报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7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1203-1212.</w:t>
      </w:r>
    </w:p>
    <w:p>
      <w:pPr>
        <w:autoSpaceDN w:val="0"/>
        <w:tabs>
          <w:tab w:pos="6274" w:val="left"/>
        </w:tabs>
        <w:autoSpaceDE w:val="0"/>
        <w:widowControl/>
        <w:spacing w:line="236" w:lineRule="exact" w:before="0" w:after="0"/>
        <w:ind w:left="5914" w:right="0" w:firstLine="0"/>
        <w:jc w:val="left"/>
      </w:pP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[5]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罗富荣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轨道交通工程建设安全风险控制实施</w:t>
      </w:r>
      <w:r>
        <w:br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指南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[M].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北京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: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中国建筑工业出版社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,2011.</w:t>
      </w:r>
    </w:p>
    <w:p>
      <w:pPr>
        <w:autoSpaceDN w:val="0"/>
        <w:autoSpaceDE w:val="0"/>
        <w:widowControl/>
        <w:spacing w:line="236" w:lineRule="exact" w:before="0" w:after="0"/>
        <w:ind w:left="5760" w:right="110" w:firstLine="0"/>
        <w:jc w:val="right"/>
      </w:pP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[6]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刘波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陶龙光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李希平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地铁盾构隧道下穿建筑</w:t>
      </w:r>
      <w:r>
        <w:br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基础诱发地层变形研究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地下空间与工程学报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,2006</w:t>
      </w:r>
      <w:r>
        <w:br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621-626.</w:t>
      </w:r>
    </w:p>
    <w:p>
      <w:pPr>
        <w:autoSpaceDN w:val="0"/>
        <w:tabs>
          <w:tab w:pos="5914" w:val="left"/>
          <w:tab w:pos="6220" w:val="left"/>
          <w:tab w:pos="6274" w:val="left"/>
        </w:tabs>
        <w:autoSpaceDE w:val="0"/>
        <w:widowControl/>
        <w:spacing w:line="236" w:lineRule="exact" w:before="232" w:after="0"/>
        <w:ind w:left="2532" w:right="0" w:firstLine="0"/>
        <w:jc w:val="left"/>
      </w:pPr>
      <w:r>
        <w:tab/>
      </w:r>
      <w:r>
        <w:tab/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作者简介：徐亚军（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1966-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），男，高级工程师，从事</w:t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城市轨道交通工程监测及测量、高速铁路工程勘测设</w:t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计、精密控制测量等工作</w:t>
      </w:r>
      <w:r>
        <w:br/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图2 监测点变化图</w:t>
      </w:r>
      <w:r>
        <w:tab/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（作者单位：中国铁路设计集团有限公司）</w:t>
      </w:r>
    </w:p>
    <w:p>
      <w:pPr>
        <w:autoSpaceDN w:val="0"/>
        <w:autoSpaceDE w:val="0"/>
        <w:widowControl/>
        <w:spacing w:line="358" w:lineRule="auto" w:before="168" w:after="0"/>
        <w:ind w:left="1022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46</w:t>
      </w:r>
    </w:p>
    <w:p>
      <w:pPr>
        <w:autoSpaceDN w:val="0"/>
        <w:tabs>
          <w:tab w:pos="1240" w:val="left"/>
        </w:tabs>
        <w:autoSpaceDE w:val="0"/>
        <w:widowControl/>
        <w:spacing w:line="240" w:lineRule="auto" w:before="8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651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152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5931"/>
      <w:pgMar w:top="350" w:right="1308" w:bottom="176" w:left="4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