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1079500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9152" w:right="288" w:firstLine="358"/>
        <w:jc w:val="left"/>
      </w:pPr>
      <w:r>
        <w:rPr>
          <w:w w:val="97.64640205784848"/>
          <w:rFonts w:ascii="HYa4gs-GBpc-EUC-H" w:hAnsi="HYa4gs-GBpc-EUC-H" w:eastAsia="HYa4gs-GBpc-EUC-H"/>
          <w:b w:val="0"/>
          <w:i w:val="0"/>
          <w:color w:val="221F1F"/>
          <w:sz w:val="19"/>
        </w:rPr>
        <w:t>交通世界</w:t>
      </w:r>
      <w:r>
        <w:br/>
      </w:r>
      <w:r>
        <w:rPr>
          <w:rFonts w:ascii="Arial" w:hAnsi="Arial" w:eastAsia="Arial"/>
          <w:b/>
          <w:i w:val="0"/>
          <w:color w:val="57585A"/>
          <w:sz w:val="15"/>
        </w:rPr>
        <w:t>TRANSPOWORLD</w:t>
      </w:r>
    </w:p>
    <w:p>
      <w:pPr>
        <w:autoSpaceDN w:val="0"/>
        <w:autoSpaceDE w:val="0"/>
        <w:widowControl/>
        <w:spacing w:line="548" w:lineRule="exact" w:before="638" w:after="0"/>
        <w:ind w:left="862" w:right="0" w:firstLine="0"/>
        <w:jc w:val="left"/>
      </w:pPr>
      <w:r>
        <w:rPr>
          <w:rFonts w:ascii="HYb2gs-GBpc-EUC-H" w:hAnsi="HYb2gs-GBpc-EUC-H" w:eastAsia="HYb2gs-GBpc-EUC-H"/>
          <w:b w:val="0"/>
          <w:i w:val="0"/>
          <w:color w:val="221F1F"/>
          <w:sz w:val="55"/>
        </w:rPr>
        <w:t>盾构施工重难点、风险点分析及应对措施</w:t>
      </w:r>
    </w:p>
    <w:p>
      <w:pPr>
        <w:autoSpaceDN w:val="0"/>
        <w:autoSpaceDE w:val="0"/>
        <w:widowControl/>
        <w:spacing w:line="260" w:lineRule="exact" w:before="496" w:after="0"/>
        <w:ind w:left="3312" w:right="2736" w:firstLine="0"/>
        <w:jc w:val="center"/>
      </w:pPr>
      <w:r>
        <w:rPr>
          <w:w w:val="97.9992151260376"/>
          <w:rFonts w:ascii="FZKTK--GBK1-0" w:hAnsi="FZKTK--GBK1-0" w:eastAsia="FZKTK--GBK1-0"/>
          <w:b w:val="0"/>
          <w:i w:val="0"/>
          <w:color w:val="221F1F"/>
          <w:sz w:val="24"/>
        </w:rPr>
        <w:t>王晋国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（中铁二十局集团第五工程有限公司，云南昆明</w:t>
      </w:r>
      <w:r>
        <w:rPr>
          <w:w w:val="97.99841774834526"/>
          <w:rFonts w:ascii="Times" w:hAnsi="Times" w:eastAsia="Times"/>
          <w:b w:val="0"/>
          <w:i w:val="0"/>
          <w:color w:val="221F1F"/>
          <w:sz w:val="18"/>
        </w:rPr>
        <w:t>650000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88" w:lineRule="exact" w:before="456" w:after="0"/>
        <w:ind w:left="746" w:right="144" w:firstLine="0"/>
        <w:jc w:val="left"/>
      </w:pPr>
      <w:r>
        <w:rPr>
          <w:w w:val="97.99958279258327"/>
          <w:rFonts w:ascii="HYb2gs-GBpc-EUC-H" w:hAnsi="HYb2gs-GBpc-EUC-H" w:eastAsia="HYb2gs-GBpc-EUC-H"/>
          <w:b w:val="0"/>
          <w:i w:val="0"/>
          <w:color w:val="221F1F"/>
          <w:sz w:val="19"/>
        </w:rPr>
        <w:t>摘要：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结合工程实例，介绍了地铁区间隧道采用盾构法施工过程中重难点、风险点分析及应对措施，并针对施工中出现的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一系列问题进行讨论，提出了相关的措施和建议，旨在为同类施工实践提供帮助。</w:t>
      </w:r>
    </w:p>
    <w:p>
      <w:pPr>
        <w:autoSpaceDN w:val="0"/>
        <w:autoSpaceDE w:val="0"/>
        <w:widowControl/>
        <w:spacing w:line="190" w:lineRule="exact" w:before="102" w:after="12"/>
        <w:ind w:left="746" w:right="0" w:firstLine="0"/>
        <w:jc w:val="left"/>
      </w:pPr>
      <w:r>
        <w:rPr>
          <w:w w:val="97.99958279258327"/>
          <w:rFonts w:ascii="HYb2gs-GBpc-EUC-H" w:hAnsi="HYb2gs-GBpc-EUC-H" w:eastAsia="HYb2gs-GBpc-EUC-H"/>
          <w:b w:val="0"/>
          <w:i w:val="0"/>
          <w:color w:val="221F1F"/>
          <w:sz w:val="19"/>
        </w:rPr>
        <w:t>关键词：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盾构施工；下穿铁路；盾构下穿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356"/>
        <w:gridCol w:w="5356"/>
      </w:tblGrid>
      <w:tr>
        <w:trPr>
          <w:trHeight w:hRule="exact" w:val="1068"/>
        </w:trPr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6" w:val="left"/>
              </w:tabs>
              <w:autoSpaceDE w:val="0"/>
              <w:widowControl/>
              <w:spacing w:line="416" w:lineRule="exact" w:before="10" w:after="0"/>
              <w:ind w:left="386" w:right="0" w:firstLine="0"/>
              <w:jc w:val="left"/>
            </w:pPr>
            <w:r>
              <w:rPr>
                <w:w w:val="97.99958279258327"/>
                <w:rFonts w:ascii="HYb2gs-GBpc-EUC-H" w:hAnsi="HYb2gs-GBpc-EUC-H" w:eastAsia="HYb2gs-GBpc-EUC-H"/>
                <w:b w:val="0"/>
                <w:i w:val="0"/>
                <w:color w:val="221F1F"/>
                <w:sz w:val="19"/>
              </w:rPr>
              <w:t>中图分类号：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[U25]</w:t>
            </w:r>
            <w:r>
              <w:tab/>
            </w:r>
            <w:r>
              <w:rPr>
                <w:w w:val="97.99958279258327"/>
                <w:rFonts w:ascii="HYb2gs-GBpc-EUC-H" w:hAnsi="HYb2gs-GBpc-EUC-H" w:eastAsia="HYb2gs-GBpc-EUC-H"/>
                <w:b w:val="0"/>
                <w:i w:val="0"/>
                <w:color w:val="221F1F"/>
                <w:sz w:val="19"/>
              </w:rPr>
              <w:t>文献标识码：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B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DOI:10.16248/j.cnki.11-3723/u.2021.10.003</w:t>
            </w:r>
          </w:p>
          <w:p>
            <w:pPr>
              <w:autoSpaceDN w:val="0"/>
              <w:autoSpaceDE w:val="0"/>
              <w:widowControl/>
              <w:spacing w:line="196" w:lineRule="exact" w:before="302" w:after="0"/>
              <w:ind w:left="388" w:right="0" w:firstLine="0"/>
              <w:jc w:val="left"/>
            </w:pPr>
            <w:r>
              <w:rPr>
                <w:w w:val="97.99920916557312"/>
                <w:rFonts w:ascii="Times" w:hAnsi="Times" w:eastAsia="Times"/>
                <w:b w:val="0"/>
                <w:i w:val="0"/>
                <w:color w:val="221F1F"/>
                <w:sz w:val="16"/>
              </w:rPr>
              <w:t>1</w:t>
            </w:r>
            <w:r>
              <w:rPr>
                <w:w w:val="97.99778938293457"/>
                <w:rFonts w:ascii="HYb1gs-GBpc-EUC-H" w:hAnsi="HYb1gs-GBpc-EUC-H" w:eastAsia="HYb1gs-GBpc-EUC-H"/>
                <w:b w:val="0"/>
                <w:i w:val="0"/>
                <w:color w:val="221F1F"/>
                <w:sz w:val="20"/>
              </w:rPr>
              <w:t xml:space="preserve"> 工程概况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0" w:after="0"/>
              <w:ind w:left="864" w:right="0" w:firstLine="0"/>
              <w:jc w:val="left"/>
            </w:pPr>
            <w:r>
              <w:rPr>
                <w:w w:val="97.99841774834526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铁以往施工经验，将管片上浮作为施工难点，盾构机始发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pgSz w:w="11905" w:h="16157"/>
          <w:pgMar w:top="190" w:right="79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48" w:right="268" w:firstLine="360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西安地铁五号线和平村站～阿房宫站区间沿昆明路自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西向东偏南布设，单线全长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661.221m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，沿途下穿既有西户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铁路到达阿房宫站解体吊出。如图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所示。</w:t>
      </w:r>
    </w:p>
    <w:p>
      <w:pPr>
        <w:autoSpaceDN w:val="0"/>
        <w:tabs>
          <w:tab w:pos="1108" w:val="left"/>
        </w:tabs>
        <w:autoSpaceDE w:val="0"/>
        <w:widowControl/>
        <w:spacing w:line="296" w:lineRule="exact" w:before="144" w:after="0"/>
        <w:ind w:left="748" w:right="144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2</w:t>
      </w: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 xml:space="preserve"> 工程地质及水文地质情况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隧道顶部覆土厚度约为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16.2m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，地貌单元属皂河一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级阶地，地形总体东高西低，地层主要为第四系堆积物，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即：由全新统人工填土（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Q4ml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）、冲洪积（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Q4al+pl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）黄土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状土、中砂、粉质黏土、上更新统冲积（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Q3pl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）粉质黏土、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粗砂及中更新统冲积（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Q2al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）粉质黏土、中砂等组成。地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下水水位埋深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13.9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17.1m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，覆盖层为第四系松散层，含水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层主要为弱透水的黏性土夹砂层透镜体，潜水含水层厚度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大于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50m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16" w:lineRule="exact" w:before="222" w:after="0"/>
        <w:ind w:left="748" w:right="0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3</w:t>
      </w: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 xml:space="preserve"> 施工重点、难点及风险点划分</w:t>
      </w:r>
    </w:p>
    <w:p>
      <w:pPr>
        <w:autoSpaceDN w:val="0"/>
        <w:autoSpaceDE w:val="0"/>
        <w:widowControl/>
        <w:spacing w:line="204" w:lineRule="exact" w:before="72" w:after="0"/>
        <w:ind w:left="110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根据周边环境状况及地质情况进行分析，参考西安地</w:t>
      </w:r>
    </w:p>
    <w:p>
      <w:pPr>
        <w:sectPr>
          <w:type w:val="continuous"/>
          <w:pgSz w:w="11905" w:h="16157"/>
          <w:pgMar w:top="190" w:right="792" w:bottom="168" w:left="400" w:header="720" w:footer="720" w:gutter="0"/>
          <w:cols w:num="2" w:equalWidth="0">
            <w:col w:w="5666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17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和到达作为施工重点，下穿西户铁路作为施工风险点。</w:t>
      </w:r>
    </w:p>
    <w:p>
      <w:pPr>
        <w:autoSpaceDN w:val="0"/>
        <w:tabs>
          <w:tab w:pos="538" w:val="left"/>
        </w:tabs>
        <w:autoSpaceDE w:val="0"/>
        <w:widowControl/>
        <w:spacing w:line="280" w:lineRule="exact" w:before="290" w:after="0"/>
        <w:ind w:left="178" w:right="144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4</w:t>
      </w: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 xml:space="preserve"> 施工难点分析及应对措施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4.1 管片上浮危害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根据地勘资料以及施工期间补勘资料，对本盾构区内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的地质情况进行分析，确认隧道穿越的土层性质为粉质黏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土，结合以往施工经验进行判断，可预见情况为：盾构施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工时，会出现管片上浮情况，并引发管片错台、破裂、渗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漏水等现象。</w:t>
      </w:r>
    </w:p>
    <w:p>
      <w:pPr>
        <w:autoSpaceDN w:val="0"/>
        <w:tabs>
          <w:tab w:pos="538" w:val="left"/>
        </w:tabs>
        <w:autoSpaceDE w:val="0"/>
        <w:widowControl/>
        <w:spacing w:line="300" w:lineRule="exact" w:before="0" w:after="108"/>
        <w:ind w:left="17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4.2 管片上浮原因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掘进期间通过采集成型隧道横断面数据和盾构机导向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系统数据对比，判断管片有上浮现象，上浮量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3cm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。以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西安地铁五号线管片设计参数计算为例，管片外径</w:t>
      </w:r>
      <w:r>
        <w:rPr>
          <w:w w:val="97.99841774834526"/>
          <w:rFonts w:ascii="NEU" w:hAnsi="NEU" w:eastAsia="NEU"/>
          <w:b w:val="0"/>
          <w:i/>
          <w:color w:val="221F1F"/>
          <w:sz w:val="18"/>
        </w:rPr>
        <w:t>D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 xml:space="preserve">= 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6000mm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，管片外径</w:t>
      </w:r>
      <w:r>
        <w:rPr>
          <w:w w:val="97.99841774834526"/>
          <w:rFonts w:ascii="NEU" w:hAnsi="NEU" w:eastAsia="NEU"/>
          <w:b w:val="0"/>
          <w:i/>
          <w:color w:val="221F1F"/>
          <w:sz w:val="18"/>
        </w:rPr>
        <w:t>D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=5400mm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，壁厚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300mm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，宽度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1500mm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，则一环管片自重</w:t>
      </w:r>
      <w:r>
        <w:rPr>
          <w:w w:val="97.99841774834526"/>
          <w:rFonts w:ascii="NEU" w:hAnsi="NEU" w:eastAsia="NEU"/>
          <w:b w:val="0"/>
          <w:i/>
          <w:color w:val="221F1F"/>
          <w:sz w:val="18"/>
        </w:rPr>
        <w:t>G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=196kN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，一环管片所受浮力</w:t>
      </w:r>
      <w:r>
        <w:rPr>
          <w:w w:val="97.99841774834526"/>
          <w:rFonts w:ascii="NEU" w:hAnsi="NEU" w:eastAsia="NEU"/>
          <w:b w:val="0"/>
          <w:i/>
          <w:color w:val="221F1F"/>
          <w:sz w:val="18"/>
        </w:rPr>
        <w:t>F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 xml:space="preserve">= 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424kN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</w:t>
      </w:r>
      <w:r>
        <w:rPr>
          <w:w w:val="97.99841774834526"/>
          <w:rFonts w:ascii="NEU" w:hAnsi="NEU" w:eastAsia="NEU"/>
          <w:b w:val="0"/>
          <w:i/>
          <w:color w:val="221F1F"/>
          <w:sz w:val="18"/>
        </w:rPr>
        <w:t>F</w:t>
      </w:r>
      <w:r>
        <w:rPr>
          <w:w w:val="97.99841774834526"/>
          <w:rFonts w:ascii="SimSun" w:hAnsi="SimSun" w:eastAsia="SimSun"/>
          <w:b w:val="0"/>
          <w:i w:val="0"/>
          <w:color w:val="221F1F"/>
          <w:sz w:val="18"/>
        </w:rPr>
        <w:t>＞</w:t>
      </w:r>
      <w:r>
        <w:rPr>
          <w:w w:val="97.99841774834526"/>
          <w:rFonts w:ascii="NEU" w:hAnsi="NEU" w:eastAsia="NEU"/>
          <w:b w:val="0"/>
          <w:i/>
          <w:color w:val="221F1F"/>
          <w:sz w:val="18"/>
        </w:rPr>
        <w:t>G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，管片所受到的浮力大于管片本身的自重。</w:t>
      </w:r>
    </w:p>
    <w:p>
      <w:pPr>
        <w:sectPr>
          <w:type w:val="nextColumn"/>
          <w:pgSz w:w="11905" w:h="16157"/>
          <w:pgMar w:top="190" w:right="792" w:bottom="168" w:left="400" w:header="720" w:footer="720" w:gutter="0"/>
          <w:cols w:num="2" w:equalWidth="0">
            <w:col w:w="5666" w:space="0"/>
            <w:col w:w="50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0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33900" cy="279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9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2" w:lineRule="exact" w:before="102" w:after="0"/>
        <w:ind w:left="0" w:right="3704" w:firstLine="0"/>
        <w:jc w:val="right"/>
      </w:pPr>
      <w:r>
        <w:rPr>
          <w:w w:val="98.00021989004952"/>
          <w:rFonts w:ascii="HYb1gs-GBpc-EUC-H" w:hAnsi="HYb1gs-GBpc-EUC-H" w:eastAsia="HYb1gs-GBpc-EUC-H"/>
          <w:b w:val="0"/>
          <w:i w:val="0"/>
          <w:color w:val="221F1F"/>
          <w:sz w:val="14"/>
        </w:rPr>
        <w:t>图</w:t>
      </w:r>
      <w:r>
        <w:rPr>
          <w:w w:val="98.00021989004952"/>
          <w:rFonts w:ascii="Times" w:hAnsi="Times" w:eastAsia="Times"/>
          <w:b/>
          <w:i w:val="0"/>
          <w:color w:val="221F1F"/>
          <w:sz w:val="14"/>
        </w:rPr>
        <w:t>1</w:t>
      </w:r>
      <w:r>
        <w:rPr>
          <w:w w:val="98.00021989004952"/>
          <w:rFonts w:ascii="HYb1gs-GBpc-EUC-H" w:hAnsi="HYb1gs-GBpc-EUC-H" w:eastAsia="HYb1gs-GBpc-EUC-H"/>
          <w:b w:val="0"/>
          <w:i w:val="0"/>
          <w:color w:val="221F1F"/>
          <w:sz w:val="14"/>
        </w:rPr>
        <w:t xml:space="preserve"> 和平村站～阿房宫站盾构区间平面位置图</w:t>
      </w:r>
    </w:p>
    <w:p>
      <w:pPr>
        <w:autoSpaceDN w:val="0"/>
        <w:autoSpaceDE w:val="0"/>
        <w:widowControl/>
        <w:spacing w:line="204" w:lineRule="exact" w:before="222" w:after="0"/>
        <w:ind w:left="1226" w:right="2304" w:firstLine="0"/>
        <w:jc w:val="left"/>
      </w:pPr>
      <w:r>
        <w:rPr>
          <w:w w:val="97.99920916557312"/>
          <w:rFonts w:ascii="HYb1gs-GBpc-EUC-H" w:hAnsi="HYb1gs-GBpc-EUC-H" w:eastAsia="HYb1gs-GBpc-EUC-H"/>
          <w:b w:val="0"/>
          <w:i w:val="0"/>
          <w:color w:val="221F1F"/>
          <w:sz w:val="16"/>
        </w:rPr>
        <w:t>收稿日期：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2020-11-17</w:t>
      </w:r>
      <w:r>
        <w:br/>
      </w:r>
      <w:r>
        <w:rPr>
          <w:w w:val="97.99920916557312"/>
          <w:rFonts w:ascii="HYb1gs-GBpc-EUC-H" w:hAnsi="HYb1gs-GBpc-EUC-H" w:eastAsia="HYb1gs-GBpc-EUC-H"/>
          <w:b w:val="0"/>
          <w:i w:val="0"/>
          <w:color w:val="221F1F"/>
          <w:sz w:val="16"/>
        </w:rPr>
        <w:t>作者简介：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王晋国（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1985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—），男，湖北襄阳人，工程师，从事城市轨道交通工程施工技术管理工作。</w:t>
      </w:r>
    </w:p>
    <w:p>
      <w:pPr>
        <w:autoSpaceDN w:val="0"/>
        <w:tabs>
          <w:tab w:pos="10586" w:val="left"/>
        </w:tabs>
        <w:autoSpaceDE w:val="0"/>
        <w:widowControl/>
        <w:spacing w:line="240" w:lineRule="auto" w:before="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99778938293457"/>
          <w:rFonts w:ascii="Arial" w:hAnsi="Arial" w:eastAsia="Arial"/>
          <w:b w:val="0"/>
          <w:i w:val="0"/>
          <w:color w:val="221F1F"/>
          <w:sz w:val="20"/>
        </w:rPr>
        <w:t>5</w:t>
      </w:r>
    </w:p>
    <w:p>
      <w:pPr>
        <w:sectPr>
          <w:type w:val="continuous"/>
          <w:pgSz w:w="11905" w:h="16157"/>
          <w:pgMar w:top="190" w:right="79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2184400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8420100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7810500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7772400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7594600</wp:posOffset>
            </wp:positionV>
            <wp:extent cx="152400" cy="76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7543800</wp:posOffset>
            </wp:positionV>
            <wp:extent cx="1905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7543800</wp:posOffset>
            </wp:positionV>
            <wp:extent cx="177800" cy="127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7480300</wp:posOffset>
            </wp:positionV>
            <wp:extent cx="381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7327900</wp:posOffset>
            </wp:positionV>
            <wp:extent cx="241300" cy="177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7213600</wp:posOffset>
            </wp:positionV>
            <wp:extent cx="241300" cy="317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7213600</wp:posOffset>
            </wp:positionV>
            <wp:extent cx="190500" cy="2159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7124700</wp:posOffset>
            </wp:positionV>
            <wp:extent cx="279400" cy="127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7124700</wp:posOffset>
            </wp:positionV>
            <wp:extent cx="76200" cy="63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3883660</wp:posOffset>
            </wp:positionH>
            <wp:positionV relativeFrom="page">
              <wp:posOffset>5894070</wp:posOffset>
            </wp:positionV>
            <wp:extent cx="2966719" cy="218202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6719" cy="2182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2" w:lineRule="exact" w:before="0" w:after="502"/>
        <w:ind w:left="618" w:right="8064" w:firstLine="0"/>
        <w:jc w:val="left"/>
      </w:pP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总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568</w:t>
      </w: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期</w:t>
      </w:r>
      <w:r>
        <w:br/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2021</w:t>
      </w: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年第10期（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4</w:t>
      </w: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月上）</w:t>
      </w:r>
    </w:p>
    <w:p>
      <w:pPr>
        <w:sectPr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622" w:right="266" w:firstLine="0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由此可见，在尚未凝固的浆液中，管片就存在上浮的可能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性，虽然理论上同步注浆能解决该类问题，但在实际施工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时，所注入的浆液会有部分在地层中已经扩散，导致同步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注浆的量超出预设值，且不同位置的扩散情况不同，难以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把控，此时浆液呈现出不满状态，改变了原本受力情况而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增加了管片上浮的可能性。</w:t>
      </w:r>
    </w:p>
    <w:p>
      <w:pPr>
        <w:autoSpaceDN w:val="0"/>
        <w:tabs>
          <w:tab w:pos="920" w:val="left"/>
          <w:tab w:pos="982" w:val="left"/>
        </w:tabs>
        <w:autoSpaceDE w:val="0"/>
        <w:widowControl/>
        <w:spacing w:line="280" w:lineRule="exact" w:before="2" w:after="0"/>
        <w:ind w:left="622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4.3 管片上浮控制措施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）选择合适的注浆浆液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根据上述情况，通过采集渣样，判断地质情况后，动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态调整浆液性能，主要调整参数有砂浆流动度、收缩率、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浆液的初凝时间和凝结时间。</w:t>
      </w:r>
    </w:p>
    <w:p>
      <w:pPr>
        <w:autoSpaceDN w:val="0"/>
        <w:tabs>
          <w:tab w:pos="982" w:val="left"/>
        </w:tabs>
        <w:autoSpaceDE w:val="0"/>
        <w:widowControl/>
        <w:spacing w:line="148" w:lineRule="exact" w:before="270" w:after="0"/>
        <w:ind w:left="920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）合理控制推进速度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掘进速度直接影响管片上浮趋势，在软弱地层中掘进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 w:num="2" w:equalWidth="0">
            <w:col w:w="5540" w:space="0"/>
            <w:col w:w="4940" w:space="0"/>
          </w:cols>
          <w:docGrid w:linePitch="360"/>
        </w:sectPr>
      </w:pPr>
    </w:p>
    <w:p>
      <w:pPr>
        <w:autoSpaceDN w:val="0"/>
        <w:tabs>
          <w:tab w:pos="476" w:val="left"/>
          <w:tab w:pos="538" w:val="left"/>
        </w:tabs>
        <w:autoSpaceDE w:val="0"/>
        <w:widowControl/>
        <w:spacing w:line="268" w:lineRule="exact" w:before="148" w:after="0"/>
        <w:ind w:left="178" w:right="0" w:firstLine="0"/>
        <w:jc w:val="left"/>
      </w:pP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）优化施工参数</w:t>
      </w:r>
      <w:r>
        <w:br/>
      </w:r>
      <w:r>
        <w:tab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严格控制主要施工参数包括：扭矩、掘进速度、推力、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开挖量、注浆压力、注浆量，匀速缓慢掘进，减少对土体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产生扰动，同时随时掌握超挖、欠挖情况，及时发现问题，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采取措施。同步注浆是控制地层竖向位移的重要措施，始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发到达段的同步和注浆量一般控制在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7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8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方，为了防止注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浆时击穿隧道顶部覆土层，在注浆控制系统中设置压力限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位阀。盾构始发时，托架高程合理调高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10mm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，优先采用下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部推进油缸，同时注意管片选型，选取有向上趋势的点位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拼装，适当降低推进速度与增大土压，推进过程中注意俯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仰角的变化。</w:t>
      </w:r>
    </w:p>
    <w:p>
      <w:pPr>
        <w:autoSpaceDN w:val="0"/>
        <w:autoSpaceDE w:val="0"/>
        <w:widowControl/>
        <w:spacing w:line="218" w:lineRule="exact" w:before="354" w:after="68"/>
        <w:ind w:left="178" w:right="0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6</w:t>
      </w: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 xml:space="preserve"> 施工风险点分析及应对措施</w:t>
      </w:r>
    </w:p>
    <w:p>
      <w:pPr>
        <w:sectPr>
          <w:type w:val="nextColumn"/>
          <w:pgSz w:w="11905" w:h="16157"/>
          <w:pgMar w:top="196" w:right="1026" w:bottom="168" w:left="400" w:header="720" w:footer="720" w:gutter="0"/>
          <w:cols w:num="2" w:equalWidth="0">
            <w:col w:w="5540" w:space="0"/>
            <w:col w:w="4940" w:space="0"/>
          </w:cols>
          <w:docGrid w:linePitch="360"/>
        </w:sectPr>
      </w:pPr>
    </w:p>
    <w:p>
      <w:pPr>
        <w:autoSpaceDN w:val="0"/>
        <w:tabs>
          <w:tab w:pos="5718" w:val="left"/>
        </w:tabs>
        <w:autoSpaceDE w:val="0"/>
        <w:widowControl/>
        <w:spacing w:line="204" w:lineRule="exact" w:before="0" w:after="76"/>
        <w:ind w:left="622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时，推进速度过快，同步注浆跟不上推进的速度，管片外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6.1 风险点分析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622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的空隙充填不密实，且浆液在短时间内不能形成一定强度，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束缚管片位移，因此一般以缓慢推进为宜，推进速度不大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于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50mm/min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。以确保管片在脱出盾尾后不会因浆液的问题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而产生不稳定的位移。</w:t>
      </w:r>
    </w:p>
    <w:p>
      <w:pPr>
        <w:autoSpaceDN w:val="0"/>
        <w:tabs>
          <w:tab w:pos="920" w:val="left"/>
          <w:tab w:pos="982" w:val="left"/>
        </w:tabs>
        <w:autoSpaceDE w:val="0"/>
        <w:widowControl/>
        <w:spacing w:line="280" w:lineRule="exact" w:before="138" w:after="0"/>
        <w:ind w:left="622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）控制好盾构掘进姿态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通过对成型隧道测量数据，分析盾构姿态，做到提前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控制，减少“蛇形”的运动轨迹，如“蛇形”轨迹过多势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必会引发多次纠偏处理，在纠偏的过程中，会对管片的环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面产生不均匀的作用力，容易导致管片变形或损坏，因此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需严格控制盾构机的纠偏行为，尽量控制好设备姿态，发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现方向偏差时应当第一时间进行纠正，切记不可采取过激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的纠偏行为，以免直接造成管片破损，每环的纠偏值控制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不应大于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982" w:val="left"/>
        </w:tabs>
        <w:autoSpaceDE w:val="0"/>
        <w:widowControl/>
        <w:spacing w:line="280" w:lineRule="exact" w:before="158" w:after="0"/>
        <w:ind w:left="622" w:right="144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5</w:t>
      </w: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 xml:space="preserve"> 施工重点分析及应对措施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5.1 盾构始发和到达容易出现的问题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区间拱顶地层主要为粉质黏土，洞身处地层主要为粉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质黏土和中粗砂，地层渗透系数大，承载能力不足，盾构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掘进期间，尤其是进出洞时引发渗水、涌砂等情况的概率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较大，严重时可能引发较大的安全事故，因此需要采取相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应的措施以保证质量和安全。</w:t>
      </w:r>
    </w:p>
    <w:p>
      <w:pPr>
        <w:autoSpaceDN w:val="0"/>
        <w:tabs>
          <w:tab w:pos="920" w:val="left"/>
          <w:tab w:pos="982" w:val="left"/>
        </w:tabs>
        <w:autoSpaceDE w:val="0"/>
        <w:widowControl/>
        <w:spacing w:line="280" w:lineRule="exact" w:before="0" w:after="0"/>
        <w:ind w:left="622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5.2 应对措施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）盾构始发到达前准备工作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首先对车站端头进行双重管高压旋喷桩加固，加固完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成后对端头区域进行降水，保证水位降到隧道底板以下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施工前在洞门设置水平探孔，探查加固后的实际效果，如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果有渗漏水情况，则应当随即进行补强处理，一般采取洞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内袖阀管补强注浆措施。</w:t>
      </w:r>
    </w:p>
    <w:p>
      <w:pPr>
        <w:autoSpaceDN w:val="0"/>
        <w:tabs>
          <w:tab w:pos="920" w:val="left"/>
          <w:tab w:pos="982" w:val="left"/>
        </w:tabs>
        <w:autoSpaceDE w:val="0"/>
        <w:widowControl/>
        <w:spacing w:line="254" w:lineRule="exact" w:before="164" w:after="0"/>
        <w:ind w:left="622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）充分注意防止洞门密封泄漏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盾构机进出洞口时，车站结构施工时预先在洞门加强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环梁上预埋环形钢板，用于后期安装橡胶帘布及折叶式压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板，此外盾构进、出洞时，在刀盘推出洞门前一环和盾尾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进洞后一环，采用快硬水泥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+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水玻璃双液浆对盾尾周边建筑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体孔隙进行充填。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 w:num="2" w:equalWidth="0">
            <w:col w:w="554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178" w:right="0" w:firstLine="36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西户铁路为单线电气化铁路，碎石道床，钢筋混凝土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轨枕，有缝钢轨，地层自上而下主要为杂填土、黄土状土、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粉质黏土及中砂，水位埋深约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17m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，盾构在此区域埋深约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12m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，主要穿越黄土状土层、粉质黏土层和中砂层。铁路与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区间隧道最小垂直距离为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11.98m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。盾构隧道与西户铁路剖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面关系如图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所示。</w:t>
      </w:r>
    </w:p>
    <w:p>
      <w:pPr>
        <w:autoSpaceDN w:val="0"/>
        <w:tabs>
          <w:tab w:pos="476" w:val="left"/>
          <w:tab w:pos="538" w:val="left"/>
        </w:tabs>
        <w:autoSpaceDE w:val="0"/>
        <w:widowControl/>
        <w:spacing w:line="266" w:lineRule="exact" w:before="0" w:after="0"/>
        <w:ind w:left="178" w:right="0" w:firstLine="0"/>
        <w:jc w:val="left"/>
      </w:pPr>
      <w:r>
        <w:tab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根据铁路下方工程地质和水文地质条件，在盾构下穿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运行中的铁路施工时，必须解决以下重难点问题：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）盾构从运行中的西户铁路下通过，控制地面沉降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是关键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沉降值必须控制在允许变形范围内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确保铁路运输万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无一失。</w:t>
      </w:r>
    </w:p>
    <w:p>
      <w:pPr>
        <w:autoSpaceDN w:val="0"/>
        <w:autoSpaceDE w:val="0"/>
        <w:widowControl/>
        <w:spacing w:line="216" w:lineRule="exact" w:before="204" w:after="0"/>
        <w:ind w:left="178" w:right="110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）盾构始发端距离西户铁路较近，左线始发后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61m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到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达铁路正下方，右线始发后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43m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到达铁路正下方，需尽快通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过试验段掘进，总结掘进参数，确保盾构安全通过铁路。</w:t>
      </w:r>
    </w:p>
    <w:p>
      <w:pPr>
        <w:autoSpaceDN w:val="0"/>
        <w:autoSpaceDE w:val="0"/>
        <w:widowControl/>
        <w:spacing w:line="152" w:lineRule="exact" w:before="3610" w:after="0"/>
        <w:ind w:left="0" w:right="0" w:firstLine="0"/>
        <w:jc w:val="center"/>
      </w:pPr>
      <w:r>
        <w:rPr>
          <w:w w:val="98.00021989004952"/>
          <w:rFonts w:ascii="HYb1gs-GBpc-EUC-H" w:hAnsi="HYb1gs-GBpc-EUC-H" w:eastAsia="HYb1gs-GBpc-EUC-H"/>
          <w:b w:val="0"/>
          <w:i w:val="0"/>
          <w:color w:val="221F1F"/>
          <w:sz w:val="14"/>
        </w:rPr>
        <w:t>图</w:t>
      </w:r>
      <w:r>
        <w:rPr>
          <w:w w:val="98.00021989004952"/>
          <w:rFonts w:ascii="Times" w:hAnsi="Times" w:eastAsia="Times"/>
          <w:b/>
          <w:i w:val="0"/>
          <w:color w:val="221F1F"/>
          <w:sz w:val="14"/>
        </w:rPr>
        <w:t>2</w:t>
      </w:r>
      <w:r>
        <w:rPr>
          <w:w w:val="98.00021989004952"/>
          <w:rFonts w:ascii="HYb1gs-GBpc-EUC-H" w:hAnsi="HYb1gs-GBpc-EUC-H" w:eastAsia="HYb1gs-GBpc-EUC-H"/>
          <w:b w:val="0"/>
          <w:i w:val="0"/>
          <w:color w:val="221F1F"/>
          <w:sz w:val="14"/>
        </w:rPr>
        <w:t xml:space="preserve"> 盾构隧道与西户铁路剖面位置关系图</w:t>
      </w:r>
    </w:p>
    <w:p>
      <w:pPr>
        <w:autoSpaceDN w:val="0"/>
        <w:tabs>
          <w:tab w:pos="538" w:val="left"/>
        </w:tabs>
        <w:autoSpaceDE w:val="0"/>
        <w:widowControl/>
        <w:spacing w:line="280" w:lineRule="exact" w:before="162" w:after="678"/>
        <w:ind w:left="17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6.2 盾构下穿风险点前准备工作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6.2.1 技术准备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盾构下穿西户铁路是我项目施工重点工程，也是本标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段的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Ⅱ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级风险，下穿前设计院制定加固设计方案，施工单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位编制专项施工方案、应急预案并进行专家论证，施工人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员进场后，依据专项施工方案进行交底，做好施工前的准</w:t>
      </w:r>
    </w:p>
    <w:p>
      <w:pPr>
        <w:sectPr>
          <w:type w:val="nextColumn"/>
          <w:pgSz w:w="11905" w:h="16157"/>
          <w:pgMar w:top="196" w:right="1026" w:bottom="168" w:left="400" w:header="720" w:footer="720" w:gutter="0"/>
          <w:cols w:num="2" w:equalWidth="0">
            <w:col w:w="554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9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7.99778938293457"/>
          <w:rFonts w:ascii="Arial" w:hAnsi="Arial" w:eastAsia="Arial"/>
          <w:b w:val="0"/>
          <w:i w:val="0"/>
          <w:color w:val="221F1F"/>
          <w:sz w:val="20"/>
        </w:rPr>
        <w:t>6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4851400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1612900</wp:posOffset>
            </wp:positionV>
            <wp:extent cx="2952750" cy="131001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100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2743200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2743200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2489200</wp:posOffset>
            </wp:positionV>
            <wp:extent cx="635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2489200</wp:posOffset>
            </wp:positionV>
            <wp:extent cx="63500" cy="63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2260600</wp:posOffset>
            </wp:positionV>
            <wp:extent cx="38100" cy="76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2247900</wp:posOffset>
            </wp:positionV>
            <wp:extent cx="50800" cy="889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2247900</wp:posOffset>
            </wp:positionV>
            <wp:extent cx="50800" cy="889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2235200</wp:posOffset>
            </wp:positionV>
            <wp:extent cx="50800" cy="101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2222500</wp:posOffset>
            </wp:positionV>
            <wp:extent cx="635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2222500</wp:posOffset>
            </wp:positionV>
            <wp:extent cx="762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2222500</wp:posOffset>
            </wp:positionV>
            <wp:extent cx="50800" cy="1143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2222500</wp:posOffset>
            </wp:positionV>
            <wp:extent cx="635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2197100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2197100</wp:posOffset>
            </wp:positionV>
            <wp:extent cx="635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2197100</wp:posOffset>
            </wp:positionV>
            <wp:extent cx="508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2184400</wp:posOffset>
            </wp:positionV>
            <wp:extent cx="76200" cy="1397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2184400</wp:posOffset>
            </wp:positionV>
            <wp:extent cx="76200" cy="139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2349500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2336800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2336800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2324100</wp:posOffset>
            </wp:positionV>
            <wp:extent cx="508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2324100</wp:posOffset>
            </wp:positionV>
            <wp:extent cx="762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2311400</wp:posOffset>
            </wp:positionV>
            <wp:extent cx="635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2260600</wp:posOffset>
            </wp:positionV>
            <wp:extent cx="50800" cy="63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2260600</wp:posOffset>
            </wp:positionV>
            <wp:extent cx="38100" cy="762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2247900</wp:posOffset>
            </wp:positionV>
            <wp:extent cx="50800" cy="889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2247900</wp:posOffset>
            </wp:positionV>
            <wp:extent cx="50800" cy="88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2235200</wp:posOffset>
            </wp:positionV>
            <wp:extent cx="50800" cy="101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2222500</wp:posOffset>
            </wp:positionV>
            <wp:extent cx="635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2222500</wp:posOffset>
            </wp:positionV>
            <wp:extent cx="635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2222500</wp:posOffset>
            </wp:positionV>
            <wp:extent cx="762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2222500</wp:posOffset>
            </wp:positionV>
            <wp:extent cx="50800" cy="1143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2222500</wp:posOffset>
            </wp:positionV>
            <wp:extent cx="635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2197100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2197100</wp:posOffset>
            </wp:positionV>
            <wp:extent cx="635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2197100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2184400</wp:posOffset>
            </wp:positionV>
            <wp:extent cx="635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2184400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2184400</wp:posOffset>
            </wp:positionV>
            <wp:extent cx="76200" cy="1397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2184400</wp:posOffset>
            </wp:positionV>
            <wp:extent cx="76200" cy="1397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2019300</wp:posOffset>
            </wp:positionV>
            <wp:extent cx="927100" cy="317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1981200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1968500</wp:posOffset>
            </wp:positionV>
            <wp:extent cx="762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1790700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502"/>
        <w:ind w:left="9152" w:right="288" w:firstLine="358"/>
        <w:jc w:val="left"/>
      </w:pPr>
      <w:r>
        <w:rPr>
          <w:w w:val="97.64640205784848"/>
          <w:rFonts w:ascii="HYa4gs-GBpc-EUC-H" w:hAnsi="HYa4gs-GBpc-EUC-H" w:eastAsia="HYa4gs-GBpc-EUC-H"/>
          <w:b w:val="0"/>
          <w:i w:val="0"/>
          <w:color w:val="221F1F"/>
          <w:sz w:val="19"/>
        </w:rPr>
        <w:t>交通世界</w:t>
      </w:r>
      <w:r>
        <w:br/>
      </w:r>
      <w:r>
        <w:rPr>
          <w:rFonts w:ascii="Arial" w:hAnsi="Arial" w:eastAsia="Arial"/>
          <w:b/>
          <w:i w:val="0"/>
          <w:color w:val="57585A"/>
          <w:sz w:val="15"/>
        </w:rPr>
        <w:t>TRANSPOWORLD</w:t>
      </w:r>
    </w:p>
    <w:p>
      <w:pPr>
        <w:sectPr>
          <w:pgSz w:w="11905" w:h="16157"/>
          <w:pgMar w:top="190" w:right="79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备工作，对现场发生的异常能够及时有效地处理。</w:t>
      </w:r>
    </w:p>
    <w:p>
      <w:pPr>
        <w:autoSpaceDN w:val="0"/>
        <w:tabs>
          <w:tab w:pos="1096" w:val="left"/>
        </w:tabs>
        <w:autoSpaceDE w:val="0"/>
        <w:widowControl/>
        <w:spacing w:line="326" w:lineRule="exact" w:before="0" w:after="0"/>
        <w:ind w:left="73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6.2.2 对铁路进行加固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盾构下穿前，必须完成对铁路加固，加固长度为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65m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线路加固横断面如图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所示。</w:t>
      </w:r>
    </w:p>
    <w:p>
      <w:pPr>
        <w:autoSpaceDN w:val="0"/>
        <w:tabs>
          <w:tab w:pos="1096" w:val="left"/>
          <w:tab w:pos="2424" w:val="left"/>
        </w:tabs>
        <w:autoSpaceDE w:val="0"/>
        <w:widowControl/>
        <w:spacing w:line="282" w:lineRule="exact" w:before="1976" w:after="0"/>
        <w:ind w:left="736" w:right="144" w:firstLine="0"/>
        <w:jc w:val="left"/>
      </w:pPr>
      <w:r>
        <w:tab/>
      </w:r>
      <w:r>
        <w:rPr>
          <w:w w:val="98.00021989004952"/>
          <w:rFonts w:ascii="HYb1gs-GBpc-EUC-H" w:hAnsi="HYb1gs-GBpc-EUC-H" w:eastAsia="HYb1gs-GBpc-EUC-H"/>
          <w:b w:val="0"/>
          <w:i w:val="0"/>
          <w:color w:val="221F1F"/>
          <w:sz w:val="14"/>
        </w:rPr>
        <w:t>图</w:t>
      </w:r>
      <w:r>
        <w:rPr>
          <w:w w:val="98.00021989004952"/>
          <w:rFonts w:ascii="Times" w:hAnsi="Times" w:eastAsia="Times"/>
          <w:b/>
          <w:i w:val="0"/>
          <w:color w:val="221F1F"/>
          <w:sz w:val="14"/>
        </w:rPr>
        <w:t>3</w:t>
      </w:r>
      <w:r>
        <w:rPr>
          <w:w w:val="98.00021989004952"/>
          <w:rFonts w:ascii="HYb1gs-GBpc-EUC-H" w:hAnsi="HYb1gs-GBpc-EUC-H" w:eastAsia="HYb1gs-GBpc-EUC-H"/>
          <w:b w:val="0"/>
          <w:i w:val="0"/>
          <w:color w:val="221F1F"/>
          <w:sz w:val="14"/>
        </w:rPr>
        <w:t xml:space="preserve"> 线路加固横断面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6.3 下穿风险点主要施工措施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6.3.1 盾构穿越前试推进阶段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设定由始发点到第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15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环区域为试推进段，过程中持续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观察地表沉降情况，对设备试掘进的状况进行分析评估，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在推进速度、渣土改良效果、土仓压力值、同步注浆压力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和注浆量方面进行尝试和调整，直至获得最优参数后再进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入下一阶段推进施工。</w:t>
      </w:r>
    </w:p>
    <w:p>
      <w:pPr>
        <w:autoSpaceDN w:val="0"/>
        <w:tabs>
          <w:tab w:pos="1096" w:val="left"/>
        </w:tabs>
        <w:autoSpaceDE w:val="0"/>
        <w:widowControl/>
        <w:spacing w:line="280" w:lineRule="exact" w:before="0" w:after="0"/>
        <w:ind w:left="73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6.3.2 盾构穿越阶段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试推进阶段各项工作完毕后，继续推进至风险点前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环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时，设为穿越段开始，直至盾尾脱出风险点范围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环后定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为穿越结束。在穿越阶段施工时，主要依据前期所获取的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相关参数进行施工，重点工作应当放在对设备的监管和控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制上，包括对掌子面土压力、注浆情况、推进速度的查看，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以及监控设备各方面数据是否正常等。</w:t>
      </w:r>
    </w:p>
    <w:p>
      <w:pPr>
        <w:autoSpaceDN w:val="0"/>
        <w:tabs>
          <w:tab w:pos="1034" w:val="left"/>
          <w:tab w:pos="1096" w:val="left"/>
        </w:tabs>
        <w:autoSpaceDE w:val="0"/>
        <w:widowControl/>
        <w:spacing w:line="280" w:lineRule="exact" w:before="138" w:after="0"/>
        <w:ind w:left="736" w:right="144" w:firstLine="0"/>
        <w:jc w:val="left"/>
      </w:pP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）严控掘进速度</w:t>
      </w:r>
      <w:r>
        <w:br/>
      </w:r>
      <w:r>
        <w:tab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盾构掘进速度与掌子面土仓压力、千斤顶推力、地层性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质等因素有关。隧道穿越铁路地段洞身范围为黄土状土层、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粉质黏土层、中砂层，穿越此类地层的经验推进速度为：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60mm/min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70mm/min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，日均进尺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18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21m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，为保证下穿铁路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施工的安全，穿越期间的推进速度控制在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20mm/min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 xml:space="preserve">30mm/ 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min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，预计日均进尺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10.5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12m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，保持连续均衡的掘进。</w:t>
      </w:r>
    </w:p>
    <w:p>
      <w:pPr>
        <w:autoSpaceDN w:val="0"/>
        <w:tabs>
          <w:tab w:pos="1034" w:val="left"/>
          <w:tab w:pos="1096" w:val="left"/>
        </w:tabs>
        <w:autoSpaceDE w:val="0"/>
        <w:widowControl/>
        <w:spacing w:line="254" w:lineRule="exact" w:before="164" w:after="0"/>
        <w:ind w:left="736" w:right="144" w:firstLine="0"/>
        <w:jc w:val="left"/>
      </w:pP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）严格进行渣土管理，确保不超挖</w:t>
      </w:r>
      <w:r>
        <w:br/>
      </w:r>
      <w:r>
        <w:tab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根据明挖车站基坑土松散系数，判定试验段各类地层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的松散系数，后配套渣土仓容量为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17m³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，通过理论出土量，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换算一仓出土量所推进行程，施工过程中随时关注管理行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程和实际行程的大小关系，做到进尺量与出土量均衡，严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禁出土超量，一旦发现问题，立即采取措施处理。</w:t>
      </w:r>
    </w:p>
    <w:p>
      <w:pPr>
        <w:autoSpaceDN w:val="0"/>
        <w:tabs>
          <w:tab w:pos="1034" w:val="left"/>
          <w:tab w:pos="1096" w:val="left"/>
        </w:tabs>
        <w:autoSpaceDE w:val="0"/>
        <w:widowControl/>
        <w:spacing w:line="216" w:lineRule="exact" w:before="202" w:after="0"/>
        <w:ind w:left="736" w:right="144" w:firstLine="0"/>
        <w:jc w:val="left"/>
      </w:pP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）严格控制盾尾同步注浆</w:t>
      </w:r>
      <w:r>
        <w:br/>
      </w:r>
      <w:r>
        <w:tab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盾构推进过程中，应快速进行管片背后注浆，浆液配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比根据现场试验情况，选择最优的浆液配比，下穿段初凝</w:t>
      </w:r>
    </w:p>
    <w:p>
      <w:pPr>
        <w:sectPr>
          <w:type w:val="continuous"/>
          <w:pgSz w:w="11905" w:h="16157"/>
          <w:pgMar w:top="190" w:right="792" w:bottom="168" w:left="400" w:header="720" w:footer="720" w:gutter="0"/>
          <w:cols w:num="2" w:equalWidth="0">
            <w:col w:w="5656" w:space="0"/>
            <w:col w:w="5058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134" w:after="0"/>
        <w:ind w:left="176" w:right="230" w:firstLine="0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时间施工要求为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6h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1d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强度应达到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0.6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0.8MPa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。穿越铁路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段，注浆量取环形间隙理论体积的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1.5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1.8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倍。注浆压力宜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控制在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0.17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0.31MPa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，在不漏浆的基础上，注浆量应达到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设计值的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150%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以上，才可结束注浆。</w:t>
      </w:r>
    </w:p>
    <w:p>
      <w:pPr>
        <w:autoSpaceDN w:val="0"/>
        <w:tabs>
          <w:tab w:pos="536" w:val="left"/>
        </w:tabs>
        <w:autoSpaceDE w:val="0"/>
        <w:widowControl/>
        <w:spacing w:line="262" w:lineRule="exact" w:before="0" w:after="0"/>
        <w:ind w:left="17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6.3.3 施工监测措施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盾构下穿铁路前与铁路局沟通并签订安全协议，施工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时每天进行地面监测并及时报送铁路局相关部门，如有异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常情况，立即与铁路局联系。</w:t>
      </w:r>
    </w:p>
    <w:p>
      <w:pPr>
        <w:autoSpaceDN w:val="0"/>
        <w:autoSpaceDE w:val="0"/>
        <w:widowControl/>
        <w:spacing w:line="280" w:lineRule="exact" w:before="2" w:after="0"/>
        <w:ind w:left="176" w:right="230" w:firstLine="360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为了掌握盾构在开挖过程中的地表及轨道的变化情况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及沉降量值，在铁路地段隧道上方沿隧道方向每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、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10m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设一个监测断面，每个断面上布设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个观测点，隧道中线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正上方每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布设一个中桩测点，视数据变化情况发进行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加密。轨道两侧保护范围内，沉降监测点位沿铁路线路走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向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10m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布设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组测点，每排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个测点，布设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9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组，对于轨面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的监测，沿轨道每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设一组观测点，每组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个测点（每个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监测项目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个对应点位）。盾构切口进入道床下方至盾尾脱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出之间监测频率最高，线路沉降位移每小时一次，隧道沉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降一天两次，对于盾构施工中即将穿越以及沉降变化量较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大的点位，根据实际情况加密监测频率，必要时进行跟踪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监测。</w:t>
      </w:r>
    </w:p>
    <w:p>
      <w:pPr>
        <w:autoSpaceDN w:val="0"/>
        <w:tabs>
          <w:tab w:pos="536" w:val="left"/>
        </w:tabs>
        <w:autoSpaceDE w:val="0"/>
        <w:widowControl/>
        <w:spacing w:line="280" w:lineRule="exact" w:before="0" w:after="0"/>
        <w:ind w:left="17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6.3.4 盾构穿越后阶段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盾尾脱出风险点范围后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环～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20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环定为盾构穿越后阶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段，由于盾构穿越阶段，同步注浆时未能进行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100%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有效充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填，致使工后地表沉降得不到有效控制，施工时根据地表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沉降监测反馈信息，结合其他手段探测管片衬砌背后有无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空洞的方法，综合判断是否需要进行二次补强注浆。</w:t>
      </w:r>
    </w:p>
    <w:p>
      <w:pPr>
        <w:autoSpaceDN w:val="0"/>
        <w:tabs>
          <w:tab w:pos="536" w:val="left"/>
        </w:tabs>
        <w:autoSpaceDE w:val="0"/>
        <w:widowControl/>
        <w:spacing w:line="278" w:lineRule="exact" w:before="294" w:after="0"/>
        <w:ind w:left="176" w:right="144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7</w:t>
      </w: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 xml:space="preserve"> 结语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盾构施工中的重难点及风险点在开工前，施工单位要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结合现场施工条件合理制定应对措施，同时认真总结经验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教训，将盾构施工过程的风险控制在一定范围内。</w:t>
      </w:r>
    </w:p>
    <w:p>
      <w:pPr>
        <w:autoSpaceDN w:val="0"/>
        <w:tabs>
          <w:tab w:pos="502" w:val="left"/>
        </w:tabs>
        <w:autoSpaceDE w:val="0"/>
        <w:widowControl/>
        <w:spacing w:line="280" w:lineRule="exact" w:before="288" w:after="0"/>
        <w:ind w:left="176" w:right="144" w:firstLine="0"/>
        <w:jc w:val="left"/>
      </w:pPr>
      <w:r>
        <w:rPr>
          <w:w w:val="97.99778938293457"/>
          <w:rFonts w:ascii="HYb1gs-GBpc-EUC-H" w:hAnsi="HYb1gs-GBpc-EUC-H" w:eastAsia="HYb1gs-GBpc-EUC-H"/>
          <w:b w:val="0"/>
          <w:i w:val="0"/>
          <w:color w:val="221F1F"/>
          <w:sz w:val="20"/>
        </w:rPr>
        <w:t>参考文献：</w:t>
      </w:r>
      <w:r>
        <w:br/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[1]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王岚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城市地铁盾构施工技术应用与质量控制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中华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建设，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2019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12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117-118.</w:t>
      </w:r>
    </w:p>
    <w:p>
      <w:pPr>
        <w:autoSpaceDN w:val="0"/>
        <w:tabs>
          <w:tab w:pos="502" w:val="left"/>
        </w:tabs>
        <w:autoSpaceDE w:val="0"/>
        <w:widowControl/>
        <w:spacing w:line="286" w:lineRule="exact" w:before="2" w:after="0"/>
        <w:ind w:left="176" w:right="144" w:firstLine="0"/>
        <w:jc w:val="left"/>
      </w:pP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[2]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李宗豪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地铁盾构施工风险的分析与控制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智能城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市，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2019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175-176.</w:t>
      </w:r>
    </w:p>
    <w:p>
      <w:pPr>
        <w:autoSpaceDN w:val="0"/>
        <w:tabs>
          <w:tab w:pos="502" w:val="left"/>
        </w:tabs>
        <w:autoSpaceDE w:val="0"/>
        <w:widowControl/>
        <w:spacing w:line="286" w:lineRule="exact" w:before="2" w:after="0"/>
        <w:ind w:left="176" w:right="144" w:firstLine="0"/>
        <w:jc w:val="left"/>
      </w:pP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[3]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宫本福，杨志勇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北京地铁盾构施工风险控制技术研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究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铁道标准设计，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2018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6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110-114.</w:t>
      </w:r>
    </w:p>
    <w:p>
      <w:pPr>
        <w:autoSpaceDN w:val="0"/>
        <w:tabs>
          <w:tab w:pos="502" w:val="left"/>
        </w:tabs>
        <w:autoSpaceDE w:val="0"/>
        <w:widowControl/>
        <w:spacing w:line="286" w:lineRule="exact" w:before="0" w:after="2596"/>
        <w:ind w:left="176" w:right="144" w:firstLine="0"/>
        <w:jc w:val="left"/>
      </w:pP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[4]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李蒙，龚雨洁，余宏亮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隧道盾构施工关键风险因素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辨识研究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中国安全科学学报，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2018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6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141-146.</w:t>
      </w:r>
    </w:p>
    <w:p>
      <w:pPr>
        <w:sectPr>
          <w:type w:val="nextColumn"/>
          <w:pgSz w:w="11905" w:h="16157"/>
          <w:pgMar w:top="190" w:right="792" w:bottom="168" w:left="400" w:header="720" w:footer="720" w:gutter="0"/>
          <w:cols w:num="2" w:equalWidth="0">
            <w:col w:w="5656" w:space="0"/>
            <w:col w:w="5058" w:space="0"/>
          </w:cols>
          <w:docGrid w:linePitch="360"/>
        </w:sectPr>
      </w:pPr>
    </w:p>
    <w:p>
      <w:pPr>
        <w:autoSpaceDN w:val="0"/>
        <w:tabs>
          <w:tab w:pos="1058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99778938293457"/>
          <w:rFonts w:ascii="Arial" w:hAnsi="Arial" w:eastAsia="Arial"/>
          <w:b w:val="0"/>
          <w:i w:val="0"/>
          <w:color w:val="221F1F"/>
          <w:sz w:val="20"/>
        </w:rPr>
        <w:t>7</w:t>
      </w:r>
    </w:p>
    <w:sectPr w:rsidR="00FC693F" w:rsidRPr="0006063C" w:rsidSect="00034616">
      <w:type w:val="continuous"/>
      <w:pgSz w:w="11905" w:h="16157"/>
      <w:pgMar w:top="190" w:right="79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