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8407400</wp:posOffset>
            </wp:positionV>
            <wp:extent cx="38100" cy="381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805180</wp:posOffset>
            </wp:positionH>
            <wp:positionV relativeFrom="page">
              <wp:posOffset>7843520</wp:posOffset>
            </wp:positionV>
            <wp:extent cx="2744470" cy="96147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4470" cy="96147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8610600</wp:posOffset>
            </wp:positionV>
            <wp:extent cx="381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8559800</wp:posOffset>
            </wp:positionV>
            <wp:extent cx="38100" cy="38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8509000</wp:posOffset>
            </wp:positionV>
            <wp:extent cx="38100" cy="38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3977640</wp:posOffset>
            </wp:positionH>
            <wp:positionV relativeFrom="page">
              <wp:posOffset>6399530</wp:posOffset>
            </wp:positionV>
            <wp:extent cx="2520950" cy="93774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9377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7200900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7188200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6375400</wp:posOffset>
            </wp:positionH>
            <wp:positionV relativeFrom="page">
              <wp:posOffset>7086600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6921500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508" w:right="0" w:firstLine="0"/>
        <w:jc w:val="left"/>
      </w:pPr>
      <w:r>
        <w:rPr>
          <w:rFonts w:ascii="HYb9gj" w:hAnsi="HYb9gj" w:eastAsia="HYb9gj"/>
          <w:b w:val="0"/>
          <w:i w:val="0"/>
          <w:color w:val="6C6E70"/>
          <w:sz w:val="28"/>
        </w:rPr>
        <w:t>Shield Equipment &amp; Project</w:t>
      </w:r>
      <w:r>
        <w:rPr>
          <w:rFonts w:ascii="STXihei" w:hAnsi="STXihei" w:eastAsia="STXihei"/>
          <w:b w:val="0"/>
          <w:i w:val="0"/>
          <w:color w:val="626366"/>
          <w:sz w:val="22"/>
        </w:rPr>
        <w:t>盾构工程</w:t>
      </w:r>
    </w:p>
    <w:p>
      <w:pPr>
        <w:autoSpaceDN w:val="0"/>
        <w:autoSpaceDE w:val="0"/>
        <w:widowControl/>
        <w:spacing w:line="185" w:lineRule="auto" w:before="1070" w:after="0"/>
        <w:ind w:left="848" w:right="0" w:firstLine="0"/>
        <w:jc w:val="left"/>
      </w:pPr>
      <w:r>
        <w:rPr>
          <w:rFonts w:ascii="HYa4gj" w:hAnsi="HYa4gj" w:eastAsia="HYa4gj"/>
          <w:b w:val="0"/>
          <w:i w:val="0"/>
          <w:color w:val="221F1F"/>
          <w:sz w:val="52"/>
        </w:rPr>
        <w:t>盾构施工穿越高等级风险源风险管控技术</w:t>
      </w:r>
    </w:p>
    <w:p>
      <w:pPr>
        <w:autoSpaceDN w:val="0"/>
        <w:autoSpaceDE w:val="0"/>
        <w:widowControl/>
        <w:spacing w:line="288" w:lineRule="exact" w:before="90" w:after="0"/>
        <w:ind w:left="960" w:right="0" w:firstLine="0"/>
        <w:jc w:val="left"/>
      </w:pPr>
      <w:r>
        <w:rPr>
          <w:rFonts w:ascii="Times" w:hAnsi="Times" w:eastAsia="Times"/>
          <w:b/>
          <w:i w:val="0"/>
          <w:color w:val="6C6E70"/>
          <w:sz w:val="26"/>
        </w:rPr>
        <w:t>Risk Control Technology of High-level Risk Source Through Shield Construction</w:t>
      </w:r>
    </w:p>
    <w:p>
      <w:pPr>
        <w:autoSpaceDN w:val="0"/>
        <w:autoSpaceDE w:val="0"/>
        <w:widowControl/>
        <w:spacing w:line="194" w:lineRule="auto" w:before="426" w:after="0"/>
        <w:ind w:left="0" w:right="2172" w:firstLine="0"/>
        <w:jc w:val="right"/>
      </w:pPr>
      <w:r>
        <w:rPr>
          <w:rFonts w:ascii="HYc1gj" w:hAnsi="HYc1gj" w:eastAsia="HYc1gj"/>
          <w:b w:val="0"/>
          <w:i w:val="0"/>
          <w:color w:val="221F1F"/>
          <w:sz w:val="24"/>
        </w:rPr>
        <w:t>胡高鹏</w:t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>1</w:t>
      </w:r>
      <w:r>
        <w:rPr>
          <w:rFonts w:ascii="HYc1gj" w:hAnsi="HYc1gj" w:eastAsia="HYc1gj"/>
          <w:b w:val="0"/>
          <w:i w:val="0"/>
          <w:color w:val="221F1F"/>
          <w:sz w:val="24"/>
        </w:rPr>
        <w:t>，袁</w:t>
      </w:r>
      <w:r>
        <w:rPr>
          <w:rFonts w:ascii="HYc1gj" w:hAnsi="HYc1gj" w:eastAsia="HYc1gj"/>
          <w:b w:val="0"/>
          <w:i w:val="0"/>
          <w:color w:val="221F1F"/>
          <w:sz w:val="24"/>
        </w:rPr>
        <w:t>刚</w:t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>2</w:t>
      </w:r>
      <w:r>
        <w:rPr>
          <w:rFonts w:ascii="HYc1gj" w:hAnsi="HYc1gj" w:eastAsia="HYc1gj"/>
          <w:b w:val="0"/>
          <w:i w:val="0"/>
          <w:color w:val="221F1F"/>
          <w:sz w:val="24"/>
        </w:rPr>
        <w:t>，侯振华</w:t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>2</w:t>
      </w:r>
      <w:r>
        <w:rPr>
          <w:rFonts w:ascii="HYc1gj" w:hAnsi="HYc1gj" w:eastAsia="HYc1gj"/>
          <w:b w:val="0"/>
          <w:i w:val="0"/>
          <w:color w:val="221F1F"/>
          <w:sz w:val="24"/>
        </w:rPr>
        <w:t>，李</w:t>
      </w:r>
      <w:r>
        <w:rPr>
          <w:rFonts w:ascii="HYc1gj" w:hAnsi="HYc1gj" w:eastAsia="HYc1gj"/>
          <w:b w:val="0"/>
          <w:i w:val="0"/>
          <w:color w:val="221F1F"/>
          <w:sz w:val="24"/>
        </w:rPr>
        <w:t>阳</w:t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>2</w:t>
      </w:r>
      <w:r>
        <w:rPr>
          <w:rFonts w:ascii="HYc1gj" w:hAnsi="HYc1gj" w:eastAsia="HYc1gj"/>
          <w:b w:val="0"/>
          <w:i w:val="0"/>
          <w:color w:val="221F1F"/>
          <w:sz w:val="24"/>
        </w:rPr>
        <w:t>，谢</w:t>
      </w:r>
      <w:r>
        <w:rPr>
          <w:rFonts w:ascii="HYc1gj" w:hAnsi="HYc1gj" w:eastAsia="HYc1gj"/>
          <w:b w:val="0"/>
          <w:i w:val="0"/>
          <w:color w:val="221F1F"/>
          <w:sz w:val="24"/>
        </w:rPr>
        <w:t>维</w:t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>3</w:t>
      </w:r>
    </w:p>
    <w:p>
      <w:pPr>
        <w:autoSpaceDN w:val="0"/>
        <w:autoSpaceDE w:val="0"/>
        <w:widowControl/>
        <w:spacing w:line="233" w:lineRule="auto" w:before="64" w:after="0"/>
        <w:ind w:left="0" w:right="221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HU Gao-peng,  YUAN Gang,  HOU Zhen-hua,  LI Yang,  XIE Wei</w:t>
      </w:r>
    </w:p>
    <w:p>
      <w:pPr>
        <w:autoSpaceDN w:val="0"/>
        <w:autoSpaceDE w:val="0"/>
        <w:widowControl/>
        <w:spacing w:line="185" w:lineRule="auto" w:before="106" w:after="0"/>
        <w:ind w:left="1240" w:right="0" w:firstLine="0"/>
        <w:jc w:val="left"/>
      </w:pPr>
      <w:r>
        <w:rPr>
          <w:rFonts w:ascii="HYd1gj" w:hAnsi="HYd1gj" w:eastAsia="HYd1gj"/>
          <w:b w:val="0"/>
          <w:i w:val="0"/>
          <w:color w:val="221F1F"/>
          <w:sz w:val="18"/>
        </w:rPr>
        <w:t>(</w:t>
      </w:r>
      <w:r>
        <w:rPr>
          <w:rFonts w:ascii="HYa6gj" w:hAnsi="HYa6gj" w:eastAsia="HYa6gj"/>
          <w:b w:val="0"/>
          <w:i w:val="0"/>
          <w:color w:val="221F1F"/>
          <w:sz w:val="18"/>
        </w:rPr>
        <w:t>1</w:t>
      </w:r>
      <w:r>
        <w:rPr>
          <w:rFonts w:ascii="HYd1gj" w:hAnsi="HYd1gj" w:eastAsia="HYd1gj"/>
          <w:b w:val="0"/>
          <w:i w:val="0"/>
          <w:color w:val="221F1F"/>
          <w:sz w:val="18"/>
        </w:rPr>
        <w:t>.北京市轨道交通建设管理有限公司</w:t>
      </w:r>
      <w:r>
        <w:rPr>
          <w:rFonts w:ascii="HYa6gj" w:hAnsi="HYa6gj" w:eastAsia="HYa6gj"/>
          <w:b w:val="0"/>
          <w:i w:val="0"/>
          <w:color w:val="221F1F"/>
          <w:sz w:val="18"/>
        </w:rPr>
        <w:t>，</w:t>
      </w:r>
      <w:r>
        <w:rPr>
          <w:rFonts w:ascii="HYd1gj" w:hAnsi="HYd1gj" w:eastAsia="HYd1gj"/>
          <w:b w:val="0"/>
          <w:i w:val="0"/>
          <w:color w:val="221F1F"/>
          <w:sz w:val="18"/>
        </w:rPr>
        <w:t xml:space="preserve">北京 </w:t>
      </w:r>
      <w:r>
        <w:rPr>
          <w:rFonts w:ascii="HYa6gj" w:hAnsi="HYa6gj" w:eastAsia="HYa6gj"/>
          <w:b w:val="0"/>
          <w:i w:val="0"/>
          <w:color w:val="221F1F"/>
          <w:sz w:val="18"/>
        </w:rPr>
        <w:t>100068；2</w:t>
      </w:r>
      <w:r>
        <w:rPr>
          <w:rFonts w:ascii="HYd1gj" w:hAnsi="HYd1gj" w:eastAsia="HYd1gj"/>
          <w:b w:val="0"/>
          <w:i w:val="0"/>
          <w:color w:val="221F1F"/>
          <w:sz w:val="18"/>
        </w:rPr>
        <w:t>.中国铁建二十局集团有限公司</w:t>
      </w:r>
      <w:r>
        <w:rPr>
          <w:rFonts w:ascii="HYa6gj" w:hAnsi="HYa6gj" w:eastAsia="HYa6gj"/>
          <w:b w:val="0"/>
          <w:i w:val="0"/>
          <w:color w:val="221F1F"/>
          <w:sz w:val="18"/>
        </w:rPr>
        <w:t>，</w:t>
      </w:r>
      <w:r>
        <w:rPr>
          <w:rFonts w:ascii="HYd1gj" w:hAnsi="HYd1gj" w:eastAsia="HYd1gj"/>
          <w:b w:val="0"/>
          <w:i w:val="0"/>
          <w:color w:val="221F1F"/>
          <w:sz w:val="18"/>
        </w:rPr>
        <w:t xml:space="preserve">陕西 西安 </w:t>
      </w:r>
      <w:r>
        <w:rPr>
          <w:rFonts w:ascii="HYa6gj" w:hAnsi="HYa6gj" w:eastAsia="HYa6gj"/>
          <w:b w:val="0"/>
          <w:i w:val="0"/>
          <w:color w:val="221F1F"/>
          <w:sz w:val="18"/>
        </w:rPr>
        <w:t>710000；</w:t>
      </w:r>
    </w:p>
    <w:p>
      <w:pPr>
        <w:autoSpaceDN w:val="0"/>
        <w:autoSpaceDE w:val="0"/>
        <w:widowControl/>
        <w:spacing w:line="185" w:lineRule="auto" w:before="110" w:after="544"/>
        <w:ind w:left="0" w:right="2560" w:firstLine="0"/>
        <w:jc w:val="right"/>
      </w:pPr>
      <w:r>
        <w:rPr>
          <w:rFonts w:ascii="HYa6gj" w:hAnsi="HYa6gj" w:eastAsia="HYa6gj"/>
          <w:b w:val="0"/>
          <w:i w:val="0"/>
          <w:color w:val="221F1F"/>
          <w:sz w:val="18"/>
        </w:rPr>
        <w:t>3</w:t>
      </w:r>
      <w:r>
        <w:rPr>
          <w:rFonts w:ascii="HYd1gj" w:hAnsi="HYd1gj" w:eastAsia="HYd1gj"/>
          <w:b w:val="0"/>
          <w:i w:val="0"/>
          <w:color w:val="221F1F"/>
          <w:sz w:val="18"/>
        </w:rPr>
        <w:t>.中国铁建大桥工程局集团有限公司</w:t>
      </w:r>
      <w:r>
        <w:rPr>
          <w:rFonts w:ascii="HYa6gj" w:hAnsi="HYa6gj" w:eastAsia="HYa6gj"/>
          <w:b w:val="0"/>
          <w:i w:val="0"/>
          <w:color w:val="221F1F"/>
          <w:sz w:val="18"/>
        </w:rPr>
        <w:t>，</w:t>
      </w:r>
      <w:r>
        <w:rPr>
          <w:rFonts w:ascii="HYd1gj" w:hAnsi="HYd1gj" w:eastAsia="HYd1gj"/>
          <w:b w:val="0"/>
          <w:i w:val="0"/>
          <w:color w:val="221F1F"/>
          <w:sz w:val="18"/>
        </w:rPr>
        <w:t xml:space="preserve">天津 </w:t>
      </w:r>
      <w:r>
        <w:rPr>
          <w:rFonts w:ascii="HYa6gj" w:hAnsi="HYa6gj" w:eastAsia="HYa6gj"/>
          <w:b w:val="0"/>
          <w:i w:val="0"/>
          <w:color w:val="221F1F"/>
          <w:sz w:val="18"/>
        </w:rPr>
        <w:t>300457）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2.0" w:type="dxa"/>
      </w:tblPr>
      <w:tblGrid>
        <w:gridCol w:w="5033"/>
        <w:gridCol w:w="5033"/>
      </w:tblGrid>
      <w:tr>
        <w:trPr>
          <w:trHeight w:hRule="exact" w:val="288"/>
        </w:trPr>
        <w:tc>
          <w:tcPr>
            <w:tcW w:type="dxa" w:w="1098"/>
            <w:tcBorders>
              <w:top w:sz="3.4000000953674316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2" w:after="0"/>
              <w:ind w:left="0" w:right="26" w:firstLine="0"/>
              <w:jc w:val="right"/>
            </w:pPr>
            <w:r>
              <w:rPr>
                <w:rFonts w:ascii="HYb1gj" w:hAnsi="HYb1gj" w:eastAsia="HYb1gj"/>
                <w:b w:val="0"/>
                <w:i w:val="0"/>
                <w:color w:val="221F1F"/>
                <w:sz w:val="18"/>
              </w:rPr>
              <w:t>[ 摘 要]</w:t>
            </w:r>
          </w:p>
        </w:tc>
        <w:tc>
          <w:tcPr>
            <w:tcW w:type="dxa" w:w="8096"/>
            <w:tcBorders>
              <w:top w:sz="3.4000000953674316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42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8"/>
              </w:rPr>
              <w:t>通过地铁8 号线王前区间连续下穿北京国铁直径线、地铁2 号线，17 号线北朝区间穿越南五环、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0066"/>
      </w:tblGrid>
      <w:tr>
        <w:trPr>
          <w:trHeight w:hRule="exact" w:val="280"/>
        </w:trPr>
        <w:tc>
          <w:tcPr>
            <w:tcW w:type="dxa" w:w="886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1002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8"/>
              </w:rPr>
              <w:t>南水北调东干渠、京津高铁，17 号线工香区间下穿机场线等案例，分析总结盾构穿越高等级风险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2.0" w:type="dxa"/>
      </w:tblPr>
      <w:tblGrid>
        <w:gridCol w:w="5033"/>
        <w:gridCol w:w="5033"/>
      </w:tblGrid>
      <w:tr>
        <w:trPr>
          <w:trHeight w:hRule="exact" w:val="564"/>
        </w:trPr>
        <w:tc>
          <w:tcPr>
            <w:tcW w:type="dxa" w:w="1098"/>
            <w:tcBorders>
              <w:bottom w:sz="3.4000000953674316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8" w:after="0"/>
              <w:ind w:left="0" w:right="26" w:firstLine="0"/>
              <w:jc w:val="right"/>
            </w:pPr>
            <w:r>
              <w:rPr>
                <w:rFonts w:ascii="HYb1gj" w:hAnsi="HYb1gj" w:eastAsia="HYb1gj"/>
                <w:b w:val="0"/>
                <w:i w:val="0"/>
                <w:color w:val="221F1F"/>
                <w:sz w:val="18"/>
              </w:rPr>
              <w:t>[ 关键词]</w:t>
            </w:r>
          </w:p>
        </w:tc>
        <w:tc>
          <w:tcPr>
            <w:tcW w:type="dxa" w:w="8096"/>
            <w:tcBorders>
              <w:bottom w:sz="3.4000000953674316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2" w:right="360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8"/>
              </w:rPr>
              <w:t>源的应对措施和风险管控技术，为类似工程提供参考。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8"/>
              </w:rPr>
              <w:t>盾构施工；曲线穿越；沉降控制；优化注浆；施工参数</w:t>
            </w:r>
          </w:p>
        </w:tc>
      </w:tr>
    </w:tbl>
    <w:p>
      <w:pPr>
        <w:autoSpaceDN w:val="0"/>
        <w:autoSpaceDE w:val="0"/>
        <w:widowControl/>
        <w:spacing w:line="240" w:lineRule="exact" w:before="52" w:after="402"/>
        <w:ind w:left="116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>DOI:10.13311/j.cnki.conmec.2022.12.018</w:t>
      </w:r>
    </w:p>
    <w:p>
      <w:pPr>
        <w:sectPr>
          <w:pgSz w:w="11906" w:h="16157"/>
          <w:pgMar w:top="384" w:right="14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848" w:right="0" w:firstLine="0"/>
        <w:jc w:val="left"/>
      </w:pPr>
      <w:r>
        <w:rPr>
          <w:rFonts w:ascii="Times" w:hAnsi="Times" w:eastAsia="Times"/>
          <w:b/>
          <w:i w:val="0"/>
          <w:color w:val="221F1F"/>
          <w:sz w:val="24"/>
        </w:rPr>
        <w:t>1</w:t>
      </w:r>
      <w:r>
        <w:rPr>
          <w:rFonts w:ascii="HYb1gj" w:hAnsi="HYb1gj" w:eastAsia="HYb1gj"/>
          <w:b w:val="0"/>
          <w:i w:val="0"/>
          <w:color w:val="221F1F"/>
          <w:sz w:val="24"/>
        </w:rPr>
        <w:t xml:space="preserve"> 工程概况</w:t>
      </w:r>
    </w:p>
    <w:p>
      <w:pPr>
        <w:autoSpaceDN w:val="0"/>
        <w:autoSpaceDE w:val="0"/>
        <w:widowControl/>
        <w:spacing w:line="283" w:lineRule="auto" w:before="244" w:after="0"/>
        <w:ind w:left="848" w:right="228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1）8</w:t>
      </w:r>
      <w:r>
        <w:rPr>
          <w:w w:val="101.00000381469727"/>
          <w:rFonts w:ascii="HYd1gj" w:hAnsi="HYd1gj" w:eastAsia="HYd1gj"/>
          <w:b w:val="0"/>
          <w:i w:val="0"/>
          <w:color w:val="221F1F"/>
          <w:sz w:val="20"/>
        </w:rPr>
        <w:t xml:space="preserve"> 号线下穿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2</w:t>
      </w:r>
      <w:r>
        <w:rPr>
          <w:w w:val="101.00000381469727"/>
          <w:rFonts w:ascii="HYd1gj" w:hAnsi="HYd1gj" w:eastAsia="HYd1gj"/>
          <w:b w:val="0"/>
          <w:i w:val="0"/>
          <w:color w:val="221F1F"/>
          <w:sz w:val="20"/>
        </w:rPr>
        <w:t xml:space="preserve"> 号线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、</w:t>
      </w:r>
      <w:r>
        <w:rPr>
          <w:w w:val="101.00000381469727"/>
          <w:rFonts w:ascii="HYd1gj" w:hAnsi="HYd1gj" w:eastAsia="HYd1gj"/>
          <w:b w:val="0"/>
          <w:i w:val="0"/>
          <w:color w:val="221F1F"/>
          <w:sz w:val="20"/>
        </w:rPr>
        <w:t>国铁直径线概况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北京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新建地铁8 号线王府井站～前门站盾构区间隧道长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约1 650m，顶覆土厚25～36m，在前门大街连续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斜下穿国铁直径线和地铁2 号线区间，曲线半径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450m，下穿后左线与地铁2 号线临近并行400m，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水平距离8.5～50m，如图1 所示。管片外径6m，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内径5.4m，环宽1.2m。地铁2 号线隧道为单层</w:t>
      </w:r>
    </w:p>
    <w:p>
      <w:pPr>
        <w:sectPr>
          <w:type w:val="continuous"/>
          <w:pgSz w:w="11906" w:h="16157"/>
          <w:pgMar w:top="384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autoSpaceDE w:val="0"/>
        <w:widowControl/>
        <w:spacing w:line="288" w:lineRule="auto" w:before="0" w:after="124"/>
        <w:ind w:left="226" w:right="34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场线东直门～三元桥站盾构区间，下穿长度各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30m，拱顶与既有线最小垂直净距2.94m，如图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2 所示。机场线道床敷设感应板供电，变形控制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指标+1/-2mm。区间下穿机场线场区地层从上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往下分别为杂填土、粉质黏土、黏质粉土、粉细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砂等，顶覆土厚23.5～26.3m，穿越土层主要为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中砂、粉质黏土、粉细砂、圆砾层，地下水主要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为层间潜水～承压水，含水层以砂层、卵砾石为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主渗透性强，和机场线夹层土主要为粉质黏土、</w:t>
      </w:r>
    </w:p>
    <w:p>
      <w:pPr>
        <w:sectPr>
          <w:type w:val="nextColumn"/>
          <w:pgSz w:w="11906" w:h="16157"/>
          <w:pgMar w:top="384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tabs>
          <w:tab w:pos="5666" w:val="left"/>
        </w:tabs>
        <w:autoSpaceDE w:val="0"/>
        <w:widowControl/>
        <w:spacing w:line="281" w:lineRule="auto" w:before="0" w:after="126"/>
        <w:ind w:left="848" w:right="3456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双跨矩形框架结构，顶板埋深7.5m，与盾构区间</w:t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粉细砂。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竖向净距17.5m；国铁直径线区间隧道拱顶埋深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13.2m，与盾构区间竖向净距3.6～4.2m，下穿影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响范围200m。区间拟建场区共分11 个大层，表层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为人工堆积层，以下为第四纪沉积层，共4 层地下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水。下穿地层主要为卵石-圆砾⑥、卵石-圆砾⑦。</w:t>
      </w:r>
    </w:p>
    <w:p>
      <w:pPr>
        <w:sectPr>
          <w:type w:val="continuous"/>
          <w:pgSz w:w="11906" w:h="16157"/>
          <w:pgMar w:top="384" w:right="14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848" w:right="144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水位线距地面25.8m，距结构顶面0.5～8.9m，区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间位于承压水中。</w:t>
      </w:r>
    </w:p>
    <w:p>
      <w:pPr>
        <w:autoSpaceDN w:val="0"/>
        <w:autoSpaceDE w:val="0"/>
        <w:widowControl/>
        <w:spacing w:line="198" w:lineRule="exact" w:before="1748" w:after="0"/>
        <w:ind w:left="950" w:right="0" w:firstLine="0"/>
        <w:jc w:val="left"/>
      </w:pPr>
      <w:r>
        <w:rPr>
          <w:rFonts w:ascii="HYb1gj" w:hAnsi="HYb1gj" w:eastAsia="HYb1gj"/>
          <w:b w:val="0"/>
          <w:i w:val="0"/>
          <w:color w:val="221F1F"/>
          <w:sz w:val="18"/>
        </w:rPr>
        <w:t>图</w:t>
      </w:r>
      <w:r>
        <w:rPr>
          <w:rFonts w:ascii="Times" w:hAnsi="Times" w:eastAsia="Times"/>
          <w:b/>
          <w:i w:val="0"/>
          <w:color w:val="221F1F"/>
          <w:sz w:val="18"/>
        </w:rPr>
        <w:t>1</w:t>
      </w:r>
      <w:r>
        <w:rPr>
          <w:rFonts w:ascii="HYb1gj" w:hAnsi="HYb1gj" w:eastAsia="HYb1gj"/>
          <w:b w:val="0"/>
          <w:i w:val="0"/>
          <w:color w:val="221F1F"/>
          <w:sz w:val="18"/>
        </w:rPr>
        <w:t>王前盾构区间下穿国铁直径线、地铁</w:t>
      </w:r>
      <w:r>
        <w:rPr>
          <w:rFonts w:ascii="Times" w:hAnsi="Times" w:eastAsia="Times"/>
          <w:b/>
          <w:i w:val="0"/>
          <w:color w:val="221F1F"/>
          <w:sz w:val="18"/>
        </w:rPr>
        <w:t>2</w:t>
      </w:r>
      <w:r>
        <w:rPr>
          <w:rFonts w:ascii="HYb1gj" w:hAnsi="HYb1gj" w:eastAsia="HYb1gj"/>
          <w:b w:val="0"/>
          <w:i w:val="0"/>
          <w:color w:val="221F1F"/>
          <w:sz w:val="18"/>
        </w:rPr>
        <w:t>号线平面关系图</w:t>
      </w:r>
    </w:p>
    <w:p>
      <w:pPr>
        <w:autoSpaceDN w:val="0"/>
        <w:autoSpaceDE w:val="0"/>
        <w:widowControl/>
        <w:spacing w:line="245" w:lineRule="auto" w:before="148" w:after="0"/>
        <w:ind w:left="848" w:right="144" w:firstLine="408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2）17</w:t>
      </w:r>
      <w:r>
        <w:rPr>
          <w:w w:val="101.00000381469727"/>
          <w:rFonts w:ascii="HYd1gj" w:hAnsi="HYd1gj" w:eastAsia="HYd1gj"/>
          <w:b w:val="0"/>
          <w:i w:val="0"/>
          <w:color w:val="221F1F"/>
          <w:sz w:val="20"/>
        </w:rPr>
        <w:t xml:space="preserve"> 号线下穿机场线概况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新建地铁17 号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线工人体育场～香河园站盾构区间垂直下穿机</w:t>
      </w:r>
    </w:p>
    <w:p>
      <w:pPr>
        <w:sectPr>
          <w:type w:val="continuous"/>
          <w:pgSz w:w="11906" w:h="16157"/>
          <w:pgMar w:top="384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tabs>
          <w:tab w:pos="634" w:val="left"/>
          <w:tab w:pos="654" w:val="left"/>
          <w:tab w:pos="4390" w:val="left"/>
        </w:tabs>
        <w:autoSpaceDE w:val="0"/>
        <w:widowControl/>
        <w:spacing w:line="318" w:lineRule="exact" w:before="0" w:after="464"/>
        <w:ind w:left="226" w:right="0" w:firstLine="0"/>
        <w:jc w:val="left"/>
      </w:pPr>
      <w:r>
        <w:tab/>
      </w:r>
      <w:r>
        <w:rPr>
          <w:rFonts w:ascii="HYb1gj" w:hAnsi="HYb1gj" w:eastAsia="HYb1gj"/>
          <w:b w:val="0"/>
          <w:i w:val="0"/>
          <w:color w:val="221F1F"/>
          <w:sz w:val="18"/>
        </w:rPr>
        <w:t>图</w:t>
      </w:r>
      <w:r>
        <w:rPr>
          <w:rFonts w:ascii="Times" w:hAnsi="Times" w:eastAsia="Times"/>
          <w:b/>
          <w:i w:val="0"/>
          <w:color w:val="221F1F"/>
          <w:sz w:val="18"/>
        </w:rPr>
        <w:t>2</w:t>
      </w:r>
      <w:r>
        <w:rPr>
          <w:rFonts w:ascii="HYb1gj" w:hAnsi="HYb1gj" w:eastAsia="HYb1gj"/>
          <w:b w:val="0"/>
          <w:i w:val="0"/>
          <w:color w:val="221F1F"/>
          <w:sz w:val="18"/>
        </w:rPr>
        <w:t xml:space="preserve"> 工香盾构区间与既有机场线平面关系图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3）17</w:t>
      </w:r>
      <w:r>
        <w:rPr>
          <w:w w:val="101.00000381469727"/>
          <w:rFonts w:ascii="HYd1gj" w:hAnsi="HYd1gj" w:eastAsia="HYd1gj"/>
          <w:b w:val="0"/>
          <w:i w:val="0"/>
          <w:color w:val="221F1F"/>
          <w:sz w:val="20"/>
        </w:rPr>
        <w:t xml:space="preserve"> 号线下穿五环路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、</w:t>
      </w:r>
      <w:r>
        <w:rPr>
          <w:w w:val="101.00000381469727"/>
          <w:rFonts w:ascii="HYd1gj" w:hAnsi="HYd1gj" w:eastAsia="HYd1gj"/>
          <w:b w:val="0"/>
          <w:i w:val="0"/>
          <w:color w:val="221F1F"/>
          <w:sz w:val="20"/>
        </w:rPr>
        <w:t>上穿南水北调东干渠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、</w:t>
      </w:r>
      <w:r>
        <w:rPr>
          <w:w w:val="101.00000381469727"/>
          <w:rFonts w:ascii="HYd1gj" w:hAnsi="HYd1gj" w:eastAsia="HYd1gj"/>
          <w:b w:val="0"/>
          <w:i w:val="0"/>
          <w:color w:val="221F1F"/>
          <w:sz w:val="20"/>
        </w:rPr>
        <w:t>下穿京津城际概况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新建地铁17 号线北神树站～朝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阳港站盾构区间长5 635m，在康化桥附近下穿东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南五环路基段，上穿南水北调东干渠（夹角74°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顶覆土6.99m，竖向净距6.4m，盾构隧洞双层衬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砌，外层外径6.0m 内径5.4m，内层0.4m 厚模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筑防水混凝土），在K9+343～K9+526.7 范围下穿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京津城际铁路桥（跨五环路三跨预应力连续箱梁中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跨穿越，交角40°，无缝双线无砟轨道。左线与</w:t>
      </w:r>
    </w:p>
    <w:p>
      <w:pPr>
        <w:sectPr>
          <w:type w:val="nextColumn"/>
          <w:pgSz w:w="11906" w:h="16157"/>
          <w:pgMar w:top="384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848" w:right="0" w:firstLine="0"/>
        <w:jc w:val="left"/>
      </w:pPr>
      <w:r>
        <w:rPr>
          <w:rFonts w:ascii="HYb1gj" w:hAnsi="HYb1gj" w:eastAsia="HYb1gj"/>
          <w:b w:val="0"/>
          <w:i w:val="0"/>
          <w:color w:val="6C6E70"/>
          <w:sz w:val="32"/>
        </w:rPr>
        <w:t>14</w:t>
      </w:r>
      <w:r>
        <w:rPr>
          <w:rFonts w:ascii="HYb1gj" w:hAnsi="HYb1gj" w:eastAsia="HYb1gj"/>
          <w:b w:val="0"/>
          <w:i w:val="0"/>
          <w:color w:val="221F1F"/>
          <w:sz w:val="15"/>
        </w:rPr>
        <w:t xml:space="preserve"> 2022(12) </w:t>
      </w:r>
      <w:r>
        <w:rPr>
          <w:rFonts w:ascii="HYb1gj" w:hAnsi="HYb1gj" w:eastAsia="HYb1gj"/>
          <w:b w:val="0"/>
          <w:i w:val="0"/>
          <w:color w:val="221F1F"/>
          <w:sz w:val="14"/>
        </w:rPr>
        <w:t xml:space="preserve">CONSTRUCTION MECHANIZATION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157"/>
          <w:pgMar w:top="384" w:right="14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6"/>
        <w:ind w:left="0" w:right="0"/>
      </w:pPr>
    </w:p>
    <w:p>
      <w:pPr>
        <w:autoSpaceDN w:val="0"/>
        <w:autoSpaceDE w:val="0"/>
        <w:widowControl/>
        <w:spacing w:line="190" w:lineRule="auto" w:before="0" w:after="790"/>
        <w:ind w:left="0" w:right="20" w:firstLine="0"/>
        <w:jc w:val="right"/>
      </w:pPr>
      <w:r>
        <w:rPr>
          <w:rFonts w:ascii="STXihei" w:hAnsi="STXihei" w:eastAsia="STXihei"/>
          <w:b w:val="0"/>
          <w:i w:val="0"/>
          <w:color w:val="626366"/>
          <w:sz w:val="22"/>
        </w:rPr>
        <w:t>盾构工程</w:t>
      </w:r>
      <w:r>
        <w:rPr>
          <w:rFonts w:ascii="HYb9gj" w:hAnsi="HYb9gj" w:eastAsia="HYb9gj"/>
          <w:b w:val="0"/>
          <w:i w:val="0"/>
          <w:color w:val="6C6E70"/>
          <w:sz w:val="28"/>
        </w:rPr>
        <w:t>Shield Equipment &amp; Project</w:t>
      </w:r>
    </w:p>
    <w:p>
      <w:pPr>
        <w:sectPr>
          <w:pgSz w:w="11906" w:h="16157"/>
          <w:pgMar w:top="384" w:right="88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074" w:right="222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281#、右线与282# 主墩桩基邻近，水平最近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距离18.5m、18.1m。墩高8.8m，桩基为24 根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69m 长钻孔灌注桩）。下穿五环路段隧道所处地层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主要为细砂层、粉质黏土层、粉砂层。上穿南水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北调东干渠段以砂土和黏性土交互地层为主，地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铁区间与东干渠夹层主要为粉土、粉细砂及细中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砂。下穿京津城际高铁桥段地层主要为粉细砂及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粉砂层，拱顶以上为砂质粉土、素填土等细颗粒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地层。两层地下水层间潜水～承压水及承压水标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高分别为8.3m、5.874m，位于区间隧道底板以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下，东干渠洞身范围内。</w:t>
      </w:r>
    </w:p>
    <w:p>
      <w:pPr>
        <w:autoSpaceDN w:val="0"/>
        <w:autoSpaceDE w:val="0"/>
        <w:widowControl/>
        <w:spacing w:line="266" w:lineRule="exact" w:before="272" w:after="0"/>
        <w:ind w:left="1074" w:right="0" w:firstLine="0"/>
        <w:jc w:val="left"/>
      </w:pPr>
      <w:r>
        <w:rPr>
          <w:rFonts w:ascii="Times" w:hAnsi="Times" w:eastAsia="Times"/>
          <w:b/>
          <w:i w:val="0"/>
          <w:color w:val="221F1F"/>
          <w:sz w:val="24"/>
        </w:rPr>
        <w:t>2</w:t>
      </w:r>
      <w:r>
        <w:rPr>
          <w:rFonts w:ascii="HYb1gj" w:hAnsi="HYb1gj" w:eastAsia="HYb1gj"/>
          <w:b w:val="0"/>
          <w:i w:val="0"/>
          <w:color w:val="221F1F"/>
          <w:sz w:val="24"/>
        </w:rPr>
        <w:t xml:space="preserve"> 工程风险源及风险管控措施</w:t>
      </w:r>
    </w:p>
    <w:p>
      <w:pPr>
        <w:autoSpaceDN w:val="0"/>
        <w:autoSpaceDE w:val="0"/>
        <w:widowControl/>
        <w:spacing w:line="262" w:lineRule="auto" w:before="244" w:after="0"/>
        <w:ind w:left="1074" w:right="222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工程风险源如表1 所示。盾构施工引起地表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沉降主要由盾壳与土体之间的摩擦力和土体损失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造成，分别占比约30%、70%，须通过针对措施</w:t>
      </w:r>
    </w:p>
    <w:p>
      <w:pPr>
        <w:sectPr>
          <w:type w:val="continuous"/>
          <w:pgSz w:w="11906" w:h="16157"/>
          <w:pgMar w:top="384" w:right="888" w:bottom="168" w:left="400" w:header="720" w:footer="720" w:gutter="0"/>
          <w:cols w:num="2" w:equalWidth="0">
            <w:col w:w="5662" w:space="0"/>
            <w:col w:w="495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30" w:right="288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盾构区间均设置试验段。同穿越既有线相同组段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划分的最优施工参数如表2 所示。</w:t>
      </w:r>
    </w:p>
    <w:p>
      <w:pPr>
        <w:autoSpaceDN w:val="0"/>
        <w:autoSpaceDE w:val="0"/>
        <w:widowControl/>
        <w:spacing w:line="200" w:lineRule="exact" w:before="108" w:after="52"/>
        <w:ind w:left="478" w:right="0" w:firstLine="0"/>
        <w:jc w:val="left"/>
      </w:pPr>
      <w:r>
        <w:rPr>
          <w:rFonts w:ascii="HYb1gj" w:hAnsi="HYb1gj" w:eastAsia="HYb1gj"/>
          <w:b w:val="0"/>
          <w:i w:val="0"/>
          <w:color w:val="221F1F"/>
          <w:sz w:val="18"/>
        </w:rPr>
        <w:t>表</w:t>
      </w:r>
      <w:r>
        <w:rPr>
          <w:rFonts w:ascii="Times" w:hAnsi="Times" w:eastAsia="Times"/>
          <w:b/>
          <w:i w:val="0"/>
          <w:color w:val="221F1F"/>
          <w:sz w:val="18"/>
        </w:rPr>
        <w:t>2</w:t>
      </w:r>
      <w:r>
        <w:rPr>
          <w:rFonts w:ascii="HYb1gj" w:hAnsi="HYb1gj" w:eastAsia="HYb1gj"/>
          <w:b w:val="0"/>
          <w:i w:val="0"/>
          <w:color w:val="221F1F"/>
          <w:sz w:val="18"/>
        </w:rPr>
        <w:t>下穿既有线相同组段划分的盾构施工参数表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3.99999999999977" w:type="dxa"/>
      </w:tblPr>
      <w:tblGrid>
        <w:gridCol w:w="2654"/>
        <w:gridCol w:w="2654"/>
        <w:gridCol w:w="2654"/>
        <w:gridCol w:w="2654"/>
      </w:tblGrid>
      <w:tr>
        <w:trPr>
          <w:trHeight w:hRule="exact" w:val="330"/>
        </w:trPr>
        <w:tc>
          <w:tcPr>
            <w:tcW w:type="dxa" w:w="1572"/>
            <w:tcBorders>
              <w:top w:sz="5.671999931335449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项目</w:t>
            </w:r>
          </w:p>
        </w:tc>
        <w:tc>
          <w:tcPr>
            <w:tcW w:type="dxa" w:w="990"/>
            <w:tcBorders>
              <w:start w:sz="2.2639999389648438" w:val="single" w:color="#221F1F"/>
              <w:top w:sz="5.671999931335449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王前区间</w:t>
            </w:r>
          </w:p>
        </w:tc>
        <w:tc>
          <w:tcPr>
            <w:tcW w:type="dxa" w:w="990"/>
            <w:tcBorders>
              <w:start w:sz="2.2639999389648438" w:val="single" w:color="#221F1F"/>
              <w:top w:sz="5.671999931335449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工香区间</w:t>
            </w:r>
          </w:p>
        </w:tc>
        <w:tc>
          <w:tcPr>
            <w:tcW w:type="dxa" w:w="838"/>
            <w:tcBorders>
              <w:start w:sz="2.2639999389648438" w:val="single" w:color="#221F1F"/>
              <w:top w:sz="5.671999931335449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北朝区间</w:t>
            </w:r>
          </w:p>
        </w:tc>
      </w:tr>
      <w:tr>
        <w:trPr>
          <w:trHeight w:hRule="exact" w:val="330"/>
        </w:trPr>
        <w:tc>
          <w:tcPr>
            <w:tcW w:type="dxa" w:w="1572"/>
            <w:tcBorders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上部土压力（bar）</w:t>
            </w:r>
          </w:p>
        </w:tc>
        <w:tc>
          <w:tcPr>
            <w:tcW w:type="dxa" w:w="99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2.1～2.9</w:t>
            </w:r>
          </w:p>
        </w:tc>
        <w:tc>
          <w:tcPr>
            <w:tcW w:type="dxa" w:w="99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1.2～1.6</w:t>
            </w:r>
          </w:p>
        </w:tc>
        <w:tc>
          <w:tcPr>
            <w:tcW w:type="dxa" w:w="838"/>
            <w:tcBorders>
              <w:start w:sz="2.2639999389648438" w:val="single" w:color="#221F1F"/>
              <w:top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0.7～1.2</w:t>
            </w:r>
          </w:p>
        </w:tc>
      </w:tr>
      <w:tr>
        <w:trPr>
          <w:trHeight w:hRule="exact" w:val="610"/>
        </w:trPr>
        <w:tc>
          <w:tcPr>
            <w:tcW w:type="dxa" w:w="1572"/>
            <w:tcBorders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4" w:after="0"/>
              <w:ind w:left="288" w:right="288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平均掘进速度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（mm/min）</w:t>
            </w:r>
          </w:p>
        </w:tc>
        <w:tc>
          <w:tcPr>
            <w:tcW w:type="dxa" w:w="99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20～30</w:t>
            </w:r>
          </w:p>
        </w:tc>
        <w:tc>
          <w:tcPr>
            <w:tcW w:type="dxa" w:w="99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55～75</w:t>
            </w:r>
          </w:p>
        </w:tc>
        <w:tc>
          <w:tcPr>
            <w:tcW w:type="dxa" w:w="838"/>
            <w:tcBorders>
              <w:start w:sz="2.2639999389648438" w:val="single" w:color="#221F1F"/>
              <w:top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30～45</w:t>
            </w:r>
          </w:p>
        </w:tc>
      </w:tr>
      <w:tr>
        <w:trPr>
          <w:trHeight w:hRule="exact" w:val="330"/>
        </w:trPr>
        <w:tc>
          <w:tcPr>
            <w:tcW w:type="dxa" w:w="1572"/>
            <w:tcBorders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刀盘转速（rpm）</w:t>
            </w:r>
          </w:p>
        </w:tc>
        <w:tc>
          <w:tcPr>
            <w:tcW w:type="dxa" w:w="99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0.8～1.0</w:t>
            </w:r>
          </w:p>
        </w:tc>
        <w:tc>
          <w:tcPr>
            <w:tcW w:type="dxa" w:w="99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0.8～1.0</w:t>
            </w:r>
          </w:p>
        </w:tc>
        <w:tc>
          <w:tcPr>
            <w:tcW w:type="dxa" w:w="838"/>
            <w:tcBorders>
              <w:start w:sz="2.2639999389648438" w:val="single" w:color="#221F1F"/>
              <w:top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0.8～1.0</w:t>
            </w:r>
          </w:p>
        </w:tc>
      </w:tr>
      <w:tr>
        <w:trPr>
          <w:trHeight w:hRule="exact" w:val="330"/>
        </w:trPr>
        <w:tc>
          <w:tcPr>
            <w:tcW w:type="dxa" w:w="1572"/>
            <w:tcBorders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刀盘扭矩（kNm）</w:t>
            </w:r>
          </w:p>
        </w:tc>
        <w:tc>
          <w:tcPr>
            <w:tcW w:type="dxa" w:w="99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1600～1800</w:t>
            </w:r>
          </w:p>
        </w:tc>
        <w:tc>
          <w:tcPr>
            <w:tcW w:type="dxa" w:w="99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3000～4500</w:t>
            </w:r>
          </w:p>
        </w:tc>
        <w:tc>
          <w:tcPr>
            <w:tcW w:type="dxa" w:w="838"/>
            <w:tcBorders>
              <w:start w:sz="2.2639999389648438" w:val="single" w:color="#221F1F"/>
              <w:top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2500～3500</w:t>
            </w:r>
          </w:p>
        </w:tc>
      </w:tr>
      <w:tr>
        <w:trPr>
          <w:trHeight w:hRule="exact" w:val="326"/>
        </w:trPr>
        <w:tc>
          <w:tcPr>
            <w:tcW w:type="dxa" w:w="1572"/>
            <w:tcBorders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总推力（kN）</w:t>
            </w:r>
          </w:p>
        </w:tc>
        <w:tc>
          <w:tcPr>
            <w:tcW w:type="dxa" w:w="99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12000～14000</w:t>
            </w:r>
          </w:p>
        </w:tc>
        <w:tc>
          <w:tcPr>
            <w:tcW w:type="dxa" w:w="99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 xml:space="preserve"> 13000～15000 </w:t>
            </w:r>
          </w:p>
        </w:tc>
        <w:tc>
          <w:tcPr>
            <w:tcW w:type="dxa" w:w="838"/>
            <w:tcBorders>
              <w:start w:sz="2.2639999389648438" w:val="single" w:color="#221F1F"/>
              <w:top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8800～14000</w:t>
            </w:r>
          </w:p>
        </w:tc>
      </w:tr>
      <w:tr>
        <w:trPr>
          <w:trHeight w:hRule="exact" w:val="330"/>
        </w:trPr>
        <w:tc>
          <w:tcPr>
            <w:tcW w:type="dxa" w:w="1572"/>
            <w:tcBorders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克泥效（m</w:t>
            </w:r>
            <w:r>
              <w:rPr>
                <w:w w:val="103.6444452073839"/>
                <w:rFonts w:ascii="HYa6gj" w:hAnsi="HYa6gj" w:eastAsia="HYa6gj"/>
                <w:b w:val="0"/>
                <w:i w:val="0"/>
                <w:color w:val="221F1F"/>
                <w:sz w:val="9"/>
              </w:rPr>
              <w:t>3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/ 环）</w:t>
            </w:r>
          </w:p>
        </w:tc>
        <w:tc>
          <w:tcPr>
            <w:tcW w:type="dxa" w:w="99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无</w:t>
            </w:r>
          </w:p>
        </w:tc>
        <w:tc>
          <w:tcPr>
            <w:tcW w:type="dxa" w:w="99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0.4</w:t>
            </w:r>
          </w:p>
        </w:tc>
        <w:tc>
          <w:tcPr>
            <w:tcW w:type="dxa" w:w="838"/>
            <w:tcBorders>
              <w:start w:sz="2.2639999389648438" w:val="single" w:color="#221F1F"/>
              <w:top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无</w:t>
            </w:r>
          </w:p>
        </w:tc>
      </w:tr>
      <w:tr>
        <w:trPr>
          <w:trHeight w:hRule="exact" w:val="328"/>
        </w:trPr>
        <w:tc>
          <w:tcPr>
            <w:tcW w:type="dxa" w:w="1572"/>
            <w:tcBorders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注浆压力（MPa）</w:t>
            </w:r>
          </w:p>
        </w:tc>
        <w:tc>
          <w:tcPr>
            <w:tcW w:type="dxa" w:w="99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0.2～0.4</w:t>
            </w:r>
          </w:p>
        </w:tc>
        <w:tc>
          <w:tcPr>
            <w:tcW w:type="dxa" w:w="99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0.2～0.5</w:t>
            </w:r>
          </w:p>
        </w:tc>
        <w:tc>
          <w:tcPr>
            <w:tcW w:type="dxa" w:w="838"/>
            <w:tcBorders>
              <w:start w:sz="2.2639999389648438" w:val="single" w:color="#221F1F"/>
              <w:top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0.2～0.3</w:t>
            </w:r>
          </w:p>
        </w:tc>
      </w:tr>
      <w:tr>
        <w:trPr>
          <w:trHeight w:hRule="exact" w:val="328"/>
        </w:trPr>
        <w:tc>
          <w:tcPr>
            <w:tcW w:type="dxa" w:w="1572"/>
            <w:tcBorders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同步注浆量（m</w:t>
            </w:r>
            <w:r>
              <w:rPr>
                <w:w w:val="103.6444452073839"/>
                <w:rFonts w:ascii="HYa6gj" w:hAnsi="HYa6gj" w:eastAsia="HYa6gj"/>
                <w:b w:val="0"/>
                <w:i w:val="0"/>
                <w:color w:val="221F1F"/>
                <w:sz w:val="9"/>
              </w:rPr>
              <w:t>3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/ 环）</w:t>
            </w:r>
          </w:p>
        </w:tc>
        <w:tc>
          <w:tcPr>
            <w:tcW w:type="dxa" w:w="99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6</w:t>
            </w:r>
          </w:p>
        </w:tc>
        <w:tc>
          <w:tcPr>
            <w:tcW w:type="dxa" w:w="99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5</w:t>
            </w:r>
          </w:p>
        </w:tc>
        <w:tc>
          <w:tcPr>
            <w:tcW w:type="dxa" w:w="838"/>
            <w:tcBorders>
              <w:start w:sz="2.2639999389648438" w:val="single" w:color="#221F1F"/>
              <w:top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5.5～6.2</w:t>
            </w:r>
          </w:p>
        </w:tc>
      </w:tr>
      <w:tr>
        <w:trPr>
          <w:trHeight w:hRule="exact" w:val="330"/>
        </w:trPr>
        <w:tc>
          <w:tcPr>
            <w:tcW w:type="dxa" w:w="1572"/>
            <w:tcBorders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二次注浆</w:t>
            </w:r>
          </w:p>
        </w:tc>
        <w:tc>
          <w:tcPr>
            <w:tcW w:type="dxa" w:w="99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每环一次</w:t>
            </w:r>
          </w:p>
        </w:tc>
        <w:tc>
          <w:tcPr>
            <w:tcW w:type="dxa" w:w="99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每环一次</w:t>
            </w:r>
          </w:p>
        </w:tc>
        <w:tc>
          <w:tcPr>
            <w:tcW w:type="dxa" w:w="838"/>
            <w:tcBorders>
              <w:start w:sz="2.2639999389648438" w:val="single" w:color="#221F1F"/>
              <w:top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每环一次</w:t>
            </w:r>
          </w:p>
        </w:tc>
      </w:tr>
      <w:tr>
        <w:trPr>
          <w:trHeight w:hRule="exact" w:val="330"/>
        </w:trPr>
        <w:tc>
          <w:tcPr>
            <w:tcW w:type="dxa" w:w="1572"/>
            <w:tcBorders>
              <w:top w:sz="2.2639999389648438" w:val="single" w:color="#221F1F"/>
              <w:end w:sz="2.2639999389648438" w:val="single" w:color="#221F1F"/>
              <w:bottom w:sz="5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出渣量（m</w:t>
            </w:r>
            <w:r>
              <w:rPr>
                <w:w w:val="103.6444452073839"/>
                <w:rFonts w:ascii="HYa6gj" w:hAnsi="HYa6gj" w:eastAsia="HYa6gj"/>
                <w:b w:val="0"/>
                <w:i w:val="0"/>
                <w:color w:val="221F1F"/>
                <w:sz w:val="9"/>
              </w:rPr>
              <w:t>3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/ 环）</w:t>
            </w:r>
          </w:p>
        </w:tc>
        <w:tc>
          <w:tcPr>
            <w:tcW w:type="dxa" w:w="99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5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40</w:t>
            </w:r>
          </w:p>
        </w:tc>
        <w:tc>
          <w:tcPr>
            <w:tcW w:type="dxa" w:w="99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5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40～45</w:t>
            </w:r>
          </w:p>
        </w:tc>
        <w:tc>
          <w:tcPr>
            <w:tcW w:type="dxa" w:w="838"/>
            <w:tcBorders>
              <w:start w:sz="2.2639999389648438" w:val="single" w:color="#221F1F"/>
              <w:top w:sz="2.2639999389648438" w:val="single" w:color="#221F1F"/>
              <w:bottom w:sz="5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40～47</w:t>
            </w:r>
          </w:p>
        </w:tc>
      </w:tr>
    </w:tbl>
    <w:p>
      <w:pPr>
        <w:autoSpaceDN w:val="0"/>
        <w:autoSpaceDE w:val="0"/>
        <w:widowControl/>
        <w:spacing w:line="224" w:lineRule="exact" w:before="92" w:after="106"/>
        <w:ind w:left="230" w:right="0" w:firstLine="0"/>
        <w:jc w:val="left"/>
      </w:pP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.</w:t>
      </w: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3</w:t>
      </w:r>
      <w:r>
        <w:rPr>
          <w:w w:val="101.00000381469727"/>
          <w:rFonts w:ascii="HYb1gj" w:hAnsi="HYb1gj" w:eastAsia="HYb1gj"/>
          <w:b w:val="0"/>
          <w:i w:val="0"/>
          <w:color w:val="221F1F"/>
          <w:sz w:val="20"/>
        </w:rPr>
        <w:t xml:space="preserve"> 施工技术及变形控制措施</w:t>
      </w:r>
    </w:p>
    <w:p>
      <w:pPr>
        <w:sectPr>
          <w:type w:val="nextColumn"/>
          <w:pgSz w:w="11906" w:h="16157"/>
          <w:pgMar w:top="384" w:right="888" w:bottom="168" w:left="400" w:header="720" w:footer="720" w:gutter="0"/>
          <w:cols w:num="2" w:equalWidth="0">
            <w:col w:w="5662" w:space="0"/>
            <w:col w:w="4955" w:space="0"/>
          </w:cols>
          <w:docGrid w:linePitch="360"/>
        </w:sectPr>
      </w:pPr>
    </w:p>
    <w:p>
      <w:pPr>
        <w:autoSpaceDN w:val="0"/>
        <w:tabs>
          <w:tab w:pos="5892" w:val="left"/>
        </w:tabs>
        <w:autoSpaceDE w:val="0"/>
        <w:widowControl/>
        <w:spacing w:line="204" w:lineRule="auto" w:before="0" w:after="102"/>
        <w:ind w:left="1074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控制变形。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2.3.1</w:t>
      </w:r>
      <w:r>
        <w:rPr>
          <w:w w:val="101.00000381469727"/>
          <w:rFonts w:ascii="HYc1gj" w:hAnsi="HYc1gj" w:eastAsia="HYc1gj"/>
          <w:b w:val="0"/>
          <w:i w:val="0"/>
          <w:color w:val="221F1F"/>
          <w:sz w:val="20"/>
        </w:rPr>
        <w:t xml:space="preserve"> 优化并控制掘进参数</w:t>
      </w:r>
    </w:p>
    <w:p>
      <w:pPr>
        <w:sectPr>
          <w:type w:val="continuous"/>
          <w:pgSz w:w="11906" w:h="16157"/>
          <w:pgMar w:top="384" w:right="888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482" w:val="left"/>
        </w:tabs>
        <w:autoSpaceDE w:val="0"/>
        <w:widowControl/>
        <w:spacing w:line="292" w:lineRule="exact" w:before="0" w:after="0"/>
        <w:ind w:left="1074" w:right="144" w:firstLine="0"/>
        <w:jc w:val="left"/>
      </w:pP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.</w:t>
      </w: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1</w:t>
      </w:r>
      <w:r>
        <w:rPr>
          <w:w w:val="101.00000381469727"/>
          <w:rFonts w:ascii="HYb1gj" w:hAnsi="HYb1gj" w:eastAsia="HYb1gj"/>
          <w:b w:val="0"/>
          <w:i w:val="0"/>
          <w:color w:val="221F1F"/>
          <w:sz w:val="20"/>
        </w:rPr>
        <w:t xml:space="preserve"> 优化盾构选型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考虑地质及环境因素，王前区间采用泥水平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衡盾构，工香、北朝区间采用土压平衡盾构。</w:t>
      </w:r>
    </w:p>
    <w:p>
      <w:pPr>
        <w:autoSpaceDN w:val="0"/>
        <w:autoSpaceDE w:val="0"/>
        <w:widowControl/>
        <w:spacing w:line="271" w:lineRule="auto" w:before="126" w:after="0"/>
        <w:ind w:left="1074" w:right="226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泥水平衡盾构优势：①泥水压力传递速度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快而均匀，对开挖面周边土体干扰少，开挖面平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衡土压力和地面沉降量控制精度高；②刀具刀盘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磨损小，易于长距离掘进；③在承压水中能规避</w:t>
      </w:r>
    </w:p>
    <w:p>
      <w:pPr>
        <w:sectPr>
          <w:type w:val="continuous"/>
          <w:pgSz w:w="11906" w:h="16157"/>
          <w:pgMar w:top="384" w:right="888" w:bottom="168" w:left="400" w:header="720" w:footer="720" w:gutter="0"/>
          <w:cols w:num="2" w:equalWidth="0">
            <w:col w:w="5666" w:space="0"/>
            <w:col w:w="4951" w:space="0"/>
          </w:cols>
          <w:docGrid w:linePitch="360"/>
        </w:sectPr>
      </w:pPr>
    </w:p>
    <w:p>
      <w:pPr>
        <w:autoSpaceDN w:val="0"/>
        <w:tabs>
          <w:tab w:pos="636" w:val="left"/>
        </w:tabs>
        <w:autoSpaceDE w:val="0"/>
        <w:widowControl/>
        <w:spacing w:line="245" w:lineRule="auto" w:before="0" w:after="0"/>
        <w:ind w:left="226" w:right="288" w:firstLine="0"/>
        <w:jc w:val="left"/>
      </w:pP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依监测数据严控并动态调整各项掘进参数，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穿越既有线参数如表3～表5 所示。</w:t>
      </w:r>
    </w:p>
    <w:p>
      <w:pPr>
        <w:autoSpaceDN w:val="0"/>
        <w:tabs>
          <w:tab w:pos="636" w:val="left"/>
        </w:tabs>
        <w:autoSpaceDE w:val="0"/>
        <w:widowControl/>
        <w:spacing w:line="281" w:lineRule="auto" w:before="108" w:after="126"/>
        <w:ind w:left="226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2.3.2</w:t>
      </w:r>
      <w:r>
        <w:rPr>
          <w:w w:val="101.00000381469727"/>
          <w:rFonts w:ascii="HYc1gj" w:hAnsi="HYc1gj" w:eastAsia="HYc1gj"/>
          <w:b w:val="0"/>
          <w:i w:val="0"/>
          <w:color w:val="221F1F"/>
          <w:sz w:val="20"/>
        </w:rPr>
        <w:t xml:space="preserve"> 掘进过程变形控制措施</w:t>
      </w:r>
      <w:r>
        <w:br/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穿越前检修盾构及各配套设施，确保平稳、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连续穿越；及时注浆填充，严控注浆参数，确保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变形受控；保持盾构姿态，控制轴线偏差，减小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地层扰动；控制拼装精度，避免衬砌变形，降低</w:t>
      </w:r>
    </w:p>
    <w:p>
      <w:pPr>
        <w:sectPr>
          <w:type w:val="nextColumn"/>
          <w:pgSz w:w="11906" w:h="16157"/>
          <w:pgMar w:top="384" w:right="888" w:bottom="168" w:left="400" w:header="720" w:footer="720" w:gutter="0"/>
          <w:cols w:num="2" w:equalWidth="0">
            <w:col w:w="5666" w:space="0"/>
            <w:col w:w="4951" w:space="0"/>
          </w:cols>
          <w:docGrid w:linePitch="360"/>
        </w:sectPr>
      </w:pPr>
    </w:p>
    <w:p>
      <w:pPr>
        <w:autoSpaceDN w:val="0"/>
        <w:tabs>
          <w:tab w:pos="5892" w:val="left"/>
        </w:tabs>
        <w:autoSpaceDE w:val="0"/>
        <w:widowControl/>
        <w:spacing w:line="185" w:lineRule="auto" w:before="0" w:after="0"/>
        <w:ind w:left="1074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突涌风险；④出土由泥水管道输送，速度快而连</w:t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地表下沉。</w:t>
      </w:r>
    </w:p>
    <w:p>
      <w:pPr>
        <w:autoSpaceDN w:val="0"/>
        <w:tabs>
          <w:tab w:pos="5892" w:val="left"/>
        </w:tabs>
        <w:autoSpaceDE w:val="0"/>
        <w:widowControl/>
        <w:spacing w:line="204" w:lineRule="auto" w:before="108" w:after="122"/>
        <w:ind w:left="1074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续，减少电机车运输量，施工进度快；⑤刀盘所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2.3.3</w:t>
      </w:r>
      <w:r>
        <w:rPr>
          <w:w w:val="101.00000381469727"/>
          <w:rFonts w:ascii="HYc1gj" w:hAnsi="HYc1gj" w:eastAsia="HYc1gj"/>
          <w:b w:val="0"/>
          <w:i w:val="0"/>
          <w:color w:val="221F1F"/>
          <w:sz w:val="20"/>
        </w:rPr>
        <w:t xml:space="preserve"> 渣土改良</w:t>
      </w:r>
    </w:p>
    <w:p>
      <w:pPr>
        <w:sectPr>
          <w:type w:val="continuous"/>
          <w:pgSz w:w="11906" w:h="16157"/>
          <w:pgMar w:top="384" w:right="88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1074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受扭矩小，进一步较小土层扰动。</w:t>
      </w:r>
    </w:p>
    <w:p>
      <w:pPr>
        <w:autoSpaceDN w:val="0"/>
        <w:autoSpaceDE w:val="0"/>
        <w:widowControl/>
        <w:spacing w:line="185" w:lineRule="auto" w:before="126" w:after="0"/>
        <w:ind w:left="0" w:right="346" w:firstLine="0"/>
        <w:jc w:val="righ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土压平衡盾构可减少泥浆处理设备及场地。</w:t>
      </w:r>
    </w:p>
    <w:p>
      <w:pPr>
        <w:autoSpaceDN w:val="0"/>
        <w:tabs>
          <w:tab w:pos="1482" w:val="left"/>
        </w:tabs>
        <w:autoSpaceDE w:val="0"/>
        <w:widowControl/>
        <w:spacing w:line="326" w:lineRule="exact" w:before="4" w:after="0"/>
        <w:ind w:left="1074" w:right="144" w:firstLine="0"/>
        <w:jc w:val="left"/>
      </w:pP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.</w:t>
      </w: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2</w:t>
      </w:r>
      <w:r>
        <w:rPr>
          <w:w w:val="101.00000381469727"/>
          <w:rFonts w:ascii="HYb1gj" w:hAnsi="HYb1gj" w:eastAsia="HYb1gj"/>
          <w:b w:val="0"/>
          <w:i w:val="0"/>
          <w:color w:val="221F1F"/>
          <w:sz w:val="20"/>
        </w:rPr>
        <w:t xml:space="preserve"> 设置最优参数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为确保正式穿越时掘进顺畅、沉降可控，三</w:t>
      </w:r>
    </w:p>
    <w:p>
      <w:pPr>
        <w:sectPr>
          <w:type w:val="continuous"/>
          <w:pgSz w:w="11906" w:h="16157"/>
          <w:pgMar w:top="384" w:right="888" w:bottom="168" w:left="400" w:header="720" w:footer="720" w:gutter="0"/>
          <w:cols w:num="2" w:equalWidth="0">
            <w:col w:w="5666" w:space="0"/>
            <w:col w:w="4951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226" w:right="358" w:firstLine="41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工香和北朝区间通过注入膨润土、泡沫剂及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刀盘中心加水实现渣土改良，提高土体塑性流动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性，降低推力扭矩和刀具磨损，减少地层扰动。</w:t>
      </w:r>
    </w:p>
    <w:p>
      <w:pPr>
        <w:autoSpaceDN w:val="0"/>
        <w:autoSpaceDE w:val="0"/>
        <w:widowControl/>
        <w:spacing w:line="185" w:lineRule="auto" w:before="126" w:after="160"/>
        <w:ind w:left="636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1）</w:t>
      </w:r>
      <w:r>
        <w:rPr>
          <w:w w:val="101.00000381469727"/>
          <w:rFonts w:ascii="HYd1gj" w:hAnsi="HYd1gj" w:eastAsia="HYd1gj"/>
          <w:b w:val="0"/>
          <w:i w:val="0"/>
          <w:color w:val="221F1F"/>
          <w:sz w:val="20"/>
        </w:rPr>
        <w:t>膨润土改良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选用优质钠基膨润土，从膨</w:t>
      </w:r>
    </w:p>
    <w:p>
      <w:pPr>
        <w:sectPr>
          <w:type w:val="nextColumn"/>
          <w:pgSz w:w="11906" w:h="16157"/>
          <w:pgMar w:top="384" w:right="888" w:bottom="168" w:left="400" w:header="720" w:footer="720" w:gutter="0"/>
          <w:cols w:num="2" w:equalWidth="0">
            <w:col w:w="5666" w:space="0"/>
            <w:col w:w="4951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56"/>
        <w:ind w:left="0" w:right="4164" w:firstLine="0"/>
        <w:jc w:val="right"/>
      </w:pPr>
      <w:r>
        <w:rPr>
          <w:rFonts w:ascii="HYb1gj" w:hAnsi="HYb1gj" w:eastAsia="HYb1gj"/>
          <w:b w:val="0"/>
          <w:i w:val="0"/>
          <w:color w:val="221F1F"/>
          <w:sz w:val="18"/>
        </w:rPr>
        <w:t>表</w:t>
      </w:r>
      <w:r>
        <w:rPr>
          <w:rFonts w:ascii="Times" w:hAnsi="Times" w:eastAsia="Times"/>
          <w:b/>
          <w:i w:val="0"/>
          <w:color w:val="221F1F"/>
          <w:sz w:val="18"/>
        </w:rPr>
        <w:t>1</w:t>
      </w:r>
      <w:r>
        <w:rPr>
          <w:rFonts w:ascii="HYb1gj" w:hAnsi="HYb1gj" w:eastAsia="HYb1gj"/>
          <w:b w:val="0"/>
          <w:i w:val="0"/>
          <w:color w:val="221F1F"/>
          <w:sz w:val="18"/>
        </w:rPr>
        <w:t>工程风险源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6.0" w:type="dxa"/>
      </w:tblPr>
      <w:tblGrid>
        <w:gridCol w:w="2654"/>
        <w:gridCol w:w="2654"/>
        <w:gridCol w:w="2654"/>
        <w:gridCol w:w="2654"/>
      </w:tblGrid>
      <w:tr>
        <w:trPr>
          <w:trHeight w:hRule="exact" w:val="328"/>
        </w:trPr>
        <w:tc>
          <w:tcPr>
            <w:tcW w:type="dxa" w:w="1184"/>
            <w:tcBorders>
              <w:top w:sz="5.671999931335449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新建区间</w:t>
            </w:r>
          </w:p>
        </w:tc>
        <w:tc>
          <w:tcPr>
            <w:tcW w:type="dxa" w:w="1696"/>
            <w:tcBorders>
              <w:start w:sz="2.2639999389648438" w:val="single" w:color="#221F1F"/>
              <w:top w:sz="5.671999931335449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6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风险名称</w:t>
            </w:r>
          </w:p>
        </w:tc>
        <w:tc>
          <w:tcPr>
            <w:tcW w:type="dxa" w:w="826"/>
            <w:tcBorders>
              <w:start w:sz="2.2639999389648438" w:val="single" w:color="#221F1F"/>
              <w:top w:sz="5.671999931335449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6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风险等级</w:t>
            </w:r>
          </w:p>
        </w:tc>
        <w:tc>
          <w:tcPr>
            <w:tcW w:type="dxa" w:w="5494"/>
            <w:tcBorders>
              <w:start w:sz="2.2639999389648438" w:val="single" w:color="#221F1F"/>
              <w:top w:sz="5.671999931335449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风险说明</w:t>
            </w:r>
          </w:p>
        </w:tc>
      </w:tr>
      <w:tr>
        <w:trPr>
          <w:trHeight w:hRule="exact" w:val="326"/>
        </w:trPr>
        <w:tc>
          <w:tcPr>
            <w:tcW w:type="dxa" w:w="1184"/>
            <w:vMerge w:val="restart"/>
            <w:tcBorders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4" w:right="144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8 号线</w:t>
            </w:r>
            <w:r>
              <w:br/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王前区间</w:t>
            </w:r>
          </w:p>
        </w:tc>
        <w:tc>
          <w:tcPr>
            <w:tcW w:type="dxa" w:w="1696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下穿既有2 号线</w:t>
            </w:r>
          </w:p>
        </w:tc>
        <w:tc>
          <w:tcPr>
            <w:tcW w:type="dxa" w:w="826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特级</w:t>
            </w:r>
          </w:p>
        </w:tc>
        <w:tc>
          <w:tcPr>
            <w:tcW w:type="dxa" w:w="5494"/>
            <w:vMerge w:val="restart"/>
            <w:tcBorders>
              <w:start w:sz="2.2639999389648438" w:val="single" w:color="#221F1F"/>
              <w:top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地处变形敏感区域，既有线不停运，须减小地层扰动，严控变形；新建区间处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于卵石地层承压水中，上软下硬，自稳能力差，须防止坍塌等。</w:t>
            </w:r>
          </w:p>
        </w:tc>
      </w:tr>
      <w:tr>
        <w:trPr>
          <w:trHeight w:hRule="exact" w:val="330"/>
        </w:trPr>
        <w:tc>
          <w:tcPr>
            <w:tcW w:type="dxa" w:w="2654"/>
            <w:vMerge/>
            <w:tcBorders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</w:tcPr>
          <w:p/>
        </w:tc>
        <w:tc>
          <w:tcPr>
            <w:tcW w:type="dxa" w:w="1696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6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下穿国铁直径线</w:t>
            </w:r>
          </w:p>
        </w:tc>
        <w:tc>
          <w:tcPr>
            <w:tcW w:type="dxa" w:w="826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6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特级</w:t>
            </w:r>
          </w:p>
        </w:tc>
        <w:tc>
          <w:tcPr>
            <w:tcW w:type="dxa" w:w="2654"/>
            <w:vMerge/>
            <w:tcBorders>
              <w:start w:sz="2.2639999389648438" w:val="single" w:color="#221F1F"/>
              <w:top w:sz="2.2639999389648438" w:val="single" w:color="#221F1F"/>
              <w:bottom w:sz="2.2639999389648438" w:val="single" w:color="#221F1F"/>
            </w:tcBorders>
          </w:tcPr>
          <w:p/>
        </w:tc>
      </w:tr>
      <w:tr>
        <w:trPr>
          <w:trHeight w:hRule="exact" w:val="612"/>
        </w:trPr>
        <w:tc>
          <w:tcPr>
            <w:tcW w:type="dxa" w:w="1184"/>
            <w:tcBorders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6" w:after="0"/>
              <w:ind w:left="144" w:right="144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17 号线</w:t>
            </w:r>
            <w:r>
              <w:br/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工香区间</w:t>
            </w:r>
          </w:p>
        </w:tc>
        <w:tc>
          <w:tcPr>
            <w:tcW w:type="dxa" w:w="1696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6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下穿既有机场线</w:t>
            </w:r>
          </w:p>
        </w:tc>
        <w:tc>
          <w:tcPr>
            <w:tcW w:type="dxa" w:w="826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6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特级</w:t>
            </w:r>
          </w:p>
        </w:tc>
        <w:tc>
          <w:tcPr>
            <w:tcW w:type="dxa" w:w="5494"/>
            <w:tcBorders>
              <w:start w:sz="2.2639999389648438" w:val="single" w:color="#221F1F"/>
              <w:top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6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机场线为直线电机感应板模式，变形敏感，变形控制指标+1/-2mm。</w:t>
            </w:r>
          </w:p>
        </w:tc>
      </w:tr>
      <w:tr>
        <w:trPr>
          <w:trHeight w:hRule="exact" w:val="328"/>
        </w:trPr>
        <w:tc>
          <w:tcPr>
            <w:tcW w:type="dxa" w:w="1184"/>
            <w:vMerge w:val="restart"/>
            <w:tcBorders>
              <w:top w:sz="2.2639999389648438" w:val="single" w:color="#221F1F"/>
              <w:end w:sz="2.2639999389648438" w:val="single" w:color="#221F1F"/>
              <w:bottom w:sz="5.671999931335449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12" w:after="0"/>
              <w:ind w:left="144" w:right="144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17 号线</w:t>
            </w:r>
            <w:r>
              <w:br/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北朝区间</w:t>
            </w:r>
          </w:p>
        </w:tc>
        <w:tc>
          <w:tcPr>
            <w:tcW w:type="dxa" w:w="1696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下穿五环路</w:t>
            </w:r>
          </w:p>
        </w:tc>
        <w:tc>
          <w:tcPr>
            <w:tcW w:type="dxa" w:w="826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一级</w:t>
            </w:r>
          </w:p>
        </w:tc>
        <w:tc>
          <w:tcPr>
            <w:tcW w:type="dxa" w:w="5494"/>
            <w:vMerge w:val="restart"/>
            <w:tcBorders>
              <w:start w:sz="2.2639999389648438" w:val="single" w:color="#221F1F"/>
              <w:top w:sz="2.2639999389648438" w:val="single" w:color="#221F1F"/>
              <w:bottom w:sz="5.671999931335449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132" w:after="0"/>
              <w:ind w:left="144" w:right="144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盾构掘进会对周边土体造成较大扰动，极易引起地面下沉、管线变形破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损、渗漏、既有结构破坏、影响高铁运营等事故。变形指标：五环地表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沉降≤10mm、速率≤1.5mm/d、隆起量≤5mm；东干渠地表沉降累计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≤20mm、速率≤2mm/d；桥墩沉降累计≤2mm、速率≤2mm/d。</w:t>
            </w:r>
          </w:p>
        </w:tc>
      </w:tr>
      <w:tr>
        <w:trPr>
          <w:trHeight w:hRule="exact" w:val="330"/>
        </w:trPr>
        <w:tc>
          <w:tcPr>
            <w:tcW w:type="dxa" w:w="2654"/>
            <w:vMerge/>
            <w:tcBorders>
              <w:top w:sz="2.2639999389648438" w:val="single" w:color="#221F1F"/>
              <w:end w:sz="2.2639999389648438" w:val="single" w:color="#221F1F"/>
              <w:bottom w:sz="5.671999931335449" w:val="single" w:color="#221F1F"/>
            </w:tcBorders>
          </w:tcPr>
          <w:p/>
        </w:tc>
        <w:tc>
          <w:tcPr>
            <w:tcW w:type="dxa" w:w="1696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6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上穿南水北调东干渠</w:t>
            </w:r>
          </w:p>
        </w:tc>
        <w:tc>
          <w:tcPr>
            <w:tcW w:type="dxa" w:w="826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6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一级</w:t>
            </w:r>
          </w:p>
        </w:tc>
        <w:tc>
          <w:tcPr>
            <w:tcW w:type="dxa" w:w="2654"/>
            <w:vMerge/>
            <w:tcBorders>
              <w:start w:sz="2.2639999389648438" w:val="single" w:color="#221F1F"/>
              <w:top w:sz="2.2639999389648438" w:val="single" w:color="#221F1F"/>
              <w:bottom w:sz="5.671999931335449" w:val="single" w:color="#221F1F"/>
            </w:tcBorders>
          </w:tcPr>
          <w:p/>
        </w:tc>
      </w:tr>
      <w:tr>
        <w:trPr>
          <w:trHeight w:hRule="exact" w:val="614"/>
        </w:trPr>
        <w:tc>
          <w:tcPr>
            <w:tcW w:type="dxa" w:w="2654"/>
            <w:vMerge/>
            <w:tcBorders>
              <w:top w:sz="2.2639999389648438" w:val="single" w:color="#221F1F"/>
              <w:end w:sz="2.2639999389648438" w:val="single" w:color="#221F1F"/>
              <w:bottom w:sz="5.671999931335449" w:val="single" w:color="#221F1F"/>
            </w:tcBorders>
          </w:tcPr>
          <w:p/>
        </w:tc>
        <w:tc>
          <w:tcPr>
            <w:tcW w:type="dxa" w:w="1696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5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6" w:after="0"/>
              <w:ind w:left="288" w:right="144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 xml:space="preserve">下穿京津城际 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铁路桥</w:t>
            </w:r>
          </w:p>
        </w:tc>
        <w:tc>
          <w:tcPr>
            <w:tcW w:type="dxa" w:w="826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5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6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特级</w:t>
            </w:r>
          </w:p>
        </w:tc>
        <w:tc>
          <w:tcPr>
            <w:tcW w:type="dxa" w:w="2654"/>
            <w:vMerge/>
            <w:tcBorders>
              <w:start w:sz="2.2639999389648438" w:val="single" w:color="#221F1F"/>
              <w:top w:sz="2.2639999389648438" w:val="single" w:color="#221F1F"/>
              <w:bottom w:sz="5.671999931335449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185" w:lineRule="auto" w:before="452" w:after="0"/>
        <w:ind w:left="0" w:right="360" w:firstLine="0"/>
        <w:jc w:val="right"/>
      </w:pPr>
      <w:r>
        <w:rPr>
          <w:rFonts w:ascii="HYb1gj" w:hAnsi="HYb1gj" w:eastAsia="HYb1gj"/>
          <w:b w:val="0"/>
          <w:i w:val="0"/>
          <w:color w:val="221F1F"/>
          <w:sz w:val="14"/>
        </w:rPr>
        <w:t xml:space="preserve">建筑机械化 </w:t>
      </w:r>
      <w:r>
        <w:rPr>
          <w:rFonts w:ascii="HYb1gj" w:hAnsi="HYb1gj" w:eastAsia="HYb1gj"/>
          <w:b w:val="0"/>
          <w:i w:val="0"/>
          <w:color w:val="221F1F"/>
          <w:sz w:val="15"/>
        </w:rPr>
        <w:t xml:space="preserve">2022(12) </w:t>
      </w:r>
      <w:r>
        <w:rPr>
          <w:rFonts w:ascii="HYb1gj" w:hAnsi="HYb1gj" w:eastAsia="HYb1gj"/>
          <w:b w:val="0"/>
          <w:i w:val="0"/>
          <w:color w:val="6C6E70"/>
          <w:sz w:val="32"/>
        </w:rPr>
        <w:t>15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157"/>
          <w:pgMar w:top="384" w:right="88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8"/>
        <w:ind w:left="0" w:right="0"/>
      </w:pPr>
    </w:p>
    <w:p>
      <w:pPr>
        <w:sectPr>
          <w:pgSz w:w="11906" w:h="16157"/>
          <w:pgMar w:top="926" w:right="135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54"/>
        <w:ind w:left="0" w:right="838" w:firstLine="0"/>
        <w:jc w:val="right"/>
      </w:pPr>
      <w:r>
        <w:rPr>
          <w:rFonts w:ascii="HYb1gj" w:hAnsi="HYb1gj" w:eastAsia="HYb1gj"/>
          <w:b w:val="0"/>
          <w:i w:val="0"/>
          <w:color w:val="221F1F"/>
          <w:sz w:val="18"/>
        </w:rPr>
        <w:t>表</w:t>
      </w:r>
      <w:r>
        <w:rPr>
          <w:rFonts w:ascii="Times" w:hAnsi="Times" w:eastAsia="Times"/>
          <w:b/>
          <w:i w:val="0"/>
          <w:color w:val="221F1F"/>
          <w:sz w:val="18"/>
        </w:rPr>
        <w:t>3</w:t>
      </w:r>
      <w:r>
        <w:rPr>
          <w:rFonts w:ascii="HYb1gj" w:hAnsi="HYb1gj" w:eastAsia="HYb1gj"/>
          <w:b w:val="0"/>
          <w:i w:val="0"/>
          <w:color w:val="221F1F"/>
          <w:sz w:val="18"/>
        </w:rPr>
        <w:t>工香区间穿越既有线掘进主要参数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2030"/>
        <w:gridCol w:w="2030"/>
        <w:gridCol w:w="2030"/>
        <w:gridCol w:w="2030"/>
        <w:gridCol w:w="2030"/>
      </w:tblGrid>
      <w:tr>
        <w:trPr>
          <w:trHeight w:hRule="exact" w:val="610"/>
        </w:trPr>
        <w:tc>
          <w:tcPr>
            <w:tcW w:type="dxa" w:w="716"/>
            <w:tcBorders>
              <w:top w:sz="5.671999931335449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>
              <w:start w:sz="2.2639999389648438" w:val="single" w:color="#221F1F"/>
              <w:top w:sz="5.671999931335449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8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土仓压力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(bar)</w:t>
            </w:r>
          </w:p>
        </w:tc>
        <w:tc>
          <w:tcPr>
            <w:tcW w:type="dxa" w:w="848"/>
            <w:tcBorders>
              <w:start w:sz="2.2639999389648438" w:val="single" w:color="#221F1F"/>
              <w:top w:sz="5.671999931335449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8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掘进速度</w:t>
            </w:r>
            <w:r>
              <w:br/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(mm/min)</w:t>
            </w:r>
          </w:p>
        </w:tc>
        <w:tc>
          <w:tcPr>
            <w:tcW w:type="dxa" w:w="936"/>
            <w:tcBorders>
              <w:start w:sz="2.2639999389648438" w:val="single" w:color="#221F1F"/>
              <w:top w:sz="5.671999931335449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8" w:after="0"/>
              <w:ind w:left="236" w:right="144" w:firstLine="7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 xml:space="preserve">扭矩 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(kNm)</w:t>
            </w:r>
          </w:p>
        </w:tc>
        <w:tc>
          <w:tcPr>
            <w:tcW w:type="dxa" w:w="1060"/>
            <w:tcBorders>
              <w:start w:sz="2.2639999389648438" w:val="single" w:color="#221F1F"/>
              <w:top w:sz="5.671999931335449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0" w:after="0"/>
              <w:ind w:left="144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 xml:space="preserve">盾构推力 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（kN）</w:t>
            </w:r>
          </w:p>
        </w:tc>
      </w:tr>
      <w:tr>
        <w:trPr>
          <w:trHeight w:hRule="exact" w:val="330"/>
        </w:trPr>
        <w:tc>
          <w:tcPr>
            <w:tcW w:type="dxa" w:w="716"/>
            <w:tcBorders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理论参数</w:t>
            </w:r>
          </w:p>
        </w:tc>
        <w:tc>
          <w:tcPr>
            <w:tcW w:type="dxa" w:w="82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1.2～1.6</w:t>
            </w:r>
          </w:p>
        </w:tc>
        <w:tc>
          <w:tcPr>
            <w:tcW w:type="dxa" w:w="848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50～75</w:t>
            </w:r>
          </w:p>
        </w:tc>
        <w:tc>
          <w:tcPr>
            <w:tcW w:type="dxa" w:w="936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3000～4500</w:t>
            </w:r>
          </w:p>
        </w:tc>
        <w:tc>
          <w:tcPr>
            <w:tcW w:type="dxa" w:w="1060"/>
            <w:tcBorders>
              <w:start w:sz="2.2639999389648438" w:val="single" w:color="#221F1F"/>
              <w:top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16000～18500</w:t>
            </w:r>
          </w:p>
        </w:tc>
      </w:tr>
      <w:tr>
        <w:trPr>
          <w:trHeight w:hRule="exact" w:val="328"/>
        </w:trPr>
        <w:tc>
          <w:tcPr>
            <w:tcW w:type="dxa" w:w="716"/>
            <w:tcBorders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实际左线</w:t>
            </w:r>
          </w:p>
        </w:tc>
        <w:tc>
          <w:tcPr>
            <w:tcW w:type="dxa" w:w="82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1.0～1.6</w:t>
            </w:r>
          </w:p>
        </w:tc>
        <w:tc>
          <w:tcPr>
            <w:tcW w:type="dxa" w:w="848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50～70</w:t>
            </w:r>
          </w:p>
        </w:tc>
        <w:tc>
          <w:tcPr>
            <w:tcW w:type="dxa" w:w="936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2800～4450</w:t>
            </w:r>
          </w:p>
        </w:tc>
        <w:tc>
          <w:tcPr>
            <w:tcW w:type="dxa" w:w="1060"/>
            <w:tcBorders>
              <w:start w:sz="2.2639999389648438" w:val="single" w:color="#221F1F"/>
              <w:top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17000～18000</w:t>
            </w:r>
          </w:p>
        </w:tc>
      </w:tr>
      <w:tr>
        <w:trPr>
          <w:trHeight w:hRule="exact" w:val="330"/>
        </w:trPr>
        <w:tc>
          <w:tcPr>
            <w:tcW w:type="dxa" w:w="716"/>
            <w:tcBorders>
              <w:top w:sz="2.2639999389648438" w:val="single" w:color="#221F1F"/>
              <w:end w:sz="2.2639999389648438" w:val="single" w:color="#221F1F"/>
              <w:bottom w:sz="5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实际右线</w:t>
            </w:r>
          </w:p>
        </w:tc>
        <w:tc>
          <w:tcPr>
            <w:tcW w:type="dxa" w:w="82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5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1.1～1.6</w:t>
            </w:r>
          </w:p>
        </w:tc>
        <w:tc>
          <w:tcPr>
            <w:tcW w:type="dxa" w:w="848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5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55～75</w:t>
            </w:r>
          </w:p>
        </w:tc>
        <w:tc>
          <w:tcPr>
            <w:tcW w:type="dxa" w:w="936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5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3200～4600</w:t>
            </w:r>
          </w:p>
        </w:tc>
        <w:tc>
          <w:tcPr>
            <w:tcW w:type="dxa" w:w="1060"/>
            <w:tcBorders>
              <w:start w:sz="2.2639999389648438" w:val="single" w:color="#221F1F"/>
              <w:top w:sz="2.2639999389648438" w:val="single" w:color="#221F1F"/>
              <w:bottom w:sz="5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16000～18500</w:t>
            </w:r>
          </w:p>
        </w:tc>
      </w:tr>
    </w:tbl>
    <w:p>
      <w:pPr>
        <w:autoSpaceDN w:val="0"/>
        <w:autoSpaceDE w:val="0"/>
        <w:widowControl/>
        <w:spacing w:line="200" w:lineRule="exact" w:before="94" w:after="52"/>
        <w:ind w:left="0" w:right="838" w:firstLine="0"/>
        <w:jc w:val="right"/>
      </w:pPr>
      <w:r>
        <w:rPr>
          <w:rFonts w:ascii="HYb1gj" w:hAnsi="HYb1gj" w:eastAsia="HYb1gj"/>
          <w:b w:val="0"/>
          <w:i w:val="0"/>
          <w:color w:val="221F1F"/>
          <w:sz w:val="18"/>
        </w:rPr>
        <w:t>表</w:t>
      </w:r>
      <w:r>
        <w:rPr>
          <w:rFonts w:ascii="Times" w:hAnsi="Times" w:eastAsia="Times"/>
          <w:b/>
          <w:i w:val="0"/>
          <w:color w:val="221F1F"/>
          <w:sz w:val="18"/>
        </w:rPr>
        <w:t>4</w:t>
      </w:r>
      <w:r>
        <w:rPr>
          <w:rFonts w:ascii="HYb1gj" w:hAnsi="HYb1gj" w:eastAsia="HYb1gj"/>
          <w:b w:val="0"/>
          <w:i w:val="0"/>
          <w:color w:val="221F1F"/>
          <w:sz w:val="18"/>
        </w:rPr>
        <w:t>王前区间穿越既有线掘进主要参数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2030"/>
        <w:gridCol w:w="2030"/>
        <w:gridCol w:w="2030"/>
        <w:gridCol w:w="2030"/>
        <w:gridCol w:w="2030"/>
      </w:tblGrid>
      <w:tr>
        <w:trPr>
          <w:trHeight w:hRule="exact" w:val="614"/>
        </w:trPr>
        <w:tc>
          <w:tcPr>
            <w:tcW w:type="dxa" w:w="734"/>
            <w:tcBorders>
              <w:top w:sz="5.671999931335449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start w:sz="2.2639999389648438" w:val="single" w:color="#221F1F"/>
              <w:top w:sz="5.671999931335449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顶部土仓</w:t>
            </w:r>
            <w:r>
              <w:br/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压力(bar）</w:t>
            </w:r>
          </w:p>
        </w:tc>
        <w:tc>
          <w:tcPr>
            <w:tcW w:type="dxa" w:w="820"/>
            <w:tcBorders>
              <w:start w:sz="2.2639999389648438" w:val="single" w:color="#221F1F"/>
              <w:top w:sz="5.671999931335449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掘进速度</w:t>
            </w:r>
            <w:r>
              <w:br/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(mm/min)</w:t>
            </w:r>
          </w:p>
        </w:tc>
        <w:tc>
          <w:tcPr>
            <w:tcW w:type="dxa" w:w="932"/>
            <w:tcBorders>
              <w:start w:sz="2.2639999389648438" w:val="single" w:color="#221F1F"/>
              <w:top w:sz="5.671999931335449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0" w:after="0"/>
              <w:ind w:left="144" w:right="144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 xml:space="preserve">扭矩 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(kNm)</w:t>
            </w:r>
          </w:p>
        </w:tc>
        <w:tc>
          <w:tcPr>
            <w:tcW w:type="dxa" w:w="1084"/>
            <w:tcBorders>
              <w:start w:sz="2.2639999389648438" w:val="single" w:color="#221F1F"/>
              <w:top w:sz="5.671999931335449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74" w:val="left"/>
              </w:tabs>
              <w:autoSpaceDE w:val="0"/>
              <w:widowControl/>
              <w:spacing w:line="254" w:lineRule="auto" w:before="82" w:after="0"/>
              <w:ind w:left="218" w:right="144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 xml:space="preserve">盾构推力 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(kN)</w:t>
            </w:r>
          </w:p>
        </w:tc>
      </w:tr>
      <w:tr>
        <w:trPr>
          <w:trHeight w:hRule="exact" w:val="330"/>
        </w:trPr>
        <w:tc>
          <w:tcPr>
            <w:tcW w:type="dxa" w:w="734"/>
            <w:tcBorders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理论参数</w:t>
            </w:r>
          </w:p>
        </w:tc>
        <w:tc>
          <w:tcPr>
            <w:tcW w:type="dxa" w:w="81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2.1～2.9</w:t>
            </w:r>
          </w:p>
        </w:tc>
        <w:tc>
          <w:tcPr>
            <w:tcW w:type="dxa" w:w="82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20～30</w:t>
            </w:r>
          </w:p>
        </w:tc>
        <w:tc>
          <w:tcPr>
            <w:tcW w:type="dxa" w:w="932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1600～1800</w:t>
            </w:r>
          </w:p>
        </w:tc>
        <w:tc>
          <w:tcPr>
            <w:tcW w:type="dxa" w:w="1084"/>
            <w:tcBorders>
              <w:start w:sz="2.2639999389648438" w:val="single" w:color="#221F1F"/>
              <w:top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12000～14000</w:t>
            </w:r>
          </w:p>
        </w:tc>
      </w:tr>
      <w:tr>
        <w:trPr>
          <w:trHeight w:hRule="exact" w:val="328"/>
        </w:trPr>
        <w:tc>
          <w:tcPr>
            <w:tcW w:type="dxa" w:w="734"/>
            <w:tcBorders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实际左线</w:t>
            </w:r>
          </w:p>
        </w:tc>
        <w:tc>
          <w:tcPr>
            <w:tcW w:type="dxa" w:w="81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2.2～2.8</w:t>
            </w:r>
          </w:p>
        </w:tc>
        <w:tc>
          <w:tcPr>
            <w:tcW w:type="dxa" w:w="82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24～30</w:t>
            </w:r>
          </w:p>
        </w:tc>
        <w:tc>
          <w:tcPr>
            <w:tcW w:type="dxa" w:w="932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1136～2800</w:t>
            </w:r>
          </w:p>
        </w:tc>
        <w:tc>
          <w:tcPr>
            <w:tcW w:type="dxa" w:w="1084"/>
            <w:tcBorders>
              <w:start w:sz="2.2639999389648438" w:val="single" w:color="#221F1F"/>
              <w:top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13347～31722</w:t>
            </w:r>
          </w:p>
        </w:tc>
      </w:tr>
      <w:tr>
        <w:trPr>
          <w:trHeight w:hRule="exact" w:val="330"/>
        </w:trPr>
        <w:tc>
          <w:tcPr>
            <w:tcW w:type="dxa" w:w="734"/>
            <w:tcBorders>
              <w:top w:sz="2.2639999389648438" w:val="single" w:color="#221F1F"/>
              <w:end w:sz="2.2639999389648438" w:val="single" w:color="#221F1F"/>
              <w:bottom w:sz="5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实际右线</w:t>
            </w:r>
          </w:p>
        </w:tc>
        <w:tc>
          <w:tcPr>
            <w:tcW w:type="dxa" w:w="81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5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2.2～2.6</w:t>
            </w:r>
          </w:p>
        </w:tc>
        <w:tc>
          <w:tcPr>
            <w:tcW w:type="dxa" w:w="820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5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20～30</w:t>
            </w:r>
          </w:p>
        </w:tc>
        <w:tc>
          <w:tcPr>
            <w:tcW w:type="dxa" w:w="932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5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1800～3830</w:t>
            </w:r>
          </w:p>
        </w:tc>
        <w:tc>
          <w:tcPr>
            <w:tcW w:type="dxa" w:w="1084"/>
            <w:tcBorders>
              <w:start w:sz="2.2639999389648438" w:val="single" w:color="#221F1F"/>
              <w:top w:sz="2.2639999389648438" w:val="single" w:color="#221F1F"/>
              <w:bottom w:sz="5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12300～26400</w:t>
            </w:r>
          </w:p>
        </w:tc>
      </w:tr>
    </w:tbl>
    <w:p>
      <w:pPr>
        <w:autoSpaceDN w:val="0"/>
        <w:autoSpaceDE w:val="0"/>
        <w:widowControl/>
        <w:spacing w:line="198" w:lineRule="exact" w:before="94" w:after="56"/>
        <w:ind w:left="0" w:right="838" w:firstLine="0"/>
        <w:jc w:val="right"/>
      </w:pPr>
      <w:r>
        <w:rPr>
          <w:rFonts w:ascii="HYb1gj" w:hAnsi="HYb1gj" w:eastAsia="HYb1gj"/>
          <w:b w:val="0"/>
          <w:i w:val="0"/>
          <w:color w:val="221F1F"/>
          <w:sz w:val="18"/>
        </w:rPr>
        <w:t>表</w:t>
      </w:r>
      <w:r>
        <w:rPr>
          <w:rFonts w:ascii="Times" w:hAnsi="Times" w:eastAsia="Times"/>
          <w:b/>
          <w:i w:val="0"/>
          <w:color w:val="221F1F"/>
          <w:sz w:val="18"/>
        </w:rPr>
        <w:t>5</w:t>
      </w:r>
      <w:r>
        <w:rPr>
          <w:rFonts w:ascii="HYb1gj" w:hAnsi="HYb1gj" w:eastAsia="HYb1gj"/>
          <w:b w:val="0"/>
          <w:i w:val="0"/>
          <w:color w:val="221F1F"/>
          <w:sz w:val="18"/>
        </w:rPr>
        <w:t>北朝区间穿越既有线主要掘进参数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2030"/>
        <w:gridCol w:w="2030"/>
        <w:gridCol w:w="2030"/>
        <w:gridCol w:w="2030"/>
        <w:gridCol w:w="2030"/>
      </w:tblGrid>
      <w:tr>
        <w:trPr>
          <w:trHeight w:hRule="exact" w:val="566"/>
        </w:trPr>
        <w:tc>
          <w:tcPr>
            <w:tcW w:type="dxa" w:w="800"/>
            <w:tcBorders>
              <w:top w:sz="5.671999931335449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8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区段</w:t>
            </w:r>
          </w:p>
        </w:tc>
        <w:tc>
          <w:tcPr>
            <w:tcW w:type="dxa" w:w="744"/>
            <w:tcBorders>
              <w:start w:sz="2.2639999389648438" w:val="single" w:color="#221F1F"/>
              <w:top w:sz="5.671999931335449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56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土仓压力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（bar）</w:t>
            </w:r>
          </w:p>
        </w:tc>
        <w:tc>
          <w:tcPr>
            <w:tcW w:type="dxa" w:w="872"/>
            <w:tcBorders>
              <w:start w:sz="2.2639999389648438" w:val="single" w:color="#221F1F"/>
              <w:top w:sz="5.671999931335449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56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掘进速度</w:t>
            </w:r>
            <w:r>
              <w:br/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(mm/min)</w:t>
            </w:r>
          </w:p>
        </w:tc>
        <w:tc>
          <w:tcPr>
            <w:tcW w:type="dxa" w:w="914"/>
            <w:tcBorders>
              <w:start w:sz="2.2639999389648438" w:val="single" w:color="#221F1F"/>
              <w:top w:sz="5.671999931335449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56" w:after="0"/>
              <w:ind w:left="144" w:right="144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扭矩</w:t>
            </w:r>
            <w:r>
              <w:br/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(kNm）</w:t>
            </w:r>
          </w:p>
        </w:tc>
        <w:tc>
          <w:tcPr>
            <w:tcW w:type="dxa" w:w="1050"/>
            <w:tcBorders>
              <w:start w:sz="2.2639999389648438" w:val="single" w:color="#221F1F"/>
              <w:top w:sz="5.671999931335449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58" w:after="0"/>
              <w:ind w:left="144" w:right="144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盾构推力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（kN）</w:t>
            </w:r>
          </w:p>
        </w:tc>
      </w:tr>
      <w:tr>
        <w:trPr>
          <w:trHeight w:hRule="exact" w:val="568"/>
        </w:trPr>
        <w:tc>
          <w:tcPr>
            <w:tcW w:type="dxa" w:w="800"/>
            <w:tcBorders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南水北调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东干渠</w:t>
            </w:r>
          </w:p>
        </w:tc>
        <w:tc>
          <w:tcPr>
            <w:tcW w:type="dxa" w:w="744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0.8～1.15</w:t>
            </w:r>
          </w:p>
        </w:tc>
        <w:tc>
          <w:tcPr>
            <w:tcW w:type="dxa" w:w="872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30～45</w:t>
            </w:r>
          </w:p>
        </w:tc>
        <w:tc>
          <w:tcPr>
            <w:tcW w:type="dxa" w:w="914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3000～3500</w:t>
            </w:r>
          </w:p>
        </w:tc>
        <w:tc>
          <w:tcPr>
            <w:tcW w:type="dxa" w:w="1050"/>
            <w:tcBorders>
              <w:start w:sz="2.2639999389648438" w:val="single" w:color="#221F1F"/>
              <w:top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8900～12000</w:t>
            </w:r>
          </w:p>
        </w:tc>
      </w:tr>
      <w:tr>
        <w:trPr>
          <w:trHeight w:hRule="exact" w:val="566"/>
        </w:trPr>
        <w:tc>
          <w:tcPr>
            <w:tcW w:type="dxa" w:w="800"/>
            <w:tcBorders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2" w:after="0"/>
              <w:ind w:left="144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 xml:space="preserve">五环路 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路基段</w:t>
            </w:r>
          </w:p>
        </w:tc>
        <w:tc>
          <w:tcPr>
            <w:tcW w:type="dxa" w:w="744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0.7～1.0</w:t>
            </w:r>
          </w:p>
        </w:tc>
        <w:tc>
          <w:tcPr>
            <w:tcW w:type="dxa" w:w="872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35～45</w:t>
            </w:r>
          </w:p>
        </w:tc>
        <w:tc>
          <w:tcPr>
            <w:tcW w:type="dxa" w:w="914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64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 xml:space="preserve">2500～3000 </w:t>
            </w:r>
          </w:p>
        </w:tc>
        <w:tc>
          <w:tcPr>
            <w:tcW w:type="dxa" w:w="1050"/>
            <w:tcBorders>
              <w:start w:sz="2.2639999389648438" w:val="single" w:color="#221F1F"/>
              <w:top w:sz="2.2639999389648438" w:val="single" w:color="#221F1F"/>
              <w:bottom w:sz="2.26399993896484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12000～14000</w:t>
            </w:r>
          </w:p>
        </w:tc>
      </w:tr>
      <w:tr>
        <w:trPr>
          <w:trHeight w:hRule="exact" w:val="566"/>
        </w:trPr>
        <w:tc>
          <w:tcPr>
            <w:tcW w:type="dxa" w:w="800"/>
            <w:tcBorders>
              <w:top w:sz="2.2639999389648438" w:val="single" w:color="#221F1F"/>
              <w:end w:sz="2.2639999389648438" w:val="single" w:color="#221F1F"/>
              <w:bottom w:sz="5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京津城际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铁路桥</w:t>
            </w:r>
          </w:p>
        </w:tc>
        <w:tc>
          <w:tcPr>
            <w:tcW w:type="dxa" w:w="744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5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0.7～1.0</w:t>
            </w:r>
          </w:p>
        </w:tc>
        <w:tc>
          <w:tcPr>
            <w:tcW w:type="dxa" w:w="872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5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35～45</w:t>
            </w:r>
          </w:p>
        </w:tc>
        <w:tc>
          <w:tcPr>
            <w:tcW w:type="dxa" w:w="914"/>
            <w:tcBorders>
              <w:start w:sz="2.2639999389648438" w:val="single" w:color="#221F1F"/>
              <w:top w:sz="2.2639999389648438" w:val="single" w:color="#221F1F"/>
              <w:end w:sz="2.2639999389648438" w:val="single" w:color="#221F1F"/>
              <w:bottom w:sz="5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64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 xml:space="preserve">2500～3000 </w:t>
            </w:r>
          </w:p>
        </w:tc>
        <w:tc>
          <w:tcPr>
            <w:tcW w:type="dxa" w:w="1050"/>
            <w:tcBorders>
              <w:start w:sz="2.2639999389648438" w:val="single" w:color="#221F1F"/>
              <w:top w:sz="2.2639999389648438" w:val="single" w:color="#221F1F"/>
              <w:bottom w:sz="5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12000～14000</w:t>
            </w:r>
          </w:p>
        </w:tc>
      </w:tr>
    </w:tbl>
    <w:p>
      <w:pPr>
        <w:autoSpaceDN w:val="0"/>
        <w:autoSpaceDE w:val="0"/>
        <w:widowControl/>
        <w:spacing w:line="185" w:lineRule="auto" w:before="92" w:after="0"/>
        <w:ind w:left="848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化池直接泵送至盾构，掘进中向土仓内匀速均流</w:t>
      </w:r>
    </w:p>
    <w:p>
      <w:pPr>
        <w:autoSpaceDN w:val="0"/>
        <w:autoSpaceDE w:val="0"/>
        <w:widowControl/>
        <w:spacing w:line="185" w:lineRule="auto" w:before="126" w:after="0"/>
        <w:ind w:left="848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量注入膨化好的膨润土，每环总量2m</w:t>
      </w:r>
      <w:r>
        <w:rPr>
          <w:w w:val="98.13833236694336"/>
          <w:rFonts w:ascii="HYa6gj" w:hAnsi="HYa6gj" w:eastAsia="HYa6gj"/>
          <w:b w:val="0"/>
          <w:i w:val="0"/>
          <w:color w:val="221F1F"/>
          <w:sz w:val="12"/>
        </w:rPr>
        <w:t>3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，水灰比</w:t>
      </w:r>
    </w:p>
    <w:p>
      <w:pPr>
        <w:sectPr>
          <w:type w:val="continuous"/>
          <w:pgSz w:w="11906" w:h="16157"/>
          <w:pgMar w:top="926" w:right="1358" w:bottom="168" w:left="400" w:header="720" w:footer="720" w:gutter="0"/>
          <w:cols w:num="2" w:equalWidth="0">
            <w:col w:w="5442" w:space="0"/>
            <w:col w:w="4705" w:space="0"/>
          </w:cols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0"/>
        <w:ind w:left="224" w:right="116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片脱离盾尾后围岩与管片间的环形间隙，弥补地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层损失。盾构通过后若出现超挖，要加大同步注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浆量并视情况二次注浆。严控注浆参数及时机，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防止注浆过程中隆沉过快或差异沉降。</w:t>
      </w:r>
    </w:p>
    <w:p>
      <w:pPr>
        <w:autoSpaceDN w:val="0"/>
        <w:autoSpaceDE w:val="0"/>
        <w:widowControl/>
        <w:spacing w:line="288" w:lineRule="auto" w:before="126" w:after="0"/>
        <w:ind w:left="224" w:right="0" w:firstLine="408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工香区间采用可硬性浆液，由水泥、粉煤灰、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 xml:space="preserve">膨润土、砂子和水按220∶350∶180∶250∶500(kg) 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配比混合，初凝时间＜4h，结实率＞95%，终凝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强度≥2.5MPa，注浆压力0.2～0.5MPa，填充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系数1.5～2.0，约5m</w:t>
      </w:r>
      <w:r>
        <w:rPr>
          <w:w w:val="98.13833236694336"/>
          <w:rFonts w:ascii="HYa6gj" w:hAnsi="HYa6gj" w:eastAsia="HYa6gj"/>
          <w:b w:val="0"/>
          <w:i w:val="0"/>
          <w:color w:val="221F1F"/>
          <w:sz w:val="12"/>
        </w:rPr>
        <w:t>3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/ 环。王前区间采用成品拌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合料浆液，水、水泥、细沙、膨润土、粉煤灰按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475∶400∶625∶60∶240(kg) 配比混合，电脑程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序控制。稠度3.0s，初凝时间1.5h，注浆压力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0.2～0.4MPa，填充系数1.5～2.0，约6m</w:t>
      </w:r>
      <w:r>
        <w:rPr>
          <w:w w:val="98.13833236694336"/>
          <w:rFonts w:ascii="HYa6gj" w:hAnsi="HYa6gj" w:eastAsia="HYa6gj"/>
          <w:b w:val="0"/>
          <w:i w:val="0"/>
          <w:color w:val="221F1F"/>
          <w:sz w:val="12"/>
        </w:rPr>
        <w:t>3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/ 环，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结合监测收敛数据调整注浆量。</w:t>
      </w:r>
    </w:p>
    <w:p>
      <w:pPr>
        <w:autoSpaceDN w:val="0"/>
        <w:autoSpaceDE w:val="0"/>
        <w:widowControl/>
        <w:spacing w:line="271" w:lineRule="auto" w:before="126" w:after="0"/>
        <w:ind w:left="224" w:right="116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盾尾完全进入既有线到脱出既有线后3～4 环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范围，通过管片注浆孔和盾壳上备用注入孔同步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注浆补浆，自动化监测少量多次方式抬升控沉，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压力0.3～0.45MPa。</w:t>
      </w:r>
    </w:p>
    <w:p>
      <w:pPr>
        <w:autoSpaceDN w:val="0"/>
        <w:tabs>
          <w:tab w:pos="632" w:val="left"/>
        </w:tabs>
        <w:autoSpaceDE w:val="0"/>
        <w:widowControl/>
        <w:spacing w:line="276" w:lineRule="auto" w:before="108" w:after="102"/>
        <w:ind w:left="2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2.3.6</w:t>
      </w:r>
      <w:r>
        <w:rPr>
          <w:w w:val="101.00000381469727"/>
          <w:rFonts w:ascii="HYc1gj" w:hAnsi="HYc1gj" w:eastAsia="HYc1gj"/>
          <w:b w:val="0"/>
          <w:i w:val="0"/>
          <w:color w:val="221F1F"/>
          <w:sz w:val="20"/>
        </w:rPr>
        <w:t xml:space="preserve"> 二次注浆及径向注浆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通过自动化实时监测，掌握盾尾通过后既有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线变形状态和趋势，在同步注浆无法够到填充量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不足且盾尾脱出的管片位置采用二次注浆及径向</w:t>
      </w:r>
    </w:p>
    <w:p>
      <w:pPr>
        <w:sectPr>
          <w:type w:val="nextColumn"/>
          <w:pgSz w:w="11906" w:h="16157"/>
          <w:pgMar w:top="926" w:right="1358" w:bottom="168" w:left="400" w:header="720" w:footer="720" w:gutter="0"/>
          <w:cols w:num="2" w:equalWidth="0">
            <w:col w:w="5442" w:space="0"/>
            <w:col w:w="4705" w:space="0"/>
          </w:cols>
          <w:docGrid w:linePitch="360"/>
        </w:sectPr>
      </w:pPr>
    </w:p>
    <w:p>
      <w:pPr>
        <w:autoSpaceDN w:val="0"/>
        <w:tabs>
          <w:tab w:pos="5666" w:val="left"/>
        </w:tabs>
        <w:autoSpaceDE w:val="0"/>
        <w:widowControl/>
        <w:spacing w:line="206" w:lineRule="auto" w:before="0" w:after="102"/>
        <w:ind w:left="848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1 ∶0.15。</w:t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注浆控制调整沉降。</w:t>
      </w:r>
    </w:p>
    <w:p>
      <w:pPr>
        <w:sectPr>
          <w:type w:val="continuous"/>
          <w:pgSz w:w="11906" w:h="16157"/>
          <w:pgMar w:top="926" w:right="135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848" w:right="228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2）</w:t>
      </w:r>
      <w:r>
        <w:rPr>
          <w:w w:val="101.00000381469727"/>
          <w:rFonts w:ascii="HYd1gj" w:hAnsi="HYd1gj" w:eastAsia="HYd1gj"/>
          <w:b w:val="0"/>
          <w:i w:val="0"/>
          <w:color w:val="221F1F"/>
          <w:sz w:val="20"/>
        </w:rPr>
        <w:t>泡沫剂改良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采用350L/min 大气量干泡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沫，泡沫混合液流量25L/min，掘进中泡沫混合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液总量≤5m</w:t>
      </w:r>
      <w:r>
        <w:rPr>
          <w:w w:val="98.13833236694336"/>
          <w:rFonts w:ascii="HYa6gj" w:hAnsi="HYa6gj" w:eastAsia="HYa6gj"/>
          <w:b w:val="0"/>
          <w:i w:val="0"/>
          <w:color w:val="221F1F"/>
          <w:sz w:val="12"/>
        </w:rPr>
        <w:t>3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/ 环。</w:t>
      </w:r>
    </w:p>
    <w:p>
      <w:pPr>
        <w:autoSpaceDN w:val="0"/>
        <w:tabs>
          <w:tab w:pos="1256" w:val="left"/>
        </w:tabs>
        <w:autoSpaceDE w:val="0"/>
        <w:widowControl/>
        <w:spacing w:line="245" w:lineRule="auto" w:before="126" w:after="0"/>
        <w:ind w:left="848" w:right="144" w:firstLine="0"/>
        <w:jc w:val="left"/>
      </w:pP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3）</w:t>
      </w:r>
      <w:r>
        <w:rPr>
          <w:w w:val="101.00000381469727"/>
          <w:rFonts w:ascii="HYd1gj" w:hAnsi="HYd1gj" w:eastAsia="HYd1gj"/>
          <w:b w:val="0"/>
          <w:i w:val="0"/>
          <w:color w:val="221F1F"/>
          <w:sz w:val="20"/>
        </w:rPr>
        <w:t>刀盘中心加水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依据渣土干湿控制加水流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量70 ～100L/min；突发喷涌时立即关闭加水。</w:t>
      </w:r>
    </w:p>
    <w:p>
      <w:pPr>
        <w:sectPr>
          <w:type w:val="continuous"/>
          <w:pgSz w:w="11906" w:h="16157"/>
          <w:pgMar w:top="926" w:right="1358" w:bottom="168" w:left="400" w:header="720" w:footer="720" w:gutter="0"/>
          <w:cols w:num="2" w:equalWidth="0">
            <w:col w:w="5440" w:space="0"/>
            <w:col w:w="4708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auto" w:before="0" w:after="84"/>
        <w:ind w:left="226" w:right="116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二次注浆在管片脱出盾尾后5～7 环位置，盾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构上半断面外轮廓外2.5m 内，每环一次，双液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浆，水泥∶水=1 ∶1（质量比），水泥浆∶水玻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璃=2 ∶1（体积比）。注浆压力0.3～0.4MPa，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稳压≥30min，严控防止压力过大造成错台及浅</w:t>
      </w:r>
    </w:p>
    <w:p>
      <w:pPr>
        <w:sectPr>
          <w:type w:val="nextColumn"/>
          <w:pgSz w:w="11906" w:h="16157"/>
          <w:pgMar w:top="926" w:right="1358" w:bottom="168" w:left="400" w:header="720" w:footer="720" w:gutter="0"/>
          <w:cols w:num="2" w:equalWidth="0">
            <w:col w:w="5440" w:space="0"/>
            <w:col w:w="4708" w:space="0"/>
          </w:cols>
          <w:docGrid w:linePitch="360"/>
        </w:sectPr>
      </w:pPr>
    </w:p>
    <w:p>
      <w:pPr>
        <w:autoSpaceDN w:val="0"/>
        <w:tabs>
          <w:tab w:pos="5666" w:val="left"/>
        </w:tabs>
        <w:autoSpaceDE w:val="0"/>
        <w:widowControl/>
        <w:spacing w:line="223" w:lineRule="auto" w:before="0" w:after="102"/>
        <w:ind w:left="84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2.3.4</w:t>
      </w:r>
      <w:r>
        <w:rPr>
          <w:w w:val="101.00000381469727"/>
          <w:rFonts w:ascii="HYc1gj" w:hAnsi="HYc1gj" w:eastAsia="HYc1gj"/>
          <w:b w:val="0"/>
          <w:i w:val="0"/>
          <w:color w:val="221F1F"/>
          <w:sz w:val="20"/>
        </w:rPr>
        <w:t xml:space="preserve"> 工香区间克泥效减阻填充支护</w:t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土地层隆起超限。</w:t>
      </w:r>
    </w:p>
    <w:p>
      <w:pPr>
        <w:sectPr>
          <w:type w:val="continuous"/>
          <w:pgSz w:w="11906" w:h="16157"/>
          <w:pgMar w:top="926" w:right="135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auto" w:before="0" w:after="0"/>
        <w:ind w:left="848" w:right="226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因刀盘直径大于盾构外径，穿越期间须填充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开挖过程中地层与盾体间空隙，刀盘进入既有线区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域时，通过盾体径向孔注入克泥效，填充支护并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对盾体前行润滑减阻，防止注浆填充前盾体上部土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体沉降。克泥效为高黏度塑性胶化体，24h 后整体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稳定性较好且有一定承载能力，浓度400kg/m</w:t>
      </w:r>
      <w:r>
        <w:rPr>
          <w:w w:val="98.13833236694336"/>
          <w:rFonts w:ascii="HYa6gj" w:hAnsi="HYa6gj" w:eastAsia="HYa6gj"/>
          <w:b w:val="0"/>
          <w:i w:val="0"/>
          <w:color w:val="221F1F"/>
          <w:sz w:val="12"/>
        </w:rPr>
        <w:t>3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注入系数1.3。克泥效∶水玻璃=20∶1（体积），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40°Bé水玻璃；为防压力过大造成机场线差异沉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降，注入量0.4m</w:t>
      </w:r>
      <w:r>
        <w:rPr>
          <w:w w:val="98.13833236694336"/>
          <w:rFonts w:ascii="HYa6gj" w:hAnsi="HYa6gj" w:eastAsia="HYa6gj"/>
          <w:b w:val="0"/>
          <w:i w:val="0"/>
          <w:color w:val="221F1F"/>
          <w:sz w:val="12"/>
        </w:rPr>
        <w:t>3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/ 环，低于理论量0.81m</w:t>
      </w:r>
      <w:r>
        <w:rPr>
          <w:w w:val="98.13833236694336"/>
          <w:rFonts w:ascii="HYa6gj" w:hAnsi="HYa6gj" w:eastAsia="HYa6gj"/>
          <w:b w:val="0"/>
          <w:i w:val="0"/>
          <w:color w:val="221F1F"/>
          <w:sz w:val="12"/>
        </w:rPr>
        <w:t>3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/ 环。</w:t>
      </w:r>
    </w:p>
    <w:p>
      <w:pPr>
        <w:autoSpaceDN w:val="0"/>
        <w:tabs>
          <w:tab w:pos="1256" w:val="left"/>
        </w:tabs>
        <w:autoSpaceDE w:val="0"/>
        <w:widowControl/>
        <w:spacing w:line="250" w:lineRule="auto" w:before="108" w:after="0"/>
        <w:ind w:left="848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2.3.5</w:t>
      </w:r>
      <w:r>
        <w:rPr>
          <w:w w:val="101.00000381469727"/>
          <w:rFonts w:ascii="HYc1gj" w:hAnsi="HYc1gj" w:eastAsia="HYc1gj"/>
          <w:b w:val="0"/>
          <w:i w:val="0"/>
          <w:color w:val="221F1F"/>
          <w:sz w:val="20"/>
        </w:rPr>
        <w:t xml:space="preserve"> 同步注浆及关键部位抬升控沉</w:t>
      </w:r>
      <w:r>
        <w:br/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采用双泵多管路对称同步注浆，及时填充管</w:t>
      </w:r>
    </w:p>
    <w:p>
      <w:pPr>
        <w:sectPr>
          <w:type w:val="continuous"/>
          <w:pgSz w:w="11906" w:h="16157"/>
          <w:pgMar w:top="926" w:right="1358" w:bottom="168" w:left="400" w:header="720" w:footer="720" w:gutter="0"/>
          <w:cols w:num="2" w:equalWidth="0">
            <w:col w:w="5440" w:space="0"/>
            <w:col w:w="4708" w:space="0"/>
          </w:cols>
          <w:docGrid w:linePitch="360"/>
        </w:sectPr>
      </w:pPr>
    </w:p>
    <w:p>
      <w:pPr>
        <w:autoSpaceDN w:val="0"/>
        <w:autoSpaceDE w:val="0"/>
        <w:widowControl/>
        <w:spacing w:line="286" w:lineRule="auto" w:before="0" w:after="0"/>
        <w:ind w:left="226" w:right="116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王前区间下穿段左右线及并行段左线进行径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向补偿注浆。盾尾脱离管片3～5 环后，奇偶数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环选取不同的点位钻孔开始径向注浆，注浆半径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≥0.8m，先注水玻璃凝固再注双液浆。工香区间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待管片脱出盾尾后15 环（同步及二次浆液凝固），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出现超方时径向补偿注浆，注浆半径≥1m，压力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＜0.5MPa，稳压≥30min，如图3、图4 所示。径向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注浆后根据地表沉降监测数据以确保注浆效果。</w:t>
      </w:r>
    </w:p>
    <w:p>
      <w:pPr>
        <w:autoSpaceDN w:val="0"/>
        <w:tabs>
          <w:tab w:pos="634" w:val="left"/>
        </w:tabs>
        <w:autoSpaceDE w:val="0"/>
        <w:widowControl/>
        <w:spacing w:line="266" w:lineRule="auto" w:before="108" w:after="470"/>
        <w:ind w:left="22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2.3.7</w:t>
      </w:r>
      <w:r>
        <w:rPr>
          <w:w w:val="101.00000381469727"/>
          <w:rFonts w:ascii="HYc1gj" w:hAnsi="HYc1gj" w:eastAsia="HYc1gj"/>
          <w:b w:val="0"/>
          <w:i w:val="0"/>
          <w:color w:val="221F1F"/>
          <w:sz w:val="20"/>
        </w:rPr>
        <w:t xml:space="preserve"> 加强型管片、注浆加固隔离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盾构穿越五环路主路基段采用II 类加强型管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片，通过壁后注浆孔向影响区域结构拱部180°范</w:t>
      </w:r>
    </w:p>
    <w:p>
      <w:pPr>
        <w:sectPr>
          <w:type w:val="nextColumn"/>
          <w:pgSz w:w="11906" w:h="16157"/>
          <w:pgMar w:top="926" w:right="1358" w:bottom="168" w:left="400" w:header="720" w:footer="720" w:gutter="0"/>
          <w:cols w:num="2" w:equalWidth="0">
            <w:col w:w="5440" w:space="0"/>
            <w:col w:w="4708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848" w:right="0" w:firstLine="0"/>
        <w:jc w:val="left"/>
      </w:pPr>
      <w:r>
        <w:rPr>
          <w:rFonts w:ascii="HYb1gj" w:hAnsi="HYb1gj" w:eastAsia="HYb1gj"/>
          <w:b w:val="0"/>
          <w:i w:val="0"/>
          <w:color w:val="6C6E70"/>
          <w:sz w:val="32"/>
        </w:rPr>
        <w:t>16</w:t>
      </w:r>
      <w:r>
        <w:rPr>
          <w:rFonts w:ascii="HYb1gj" w:hAnsi="HYb1gj" w:eastAsia="HYb1gj"/>
          <w:b w:val="0"/>
          <w:i w:val="0"/>
          <w:color w:val="221F1F"/>
          <w:sz w:val="15"/>
        </w:rPr>
        <w:t xml:space="preserve"> 2022(12) </w:t>
      </w:r>
      <w:r>
        <w:rPr>
          <w:rFonts w:ascii="HYb1gj" w:hAnsi="HYb1gj" w:eastAsia="HYb1gj"/>
          <w:b w:val="0"/>
          <w:i w:val="0"/>
          <w:color w:val="221F1F"/>
          <w:sz w:val="14"/>
        </w:rPr>
        <w:t xml:space="preserve">CONSTRUCTION MECHANIZATION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157"/>
          <w:pgMar w:top="926" w:right="135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5054600</wp:posOffset>
            </wp:positionV>
            <wp:extent cx="381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5245100</wp:posOffset>
            </wp:positionV>
            <wp:extent cx="381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5016500</wp:posOffset>
            </wp:positionV>
            <wp:extent cx="381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5003800</wp:posOffset>
            </wp:positionV>
            <wp:extent cx="381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4965700</wp:posOffset>
            </wp:positionV>
            <wp:extent cx="76200" cy="635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4953000</wp:posOffset>
            </wp:positionV>
            <wp:extent cx="88900" cy="762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4940300</wp:posOffset>
            </wp:positionV>
            <wp:extent cx="381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4927600</wp:posOffset>
            </wp:positionV>
            <wp:extent cx="38100" cy="38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4927600</wp:posOffset>
            </wp:positionV>
            <wp:extent cx="38100" cy="3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4914900</wp:posOffset>
            </wp:positionV>
            <wp:extent cx="381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4914900</wp:posOffset>
            </wp:positionV>
            <wp:extent cx="381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4902200</wp:posOffset>
            </wp:positionV>
            <wp:extent cx="50800" cy="508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4876800</wp:posOffset>
            </wp:positionV>
            <wp:extent cx="381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4864100</wp:posOffset>
            </wp:positionV>
            <wp:extent cx="381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4826000</wp:posOffset>
            </wp:positionV>
            <wp:extent cx="88900" cy="1016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4813300</wp:posOffset>
            </wp:positionV>
            <wp:extent cx="38100" cy="38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4787900</wp:posOffset>
            </wp:positionV>
            <wp:extent cx="38100" cy="38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5092700</wp:posOffset>
            </wp:positionV>
            <wp:extent cx="381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5067300</wp:posOffset>
            </wp:positionV>
            <wp:extent cx="381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5054600</wp:posOffset>
            </wp:positionV>
            <wp:extent cx="38100" cy="254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5156200</wp:posOffset>
            </wp:positionV>
            <wp:extent cx="38100" cy="508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5181600</wp:posOffset>
            </wp:positionV>
            <wp:extent cx="254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4826000</wp:posOffset>
            </wp:positionV>
            <wp:extent cx="88900" cy="1143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4528820</wp:posOffset>
            </wp:positionV>
            <wp:extent cx="1799589" cy="1124743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99589" cy="11247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6502400</wp:posOffset>
            </wp:positionV>
            <wp:extent cx="25400" cy="254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6489700</wp:posOffset>
            </wp:positionV>
            <wp:extent cx="25400" cy="381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6489700</wp:posOffset>
            </wp:positionV>
            <wp:extent cx="25400" cy="254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6286500</wp:posOffset>
            </wp:positionV>
            <wp:extent cx="25400" cy="254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6273800</wp:posOffset>
            </wp:positionV>
            <wp:extent cx="25400" cy="254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4020820</wp:posOffset>
            </wp:positionH>
            <wp:positionV relativeFrom="page">
              <wp:posOffset>6038850</wp:posOffset>
            </wp:positionV>
            <wp:extent cx="2722879" cy="1924899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22879" cy="19248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7810500</wp:posOffset>
            </wp:positionV>
            <wp:extent cx="38100" cy="508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7810500</wp:posOffset>
            </wp:positionV>
            <wp:extent cx="50800" cy="508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7747000</wp:posOffset>
            </wp:positionV>
            <wp:extent cx="381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5448300</wp:posOffset>
            </wp:positionH>
            <wp:positionV relativeFrom="page">
              <wp:posOffset>7632700</wp:posOffset>
            </wp:positionV>
            <wp:extent cx="38100" cy="381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7632700</wp:posOffset>
            </wp:positionV>
            <wp:extent cx="38100" cy="38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7645400</wp:posOffset>
            </wp:positionV>
            <wp:extent cx="381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7531100</wp:posOffset>
            </wp:positionV>
            <wp:extent cx="381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7531100</wp:posOffset>
            </wp:positionV>
            <wp:extent cx="381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4546600</wp:posOffset>
            </wp:positionH>
            <wp:positionV relativeFrom="page">
              <wp:posOffset>7277100</wp:posOffset>
            </wp:positionV>
            <wp:extent cx="38100" cy="381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7226300</wp:posOffset>
            </wp:positionV>
            <wp:extent cx="38100" cy="381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7188200</wp:posOffset>
            </wp:positionV>
            <wp:extent cx="38100" cy="381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7188200</wp:posOffset>
            </wp:positionV>
            <wp:extent cx="38100" cy="381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7150100</wp:posOffset>
            </wp:positionV>
            <wp:extent cx="38100" cy="381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5994400</wp:posOffset>
            </wp:positionH>
            <wp:positionV relativeFrom="page">
              <wp:posOffset>7023100</wp:posOffset>
            </wp:positionV>
            <wp:extent cx="38100" cy="381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6883400</wp:posOffset>
            </wp:positionV>
            <wp:extent cx="38100" cy="381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6883400</wp:posOffset>
            </wp:positionV>
            <wp:extent cx="38100" cy="381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6781800</wp:posOffset>
            </wp:positionV>
            <wp:extent cx="38100" cy="381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6807200</wp:posOffset>
            </wp:positionV>
            <wp:extent cx="38100" cy="381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6629400</wp:posOffset>
            </wp:positionV>
            <wp:extent cx="38100" cy="381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6616700</wp:posOffset>
            </wp:positionV>
            <wp:extent cx="38100" cy="38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6578600</wp:posOffset>
            </wp:positionV>
            <wp:extent cx="38100" cy="381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6464300</wp:posOffset>
            </wp:positionV>
            <wp:extent cx="50800" cy="508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6515100</wp:posOffset>
            </wp:positionV>
            <wp:extent cx="38100" cy="381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6388100</wp:posOffset>
            </wp:positionV>
            <wp:extent cx="38100" cy="381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6413500</wp:posOffset>
            </wp:positionV>
            <wp:extent cx="50800" cy="508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6286500</wp:posOffset>
            </wp:positionV>
            <wp:extent cx="38100" cy="381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6286500</wp:posOffset>
            </wp:positionV>
            <wp:extent cx="381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6286500</wp:posOffset>
            </wp:positionV>
            <wp:extent cx="38100" cy="381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6235700</wp:posOffset>
            </wp:positionH>
            <wp:positionV relativeFrom="page">
              <wp:posOffset>6324600</wp:posOffset>
            </wp:positionV>
            <wp:extent cx="38100" cy="38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6286500</wp:posOffset>
            </wp:positionV>
            <wp:extent cx="38100" cy="381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6223000</wp:posOffset>
            </wp:positionV>
            <wp:extent cx="38100" cy="381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6134100</wp:posOffset>
            </wp:positionV>
            <wp:extent cx="38100" cy="381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6223000</wp:posOffset>
            </wp:positionV>
            <wp:extent cx="38100" cy="381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6197600</wp:posOffset>
            </wp:positionV>
            <wp:extent cx="38100" cy="508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6083300</wp:posOffset>
            </wp:positionV>
            <wp:extent cx="38100" cy="381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7670800</wp:posOffset>
            </wp:positionV>
            <wp:extent cx="50800" cy="254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6616700</wp:posOffset>
            </wp:positionH>
            <wp:positionV relativeFrom="page">
              <wp:posOffset>7658100</wp:posOffset>
            </wp:positionV>
            <wp:extent cx="25400" cy="381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5753100</wp:posOffset>
            </wp:positionH>
            <wp:positionV relativeFrom="page">
              <wp:posOffset>7302500</wp:posOffset>
            </wp:positionV>
            <wp:extent cx="254000" cy="254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7150100</wp:posOffset>
            </wp:positionV>
            <wp:extent cx="25400" cy="254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7150100</wp:posOffset>
            </wp:positionV>
            <wp:extent cx="25400" cy="254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7137400</wp:posOffset>
            </wp:positionV>
            <wp:extent cx="50800" cy="381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6654800</wp:posOffset>
            </wp:positionH>
            <wp:positionV relativeFrom="page">
              <wp:posOffset>6934200</wp:posOffset>
            </wp:positionV>
            <wp:extent cx="38100" cy="254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6553200</wp:posOffset>
            </wp:positionH>
            <wp:positionV relativeFrom="page">
              <wp:posOffset>6908800</wp:posOffset>
            </wp:positionV>
            <wp:extent cx="25400" cy="254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6934200</wp:posOffset>
            </wp:positionV>
            <wp:extent cx="25400" cy="254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4457700</wp:posOffset>
            </wp:positionH>
            <wp:positionV relativeFrom="page">
              <wp:posOffset>6934200</wp:posOffset>
            </wp:positionV>
            <wp:extent cx="25400" cy="254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6921500</wp:posOffset>
            </wp:positionV>
            <wp:extent cx="25400" cy="381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6807200</wp:posOffset>
            </wp:positionV>
            <wp:extent cx="25400" cy="508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6832600</wp:posOffset>
            </wp:positionV>
            <wp:extent cx="25400" cy="254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5651500</wp:posOffset>
            </wp:positionH>
            <wp:positionV relativeFrom="page">
              <wp:posOffset>6807200</wp:posOffset>
            </wp:positionV>
            <wp:extent cx="25400" cy="254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1061720</wp:posOffset>
            </wp:positionH>
            <wp:positionV relativeFrom="page">
              <wp:posOffset>1122680</wp:posOffset>
            </wp:positionV>
            <wp:extent cx="2520950" cy="1479688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4796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2324100</wp:posOffset>
            </wp:positionV>
            <wp:extent cx="50800" cy="508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2298700</wp:posOffset>
            </wp:positionV>
            <wp:extent cx="38100" cy="381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2260600</wp:posOffset>
            </wp:positionV>
            <wp:extent cx="38100" cy="381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2463800</wp:posOffset>
            </wp:positionV>
            <wp:extent cx="38100" cy="381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2438400</wp:posOffset>
            </wp:positionV>
            <wp:extent cx="38100" cy="381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2374900</wp:posOffset>
            </wp:positionV>
            <wp:extent cx="38100" cy="381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2362200</wp:posOffset>
            </wp:positionV>
            <wp:extent cx="38100" cy="381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2362200</wp:posOffset>
            </wp:positionV>
            <wp:extent cx="38100" cy="381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2324100</wp:posOffset>
            </wp:positionV>
            <wp:extent cx="50800" cy="508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2324100</wp:posOffset>
            </wp:positionV>
            <wp:extent cx="38100" cy="381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2324100</wp:posOffset>
            </wp:positionV>
            <wp:extent cx="38100" cy="381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2247900</wp:posOffset>
            </wp:positionV>
            <wp:extent cx="38100" cy="381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2235200</wp:posOffset>
            </wp:positionV>
            <wp:extent cx="101600" cy="1397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2209800</wp:posOffset>
            </wp:positionV>
            <wp:extent cx="38100" cy="381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2171700</wp:posOffset>
            </wp:positionV>
            <wp:extent cx="63500" cy="635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2146300</wp:posOffset>
            </wp:positionV>
            <wp:extent cx="203200" cy="1905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2133600</wp:posOffset>
            </wp:positionV>
            <wp:extent cx="50800" cy="381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2133600</wp:posOffset>
            </wp:positionV>
            <wp:extent cx="38100" cy="381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2133600</wp:posOffset>
            </wp:positionV>
            <wp:extent cx="38100" cy="381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2108200</wp:posOffset>
            </wp:positionV>
            <wp:extent cx="63500" cy="635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2082800</wp:posOffset>
            </wp:positionV>
            <wp:extent cx="76200" cy="762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2082800</wp:posOffset>
            </wp:positionV>
            <wp:extent cx="50800" cy="508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2082800</wp:posOffset>
            </wp:positionV>
            <wp:extent cx="38100" cy="381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2082800</wp:posOffset>
            </wp:positionV>
            <wp:extent cx="38100" cy="381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2082800</wp:posOffset>
            </wp:positionV>
            <wp:extent cx="38100" cy="381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2070100</wp:posOffset>
            </wp:positionV>
            <wp:extent cx="38100" cy="508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2057400</wp:posOffset>
            </wp:positionV>
            <wp:extent cx="38100" cy="381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2044700</wp:posOffset>
            </wp:positionV>
            <wp:extent cx="50800" cy="635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2019300</wp:posOffset>
            </wp:positionV>
            <wp:extent cx="38100" cy="381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1727200</wp:posOffset>
            </wp:positionV>
            <wp:extent cx="38100" cy="381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1701800</wp:posOffset>
            </wp:positionV>
            <wp:extent cx="50800" cy="381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1752600</wp:posOffset>
            </wp:positionV>
            <wp:extent cx="38100" cy="381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1701800</wp:posOffset>
            </wp:positionV>
            <wp:extent cx="38100" cy="381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1689100</wp:posOffset>
            </wp:positionV>
            <wp:extent cx="50800" cy="381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1778000</wp:posOffset>
            </wp:positionV>
            <wp:extent cx="38100" cy="381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2019300</wp:posOffset>
            </wp:positionV>
            <wp:extent cx="50800" cy="508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1993900</wp:posOffset>
            </wp:positionV>
            <wp:extent cx="38100" cy="381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1993900</wp:posOffset>
            </wp:positionV>
            <wp:extent cx="38100" cy="381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1943100</wp:posOffset>
            </wp:positionV>
            <wp:extent cx="63500" cy="508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1905000</wp:posOffset>
            </wp:positionV>
            <wp:extent cx="38100" cy="508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1892300</wp:posOffset>
            </wp:positionV>
            <wp:extent cx="38100" cy="381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1816100</wp:posOffset>
            </wp:positionV>
            <wp:extent cx="38100" cy="381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1714500</wp:posOffset>
            </wp:positionV>
            <wp:extent cx="38100" cy="381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1701800</wp:posOffset>
            </wp:positionV>
            <wp:extent cx="63500" cy="508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1701800</wp:posOffset>
            </wp:positionV>
            <wp:extent cx="50800" cy="381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1701800</wp:posOffset>
            </wp:positionV>
            <wp:extent cx="50800" cy="508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1689100</wp:posOffset>
            </wp:positionV>
            <wp:extent cx="63500" cy="635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1676400</wp:posOffset>
            </wp:positionV>
            <wp:extent cx="50800" cy="381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1714500</wp:posOffset>
            </wp:positionV>
            <wp:extent cx="50800" cy="508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1701800</wp:posOffset>
            </wp:positionV>
            <wp:extent cx="50800" cy="381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1701800</wp:posOffset>
            </wp:positionV>
            <wp:extent cx="50800" cy="508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2095500</wp:posOffset>
            </wp:positionV>
            <wp:extent cx="38100" cy="381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2057400</wp:posOffset>
            </wp:positionV>
            <wp:extent cx="38100" cy="889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2057400</wp:posOffset>
            </wp:positionV>
            <wp:extent cx="38100" cy="381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2044700</wp:posOffset>
            </wp:positionV>
            <wp:extent cx="38100" cy="381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1701800</wp:posOffset>
            </wp:positionV>
            <wp:extent cx="38100" cy="381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1625600</wp:posOffset>
            </wp:positionV>
            <wp:extent cx="38100" cy="381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1549400</wp:posOffset>
            </wp:positionV>
            <wp:extent cx="63500" cy="3810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1549400</wp:posOffset>
            </wp:positionV>
            <wp:extent cx="38100" cy="3810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1549400</wp:posOffset>
            </wp:positionV>
            <wp:extent cx="38100" cy="381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1549400</wp:posOffset>
            </wp:positionV>
            <wp:extent cx="50800" cy="3810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1536700</wp:posOffset>
            </wp:positionV>
            <wp:extent cx="38100" cy="381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1524000</wp:posOffset>
            </wp:positionV>
            <wp:extent cx="38100" cy="508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3149600</wp:posOffset>
            </wp:positionH>
            <wp:positionV relativeFrom="page">
              <wp:posOffset>1511300</wp:posOffset>
            </wp:positionV>
            <wp:extent cx="50800" cy="381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1498600</wp:posOffset>
            </wp:positionV>
            <wp:extent cx="38100" cy="381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1460500</wp:posOffset>
            </wp:positionV>
            <wp:extent cx="38100" cy="3810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1435100</wp:posOffset>
            </wp:positionV>
            <wp:extent cx="63500" cy="7620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1422400</wp:posOffset>
            </wp:positionV>
            <wp:extent cx="38100" cy="381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1422400</wp:posOffset>
            </wp:positionV>
            <wp:extent cx="38100" cy="381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1409700</wp:posOffset>
            </wp:positionV>
            <wp:extent cx="38100" cy="3810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1308100</wp:posOffset>
            </wp:positionV>
            <wp:extent cx="38100" cy="3810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1638300</wp:posOffset>
            </wp:positionV>
            <wp:extent cx="38100" cy="3810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1498600</wp:posOffset>
            </wp:positionV>
            <wp:extent cx="50800" cy="6350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1435100</wp:posOffset>
            </wp:positionV>
            <wp:extent cx="38100" cy="3810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2260600</wp:posOffset>
            </wp:positionV>
            <wp:extent cx="50800" cy="3810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2425700</wp:posOffset>
            </wp:positionV>
            <wp:extent cx="25400" cy="3810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2400300</wp:posOffset>
            </wp:positionV>
            <wp:extent cx="38100" cy="2540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2362200</wp:posOffset>
            </wp:positionV>
            <wp:extent cx="50800" cy="508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2362200</wp:posOffset>
            </wp:positionV>
            <wp:extent cx="25400" cy="2540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2286000</wp:posOffset>
            </wp:positionV>
            <wp:extent cx="25400" cy="63500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2197100</wp:posOffset>
            </wp:positionV>
            <wp:extent cx="25400" cy="50800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2171700</wp:posOffset>
            </wp:positionV>
            <wp:extent cx="114300" cy="50800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1968500</wp:posOffset>
            </wp:positionV>
            <wp:extent cx="63500" cy="762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1892300</wp:posOffset>
            </wp:positionV>
            <wp:extent cx="50800" cy="50800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1892300</wp:posOffset>
            </wp:positionV>
            <wp:extent cx="25400" cy="3810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1727200</wp:posOffset>
            </wp:positionV>
            <wp:extent cx="25400" cy="2540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1460500</wp:posOffset>
            </wp:positionV>
            <wp:extent cx="50800" cy="2540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1422400</wp:posOffset>
            </wp:positionV>
            <wp:extent cx="38100" cy="25400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1384300</wp:posOffset>
            </wp:positionV>
            <wp:extent cx="25400" cy="38100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1346200</wp:posOffset>
            </wp:positionV>
            <wp:extent cx="38100" cy="38100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1346200</wp:posOffset>
            </wp:positionV>
            <wp:extent cx="25400" cy="25400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1282700</wp:posOffset>
            </wp:positionV>
            <wp:extent cx="25400" cy="25400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1257300</wp:posOffset>
            </wp:positionV>
            <wp:extent cx="38100" cy="25400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8636000</wp:posOffset>
            </wp:positionV>
            <wp:extent cx="38100" cy="38100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8458200</wp:posOffset>
            </wp:positionV>
            <wp:extent cx="38100" cy="38100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8458200</wp:posOffset>
            </wp:positionV>
            <wp:extent cx="38100" cy="38100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8458200</wp:posOffset>
            </wp:positionV>
            <wp:extent cx="38100" cy="3810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8623300</wp:posOffset>
            </wp:positionV>
            <wp:extent cx="38100" cy="38100"/>
            <wp:wrapNone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8585200</wp:posOffset>
            </wp:positionV>
            <wp:extent cx="38100" cy="50800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8585200</wp:posOffset>
            </wp:positionV>
            <wp:extent cx="38100" cy="38100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1061720</wp:posOffset>
            </wp:positionH>
            <wp:positionV relativeFrom="page">
              <wp:posOffset>7872730</wp:posOffset>
            </wp:positionV>
            <wp:extent cx="2520950" cy="1376171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376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8382000</wp:posOffset>
            </wp:positionV>
            <wp:extent cx="38100" cy="88900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8318500</wp:posOffset>
            </wp:positionV>
            <wp:extent cx="38100" cy="38100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8343900</wp:posOffset>
            </wp:positionV>
            <wp:extent cx="38100" cy="38100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8242300</wp:posOffset>
            </wp:positionV>
            <wp:extent cx="38100" cy="38100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8242300</wp:posOffset>
            </wp:positionV>
            <wp:extent cx="114300" cy="50800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8242300</wp:posOffset>
            </wp:positionV>
            <wp:extent cx="63500" cy="50800"/>
            <wp:wrapNone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8242300</wp:posOffset>
            </wp:positionV>
            <wp:extent cx="38100" cy="38100"/>
            <wp:wrapNone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8242300</wp:posOffset>
            </wp:positionV>
            <wp:extent cx="177800" cy="50800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8242300</wp:posOffset>
            </wp:positionV>
            <wp:extent cx="50800" cy="50800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8242300</wp:posOffset>
            </wp:positionV>
            <wp:extent cx="38100" cy="50800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8204200</wp:posOffset>
            </wp:positionV>
            <wp:extent cx="38100" cy="38100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8191500</wp:posOffset>
            </wp:positionV>
            <wp:extent cx="38100" cy="38100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8191500</wp:posOffset>
            </wp:positionV>
            <wp:extent cx="38100" cy="38100"/>
            <wp:wrapNone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8166100</wp:posOffset>
            </wp:positionV>
            <wp:extent cx="38100" cy="38100"/>
            <wp:wrapNone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8064500</wp:posOffset>
            </wp:positionV>
            <wp:extent cx="50800" cy="38100"/>
            <wp:wrapNone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8026400</wp:posOffset>
            </wp:positionV>
            <wp:extent cx="38100" cy="38100"/>
            <wp:wrapNone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7962900</wp:posOffset>
            </wp:positionV>
            <wp:extent cx="38100" cy="38100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7962900</wp:posOffset>
            </wp:positionV>
            <wp:extent cx="38100" cy="38100"/>
            <wp:wrapNone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8064500</wp:posOffset>
            </wp:positionV>
            <wp:extent cx="50800" cy="38100"/>
            <wp:wrapNone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8585200</wp:posOffset>
            </wp:positionV>
            <wp:extent cx="38100" cy="38100"/>
            <wp:wrapNone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8648700</wp:posOffset>
            </wp:positionV>
            <wp:extent cx="25400" cy="25400"/>
            <wp:wrapNone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8496300</wp:posOffset>
            </wp:positionV>
            <wp:extent cx="25400" cy="25400"/>
            <wp:wrapNone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8191500</wp:posOffset>
            </wp:positionV>
            <wp:extent cx="50800" cy="38100"/>
            <wp:wrapNone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8140700</wp:posOffset>
            </wp:positionV>
            <wp:extent cx="38100" cy="63500"/>
            <wp:wrapNone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8115300</wp:posOffset>
            </wp:positionV>
            <wp:extent cx="38100" cy="38100"/>
            <wp:wrapNone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8102600</wp:posOffset>
            </wp:positionV>
            <wp:extent cx="38100" cy="38100"/>
            <wp:wrapNone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8077200</wp:posOffset>
            </wp:positionV>
            <wp:extent cx="25400" cy="25400"/>
            <wp:wrapNone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8001000</wp:posOffset>
            </wp:positionV>
            <wp:extent cx="38100" cy="25400"/>
            <wp:wrapNone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7988300</wp:posOffset>
            </wp:positionV>
            <wp:extent cx="63500" cy="25400"/>
            <wp:wrapNone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2" w:lineRule="auto" w:before="0" w:after="0"/>
        <w:ind w:left="5892" w:right="22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增加同步及径向注浆减小地面沉降；严控浆液质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量，及时二次补浆及深孔注浆，控制盾尾通过后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的沉降；及时补偿注浆，控制后期固结沉降。</w:t>
      </w:r>
    </w:p>
    <w:p>
      <w:pPr>
        <w:autoSpaceDN w:val="0"/>
        <w:autoSpaceDE w:val="0"/>
        <w:widowControl/>
        <w:spacing w:line="266" w:lineRule="exact" w:before="272" w:after="0"/>
        <w:ind w:left="0" w:right="2588" w:firstLine="0"/>
        <w:jc w:val="right"/>
      </w:pPr>
      <w:r>
        <w:rPr>
          <w:rFonts w:ascii="Times" w:hAnsi="Times" w:eastAsia="Times"/>
          <w:b/>
          <w:i w:val="0"/>
          <w:color w:val="221F1F"/>
          <w:sz w:val="24"/>
        </w:rPr>
        <w:t>3</w:t>
      </w:r>
      <w:r>
        <w:rPr>
          <w:rFonts w:ascii="HYb1gj" w:hAnsi="HYb1gj" w:eastAsia="HYb1gj"/>
          <w:b w:val="0"/>
          <w:i w:val="0"/>
          <w:color w:val="221F1F"/>
          <w:sz w:val="24"/>
        </w:rPr>
        <w:t xml:space="preserve"> 监测情况分析</w:t>
      </w:r>
    </w:p>
    <w:p>
      <w:pPr>
        <w:autoSpaceDN w:val="0"/>
        <w:autoSpaceDE w:val="0"/>
        <w:widowControl/>
        <w:spacing w:line="185" w:lineRule="auto" w:before="244" w:after="66"/>
        <w:ind w:left="0" w:right="20" w:firstLine="0"/>
        <w:jc w:val="righ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采用基于小型化压差式静力水准仪及相应智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2570"/>
        <w:gridCol w:w="2570"/>
        <w:gridCol w:w="2570"/>
        <w:gridCol w:w="2570"/>
      </w:tblGrid>
      <w:tr>
        <w:trPr>
          <w:trHeight w:hRule="exact" w:val="24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1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9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900" cy="25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912" w:right="0" w:firstLine="0"/>
              <w:jc w:val="left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能采集和数据分析设备的自动化沉降实时监测系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8"/>
        <w:ind w:left="0" w:right="0"/>
      </w:pPr>
    </w:p>
    <w:p>
      <w:pPr>
        <w:sectPr>
          <w:pgSz w:w="11906" w:h="16157"/>
          <w:pgMar w:top="936" w:right="122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592" w:firstLine="0"/>
        <w:jc w:val="right"/>
      </w:pPr>
      <w:r>
        <w:rPr>
          <w:rFonts w:ascii="HYb1gj" w:hAnsi="HYb1gj" w:eastAsia="HYb1gj"/>
          <w:b w:val="0"/>
          <w:i w:val="0"/>
          <w:color w:val="221F1F"/>
          <w:sz w:val="18"/>
        </w:rPr>
        <w:t>图</w:t>
      </w:r>
      <w:r>
        <w:rPr>
          <w:rFonts w:ascii="Times" w:hAnsi="Times" w:eastAsia="Times"/>
          <w:b/>
          <w:i w:val="0"/>
          <w:color w:val="221F1F"/>
          <w:sz w:val="18"/>
        </w:rPr>
        <w:t>3</w:t>
      </w:r>
      <w:r>
        <w:rPr>
          <w:rFonts w:ascii="HYb1gj" w:hAnsi="HYb1gj" w:eastAsia="HYb1gj"/>
          <w:b w:val="0"/>
          <w:i w:val="0"/>
          <w:color w:val="221F1F"/>
          <w:sz w:val="18"/>
        </w:rPr>
        <w:t xml:space="preserve"> 工香盾构区间径向注浆范围示意图</w:t>
      </w:r>
    </w:p>
    <w:p>
      <w:pPr>
        <w:autoSpaceDN w:val="0"/>
        <w:autoSpaceDE w:val="0"/>
        <w:widowControl/>
        <w:spacing w:line="240" w:lineRule="auto" w:before="144" w:after="0"/>
        <w:ind w:left="0" w:right="46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60269" cy="12077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60269" cy="1207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0" w:lineRule="exact" w:before="50" w:after="0"/>
        <w:ind w:left="0" w:right="772" w:firstLine="0"/>
        <w:jc w:val="right"/>
      </w:pPr>
      <w:r>
        <w:rPr>
          <w:rFonts w:ascii="HYb1gj" w:hAnsi="HYb1gj" w:eastAsia="HYb1gj"/>
          <w:b w:val="0"/>
          <w:i w:val="0"/>
          <w:color w:val="221F1F"/>
          <w:sz w:val="18"/>
        </w:rPr>
        <w:t>图</w:t>
      </w:r>
      <w:r>
        <w:rPr>
          <w:rFonts w:ascii="Times" w:hAnsi="Times" w:eastAsia="Times"/>
          <w:b/>
          <w:i w:val="0"/>
          <w:color w:val="221F1F"/>
          <w:sz w:val="18"/>
        </w:rPr>
        <w:t>4</w:t>
      </w:r>
      <w:r>
        <w:rPr>
          <w:rFonts w:ascii="HYb1gj" w:hAnsi="HYb1gj" w:eastAsia="HYb1gj"/>
          <w:b w:val="0"/>
          <w:i w:val="0"/>
          <w:color w:val="221F1F"/>
          <w:sz w:val="18"/>
        </w:rPr>
        <w:t xml:space="preserve"> 工香盾构区间注浆位置示意图</w:t>
      </w:r>
    </w:p>
    <w:p>
      <w:pPr>
        <w:sectPr>
          <w:type w:val="continuous"/>
          <w:pgSz w:w="11906" w:h="16157"/>
          <w:pgMar w:top="936" w:right="1226" w:bottom="168" w:left="400" w:header="720" w:footer="720" w:gutter="0"/>
          <w:cols w:num="2" w:equalWidth="0">
            <w:col w:w="5424" w:space="0"/>
            <w:col w:w="485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468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统，24h 不间断监测既有线结构，实时掌握沉降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数值并调整施工参数。</w:t>
      </w:r>
    </w:p>
    <w:p>
      <w:pPr>
        <w:autoSpaceDN w:val="0"/>
        <w:tabs>
          <w:tab w:pos="878" w:val="left"/>
        </w:tabs>
        <w:autoSpaceDE w:val="0"/>
        <w:widowControl/>
        <w:spacing w:line="328" w:lineRule="exact" w:before="2" w:after="126"/>
        <w:ind w:left="468" w:right="0" w:firstLine="0"/>
        <w:jc w:val="left"/>
      </w:pP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.</w:t>
      </w: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1</w:t>
      </w:r>
      <w:r>
        <w:rPr>
          <w:w w:val="101.00000381469727"/>
          <w:rFonts w:ascii="HYb1gj" w:hAnsi="HYb1gj" w:eastAsia="HYb1gj"/>
          <w:b w:val="0"/>
          <w:i w:val="0"/>
          <w:color w:val="221F1F"/>
          <w:sz w:val="20"/>
        </w:rPr>
        <w:t xml:space="preserve"> 工香区间监测情况分析</w:t>
      </w:r>
      <w:r>
        <w:br/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机场线结构变形整体为下沉，变形量自邻近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下穿位置至两侧逐渐减小，各部位累计沉降值随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施工逐步增大，施工影响范围较小；盾构掘进至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既有线下穿部位时沉降速率明显加快；沉降最大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值在全部施工完成后区间中部底板处-1.76mm。</w:t>
      </w:r>
    </w:p>
    <w:p>
      <w:pPr>
        <w:sectPr>
          <w:type w:val="nextColumn"/>
          <w:pgSz w:w="11906" w:h="16157"/>
          <w:pgMar w:top="936" w:right="1226" w:bottom="168" w:left="400" w:header="720" w:footer="720" w:gutter="0"/>
          <w:cols w:num="2" w:equalWidth="0">
            <w:col w:w="5424" w:space="0"/>
            <w:col w:w="485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427"/>
        <w:gridCol w:w="3427"/>
        <w:gridCol w:w="3427"/>
      </w:tblGrid>
      <w:tr>
        <w:trPr>
          <w:trHeight w:hRule="exact" w:val="270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" w:after="0"/>
              <w:ind w:left="0" w:right="0" w:firstLine="0"/>
              <w:jc w:val="center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围内深孔径向注浆，双液浆，长度3m（图5）。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0" w:firstLine="0"/>
              <w:jc w:val="right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1）</w:t>
            </w:r>
            <w:r>
              <w:rPr>
                <w:w w:val="101.00000381469727"/>
                <w:rFonts w:ascii="HYd1gj" w:hAnsi="HYd1gj" w:eastAsia="HYd1gj"/>
                <w:b w:val="0"/>
                <w:i w:val="0"/>
                <w:color w:val="221F1F"/>
                <w:sz w:val="20"/>
              </w:rPr>
              <w:t>上行线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32" w:right="0" w:firstLine="0"/>
              <w:jc w:val="left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穿越前地面隆起0.2mm，穿</w:t>
            </w:r>
          </w:p>
        </w:tc>
      </w:tr>
    </w:tbl>
    <w:p>
      <w:pPr>
        <w:autoSpaceDN w:val="0"/>
        <w:autoSpaceDE w:val="0"/>
        <w:widowControl/>
        <w:spacing w:line="262" w:lineRule="auto" w:before="58" w:after="0"/>
        <w:ind w:left="5892" w:right="22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越中沉降-1.3mm，盾尾刚出既有线范围时沉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降-2mm，盾尾脱出后通过同步及二次注浆隆起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+1.2mm，最终累计沉降约-1.5mm。</w:t>
      </w:r>
    </w:p>
    <w:p>
      <w:pPr>
        <w:autoSpaceDN w:val="0"/>
        <w:tabs>
          <w:tab w:pos="1482" w:val="left"/>
          <w:tab w:pos="1952" w:val="left"/>
          <w:tab w:pos="5892" w:val="left"/>
          <w:tab w:pos="6302" w:val="left"/>
          <w:tab w:pos="7532" w:val="left"/>
        </w:tabs>
        <w:autoSpaceDE w:val="0"/>
        <w:widowControl/>
        <w:spacing w:line="330" w:lineRule="exact" w:before="0" w:after="0"/>
        <w:ind w:left="1074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2）</w:t>
      </w:r>
      <w:r>
        <w:rPr>
          <w:w w:val="101.00000381469727"/>
          <w:rFonts w:ascii="HYd1gj" w:hAnsi="HYd1gj" w:eastAsia="HYd1gj"/>
          <w:b w:val="0"/>
          <w:i w:val="0"/>
          <w:color w:val="221F1F"/>
          <w:sz w:val="20"/>
        </w:rPr>
        <w:t>下行线</w:t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穿越前地面隆起0.3mm，穿</w:t>
      </w:r>
      <w:r>
        <w:tab/>
      </w:r>
      <w:r>
        <w:tab/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越中沉降-1.1mm，盾尾刚出既有线范围时沉</w:t>
      </w:r>
      <w:r>
        <w:tab/>
      </w:r>
      <w:r>
        <w:tab/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降-1.8mm，盾尾脱出后通过同步及二次注浆隆</w:t>
      </w:r>
      <w:r>
        <w:tab/>
      </w:r>
      <w:r>
        <w:tab/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起+0.9mm，最终累计沉降约-1.0mm（图7)。</w:t>
      </w:r>
      <w:r>
        <w:rPr>
          <w:rFonts w:ascii="HYb1gj" w:hAnsi="HYb1gj" w:eastAsia="HYb1gj"/>
          <w:b w:val="0"/>
          <w:i w:val="0"/>
          <w:color w:val="221F1F"/>
          <w:sz w:val="18"/>
        </w:rPr>
        <w:t>图</w:t>
      </w:r>
      <w:r>
        <w:rPr>
          <w:rFonts w:ascii="Times" w:hAnsi="Times" w:eastAsia="Times"/>
          <w:b/>
          <w:i w:val="0"/>
          <w:color w:val="221F1F"/>
          <w:sz w:val="18"/>
        </w:rPr>
        <w:t>5</w:t>
      </w:r>
      <w:r>
        <w:rPr>
          <w:rFonts w:ascii="HYb1gj" w:hAnsi="HYb1gj" w:eastAsia="HYb1gj"/>
          <w:b w:val="0"/>
          <w:i w:val="0"/>
          <w:color w:val="221F1F"/>
          <w:sz w:val="18"/>
        </w:rPr>
        <w:t xml:space="preserve"> 隧道内径向注浆剖面示意图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采用地面竖直、斜向注浆管深孔注浆加固地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铁区间与东干渠之间地层，范围：纵向穿越段及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前后各6m、竖向为地铁区间底板以下5.4m、横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向为地铁区间外侧各6m。</w:t>
      </w:r>
    </w:p>
    <w:p>
      <w:pPr>
        <w:autoSpaceDN w:val="0"/>
        <w:autoSpaceDE w:val="0"/>
        <w:widowControl/>
        <w:spacing w:line="276" w:lineRule="auto" w:before="126" w:after="0"/>
        <w:ind w:left="1074" w:right="4840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盾构下穿京津城际铁路桥前，对紧邻的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281#、282# 主墩桩基侧面采用地面打设袖阀管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隔离注浆加固，宽度29m。穿越过程中补充注浆，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并及时洞内径向二次深孔注浆，如图6 所示。及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时壁后注浆，适当加大同步注浆量；盾尾脱出后</w:t>
      </w:r>
    </w:p>
    <w:p>
      <w:pPr>
        <w:autoSpaceDN w:val="0"/>
        <w:tabs>
          <w:tab w:pos="6050" w:val="left"/>
          <w:tab w:pos="6302" w:val="left"/>
        </w:tabs>
        <w:autoSpaceDE w:val="0"/>
        <w:widowControl/>
        <w:spacing w:line="334" w:lineRule="exact" w:before="290" w:after="0"/>
        <w:ind w:left="5892" w:right="0" w:firstLine="0"/>
        <w:jc w:val="left"/>
      </w:pPr>
      <w:r>
        <w:rPr>
          <w:rFonts w:ascii="HYb1gj" w:hAnsi="HYb1gj" w:eastAsia="HYb1gj"/>
          <w:b w:val="0"/>
          <w:i w:val="0"/>
          <w:color w:val="221F1F"/>
          <w:sz w:val="18"/>
        </w:rPr>
        <w:t>图</w:t>
      </w:r>
      <w:r>
        <w:rPr>
          <w:rFonts w:ascii="Times" w:hAnsi="Times" w:eastAsia="Times"/>
          <w:b/>
          <w:i w:val="0"/>
          <w:color w:val="221F1F"/>
          <w:sz w:val="18"/>
        </w:rPr>
        <w:t>7</w:t>
      </w:r>
      <w:r>
        <w:rPr>
          <w:rFonts w:ascii="HYb1gj" w:hAnsi="HYb1gj" w:eastAsia="HYb1gj"/>
          <w:b w:val="0"/>
          <w:i w:val="0"/>
          <w:color w:val="221F1F"/>
          <w:sz w:val="18"/>
        </w:rPr>
        <w:t xml:space="preserve"> 工香区间左右线穿越机场线动态实时变形曲线</w:t>
      </w:r>
      <w:r>
        <w:br/>
      </w: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.</w:t>
      </w: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2</w:t>
      </w:r>
      <w:r>
        <w:rPr>
          <w:w w:val="101.00000381469727"/>
          <w:rFonts w:ascii="HYb1gj" w:hAnsi="HYb1gj" w:eastAsia="HYb1gj"/>
          <w:b w:val="0"/>
          <w:i w:val="0"/>
          <w:color w:val="221F1F"/>
          <w:sz w:val="20"/>
        </w:rPr>
        <w:t xml:space="preserve"> 王前区间监测情况分析</w:t>
      </w:r>
      <w:r>
        <w:br/>
      </w:r>
      <w:r>
        <w:tab/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变形集中在盾构切口切入及盾尾脱出阶段，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盾尾脱出后8 日趋于稳定，有明显沉降突变；盾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构掘进前后变形形态变化明显，下沉持续时间基</w:t>
      </w:r>
    </w:p>
    <w:p>
      <w:pPr>
        <w:autoSpaceDN w:val="0"/>
        <w:tabs>
          <w:tab w:pos="5892" w:val="left"/>
        </w:tabs>
        <w:autoSpaceDE w:val="0"/>
        <w:widowControl/>
        <w:spacing w:line="240" w:lineRule="auto" w:before="126" w:after="0"/>
        <w:ind w:left="19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本在8 日以上，变化速率约0.5mm/d。</w:t>
      </w:r>
    </w:p>
    <w:p>
      <w:pPr>
        <w:autoSpaceDN w:val="0"/>
        <w:tabs>
          <w:tab w:pos="6302" w:val="left"/>
        </w:tabs>
        <w:autoSpaceDE w:val="0"/>
        <w:widowControl/>
        <w:spacing w:line="212" w:lineRule="exact" w:before="112" w:after="0"/>
        <w:ind w:left="1232" w:right="0" w:firstLine="0"/>
        <w:jc w:val="left"/>
      </w:pPr>
      <w:r>
        <w:rPr>
          <w:rFonts w:ascii="HYb1gj" w:hAnsi="HYb1gj" w:eastAsia="HYb1gj"/>
          <w:b w:val="0"/>
          <w:i w:val="0"/>
          <w:color w:val="221F1F"/>
          <w:sz w:val="18"/>
        </w:rPr>
        <w:t>图</w:t>
      </w:r>
      <w:r>
        <w:rPr>
          <w:rFonts w:ascii="Times" w:hAnsi="Times" w:eastAsia="Times"/>
          <w:b/>
          <w:i w:val="0"/>
          <w:color w:val="221F1F"/>
          <w:sz w:val="18"/>
        </w:rPr>
        <w:t>6</w:t>
      </w:r>
      <w:r>
        <w:rPr>
          <w:rFonts w:ascii="HYb1gj" w:hAnsi="HYb1gj" w:eastAsia="HYb1gj"/>
          <w:b w:val="0"/>
          <w:i w:val="0"/>
          <w:color w:val="221F1F"/>
          <w:sz w:val="18"/>
        </w:rPr>
        <w:t xml:space="preserve"> 下穿京津城际铁路高架桥地面袖阀管加固范围</w:t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盾构穿越2 号线：下穿完成既有结构累计变</w:t>
      </w:r>
    </w:p>
    <w:p>
      <w:pPr>
        <w:autoSpaceDN w:val="0"/>
        <w:autoSpaceDE w:val="0"/>
        <w:widowControl/>
        <w:spacing w:line="185" w:lineRule="auto" w:before="460" w:after="0"/>
        <w:ind w:left="0" w:right="22" w:firstLine="0"/>
        <w:jc w:val="right"/>
      </w:pPr>
      <w:r>
        <w:rPr>
          <w:rFonts w:ascii="HYb1gj" w:hAnsi="HYb1gj" w:eastAsia="HYb1gj"/>
          <w:b w:val="0"/>
          <w:i w:val="0"/>
          <w:color w:val="221F1F"/>
          <w:sz w:val="14"/>
        </w:rPr>
        <w:t xml:space="preserve">建筑机械化 </w:t>
      </w:r>
      <w:r>
        <w:rPr>
          <w:rFonts w:ascii="HYb1gj" w:hAnsi="HYb1gj" w:eastAsia="HYb1gj"/>
          <w:b w:val="0"/>
          <w:i w:val="0"/>
          <w:color w:val="221F1F"/>
          <w:sz w:val="15"/>
        </w:rPr>
        <w:t xml:space="preserve">2022(12) </w:t>
      </w:r>
      <w:r>
        <w:rPr>
          <w:rFonts w:ascii="HYb1gj" w:hAnsi="HYb1gj" w:eastAsia="HYb1gj"/>
          <w:b w:val="0"/>
          <w:i w:val="0"/>
          <w:color w:val="6C6E70"/>
          <w:sz w:val="32"/>
        </w:rPr>
        <w:t>17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157"/>
          <w:pgMar w:top="936" w:right="122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918210</wp:posOffset>
            </wp:positionH>
            <wp:positionV relativeFrom="page">
              <wp:posOffset>1769110</wp:posOffset>
            </wp:positionV>
            <wp:extent cx="2519679" cy="827721"/>
            <wp:wrapNone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2519679" cy="82772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2362200</wp:posOffset>
            </wp:positionV>
            <wp:extent cx="38100" cy="38100"/>
            <wp:wrapNone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2311400</wp:posOffset>
            </wp:positionV>
            <wp:extent cx="38100" cy="38100"/>
            <wp:wrapNone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2311400</wp:posOffset>
            </wp:positionV>
            <wp:extent cx="38100" cy="38100"/>
            <wp:wrapNone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2247900</wp:posOffset>
            </wp:positionV>
            <wp:extent cx="38100" cy="38100"/>
            <wp:wrapNone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2273300</wp:posOffset>
            </wp:positionV>
            <wp:extent cx="50800" cy="38100"/>
            <wp:wrapNone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2209800</wp:posOffset>
            </wp:positionV>
            <wp:extent cx="63500" cy="38100"/>
            <wp:wrapNone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2095500</wp:posOffset>
            </wp:positionV>
            <wp:extent cx="38100" cy="38100"/>
            <wp:wrapNone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2070100</wp:posOffset>
            </wp:positionV>
            <wp:extent cx="38100" cy="38100"/>
            <wp:wrapNone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2006600</wp:posOffset>
            </wp:positionV>
            <wp:extent cx="38100" cy="38100"/>
            <wp:wrapNone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2070100</wp:posOffset>
            </wp:positionV>
            <wp:extent cx="38100" cy="38100"/>
            <wp:wrapNone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2019300</wp:posOffset>
            </wp:positionV>
            <wp:extent cx="38100" cy="38100"/>
            <wp:wrapNone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1866900</wp:posOffset>
            </wp:positionV>
            <wp:extent cx="50800" cy="38100"/>
            <wp:wrapNone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2336800</wp:posOffset>
            </wp:positionV>
            <wp:extent cx="165100" cy="25400"/>
            <wp:wrapNone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2235200</wp:posOffset>
            </wp:positionV>
            <wp:extent cx="25400" cy="25400"/>
            <wp:wrapNone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2032000</wp:posOffset>
            </wp:positionV>
            <wp:extent cx="50800" cy="25400"/>
            <wp:wrapNone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2032000</wp:posOffset>
            </wp:positionV>
            <wp:extent cx="63500" cy="25400"/>
            <wp:wrapNone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2032000</wp:posOffset>
            </wp:positionV>
            <wp:extent cx="63500" cy="38100"/>
            <wp:wrapNone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2032000</wp:posOffset>
            </wp:positionV>
            <wp:extent cx="63500" cy="38100"/>
            <wp:wrapNone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1917700</wp:posOffset>
            </wp:positionV>
            <wp:extent cx="101600" cy="25400"/>
            <wp:wrapNone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828040</wp:posOffset>
            </wp:positionH>
            <wp:positionV relativeFrom="page">
              <wp:posOffset>4103370</wp:posOffset>
            </wp:positionV>
            <wp:extent cx="2700020" cy="938607"/>
            <wp:wrapNone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93860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4902200</wp:posOffset>
            </wp:positionV>
            <wp:extent cx="50800" cy="38100"/>
            <wp:wrapNone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4889500</wp:posOffset>
            </wp:positionV>
            <wp:extent cx="38100" cy="38100"/>
            <wp:wrapNone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4889500</wp:posOffset>
            </wp:positionV>
            <wp:extent cx="38100" cy="38100"/>
            <wp:wrapNone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4775200</wp:posOffset>
            </wp:positionV>
            <wp:extent cx="50800" cy="38100"/>
            <wp:wrapNone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4775200</wp:posOffset>
            </wp:positionV>
            <wp:extent cx="38100" cy="38100"/>
            <wp:wrapNone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4673600</wp:posOffset>
            </wp:positionV>
            <wp:extent cx="38100" cy="38100"/>
            <wp:wrapNone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4660900</wp:posOffset>
            </wp:positionV>
            <wp:extent cx="50800" cy="38100"/>
            <wp:wrapNone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4559300</wp:posOffset>
            </wp:positionV>
            <wp:extent cx="50800" cy="38100"/>
            <wp:wrapNone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4508500</wp:posOffset>
            </wp:positionV>
            <wp:extent cx="38100" cy="38100"/>
            <wp:wrapNone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4521200</wp:posOffset>
            </wp:positionV>
            <wp:extent cx="38100" cy="38100"/>
            <wp:wrapNone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4521200</wp:posOffset>
            </wp:positionV>
            <wp:extent cx="38100" cy="38100"/>
            <wp:wrapNone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4508500</wp:posOffset>
            </wp:positionV>
            <wp:extent cx="38100" cy="38100"/>
            <wp:wrapNone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4445000</wp:posOffset>
            </wp:positionV>
            <wp:extent cx="38100" cy="38100"/>
            <wp:wrapNone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4432300</wp:posOffset>
            </wp:positionV>
            <wp:extent cx="38100" cy="38100"/>
            <wp:wrapNone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1092200</wp:posOffset>
            </wp:positionH>
            <wp:positionV relativeFrom="page">
              <wp:posOffset>4381500</wp:posOffset>
            </wp:positionV>
            <wp:extent cx="50800" cy="38100"/>
            <wp:wrapNone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4635500</wp:posOffset>
            </wp:positionV>
            <wp:extent cx="25400" cy="25400"/>
            <wp:wrapNone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4648200</wp:posOffset>
            </wp:positionV>
            <wp:extent cx="38100" cy="25400"/>
            <wp:wrapNone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4648200</wp:posOffset>
            </wp:positionV>
            <wp:extent cx="50800" cy="25400"/>
            <wp:wrapNone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4622800</wp:posOffset>
            </wp:positionV>
            <wp:extent cx="50800" cy="25400"/>
            <wp:wrapNone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4305300</wp:posOffset>
            </wp:positionV>
            <wp:extent cx="25400" cy="25400"/>
            <wp:wrapNone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4305300</wp:posOffset>
            </wp:positionV>
            <wp:extent cx="63500" cy="25400"/>
            <wp:wrapNone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4203700</wp:posOffset>
            </wp:positionV>
            <wp:extent cx="114300" cy="25400"/>
            <wp:wrapNone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4203700</wp:posOffset>
            </wp:positionV>
            <wp:extent cx="88900" cy="25400"/>
            <wp:wrapNone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4203700</wp:posOffset>
            </wp:positionV>
            <wp:extent cx="25400" cy="25400"/>
            <wp:wrapNone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4191000</wp:posOffset>
            </wp:positionV>
            <wp:extent cx="38100" cy="38100"/>
            <wp:wrapNone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8851900</wp:posOffset>
            </wp:positionV>
            <wp:extent cx="38100" cy="38100"/>
            <wp:wrapNone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8712200</wp:posOffset>
            </wp:positionV>
            <wp:extent cx="38100" cy="38100"/>
            <wp:wrapNone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8750300</wp:posOffset>
            </wp:positionV>
            <wp:extent cx="38100" cy="38100"/>
            <wp:wrapNone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8610600</wp:posOffset>
            </wp:positionV>
            <wp:extent cx="50800" cy="38100"/>
            <wp:wrapNone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8597900</wp:posOffset>
            </wp:positionV>
            <wp:extent cx="38100" cy="38100"/>
            <wp:wrapNone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8648700</wp:posOffset>
            </wp:positionV>
            <wp:extent cx="38100" cy="38100"/>
            <wp:wrapNone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8636000</wp:posOffset>
            </wp:positionV>
            <wp:extent cx="38100" cy="38100"/>
            <wp:wrapNone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8610600</wp:posOffset>
            </wp:positionV>
            <wp:extent cx="50800" cy="38100"/>
            <wp:wrapNone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8534400</wp:posOffset>
            </wp:positionV>
            <wp:extent cx="38100" cy="38100"/>
            <wp:wrapNone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8534400</wp:posOffset>
            </wp:positionV>
            <wp:extent cx="38100" cy="38100"/>
            <wp:wrapNone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8826500</wp:posOffset>
            </wp:positionV>
            <wp:extent cx="25400" cy="25400"/>
            <wp:wrapNone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8839200</wp:posOffset>
            </wp:positionV>
            <wp:extent cx="25400" cy="25400"/>
            <wp:wrapNone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8826500</wp:posOffset>
            </wp:positionV>
            <wp:extent cx="25400" cy="25400"/>
            <wp:wrapNone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8826500</wp:posOffset>
            </wp:positionV>
            <wp:extent cx="38100" cy="38100"/>
            <wp:wrapNone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8813800</wp:posOffset>
            </wp:positionV>
            <wp:extent cx="25400" cy="38100"/>
            <wp:wrapNone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8813800</wp:posOffset>
            </wp:positionV>
            <wp:extent cx="101600" cy="50800"/>
            <wp:wrapNone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8521700</wp:posOffset>
            </wp:positionV>
            <wp:extent cx="38100" cy="25400"/>
            <wp:wrapNone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8521700</wp:posOffset>
            </wp:positionV>
            <wp:extent cx="38100" cy="25400"/>
            <wp:wrapNone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8407400</wp:posOffset>
            </wp:positionV>
            <wp:extent cx="50800" cy="25400"/>
            <wp:wrapNone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8407400</wp:posOffset>
            </wp:positionV>
            <wp:extent cx="88900" cy="25400"/>
            <wp:wrapNone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8407400</wp:posOffset>
            </wp:positionV>
            <wp:extent cx="63500" cy="25400"/>
            <wp:wrapNone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8407400</wp:posOffset>
            </wp:positionV>
            <wp:extent cx="215900" cy="25400"/>
            <wp:wrapNone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8407400</wp:posOffset>
            </wp:positionV>
            <wp:extent cx="457200" cy="25400"/>
            <wp:wrapNone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8407400</wp:posOffset>
            </wp:positionV>
            <wp:extent cx="279400" cy="25400"/>
            <wp:wrapNone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8407400</wp:posOffset>
            </wp:positionV>
            <wp:extent cx="139700" cy="25400"/>
            <wp:wrapNone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8407400</wp:posOffset>
            </wp:positionV>
            <wp:extent cx="342900" cy="25400"/>
            <wp:wrapNone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828040</wp:posOffset>
            </wp:positionH>
            <wp:positionV relativeFrom="page">
              <wp:posOffset>8232140</wp:posOffset>
            </wp:positionV>
            <wp:extent cx="2700020" cy="1030030"/>
            <wp:wrapNone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10300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9093200</wp:posOffset>
            </wp:positionV>
            <wp:extent cx="38100" cy="50800"/>
            <wp:wrapNone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9004300</wp:posOffset>
            </wp:positionV>
            <wp:extent cx="38100" cy="38100"/>
            <wp:wrapNone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9042400</wp:posOffset>
            </wp:positionV>
            <wp:extent cx="38100" cy="38100"/>
            <wp:wrapNone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8953500</wp:posOffset>
            </wp:positionV>
            <wp:extent cx="38100" cy="38100"/>
            <wp:wrapNone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8890000</wp:posOffset>
            </wp:positionV>
            <wp:extent cx="38100" cy="38100"/>
            <wp:wrapNone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8826500</wp:posOffset>
            </wp:positionV>
            <wp:extent cx="38100" cy="63500"/>
            <wp:wrapNone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8788400</wp:posOffset>
            </wp:positionV>
            <wp:extent cx="38100" cy="38100"/>
            <wp:wrapNone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157"/>
          <w:pgMar w:top="880" w:right="14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848" w:right="228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形最大-1.39mm，下穿段沉降最大-1.26mm，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占90%，既有结构沉降主要集中在下穿期间，侧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穿基本无影响。如图8 所示。</w:t>
      </w:r>
    </w:p>
    <w:p>
      <w:pPr>
        <w:sectPr>
          <w:type w:val="continuous"/>
          <w:pgSz w:w="11906" w:h="16157"/>
          <w:pgMar w:top="880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26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号线结构沉降最大约-1.39mm，造成国铁直径线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沉降最大约-0.72mm。</w:t>
      </w:r>
    </w:p>
    <w:p>
      <w:pPr>
        <w:autoSpaceDN w:val="0"/>
        <w:autoSpaceDE w:val="0"/>
        <w:widowControl/>
        <w:spacing w:line="271" w:lineRule="auto" w:before="126" w:after="272"/>
        <w:ind w:left="226" w:right="34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2）加强型管片及注浆隔离加固。北朝区间穿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越段采用加强型管片、提前注浆对既有线路隔离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加固保护、补充注浆、严控出土量、严禁超挖超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排等措施，安全、平稳穿越了特一级风险源。</w:t>
      </w:r>
    </w:p>
    <w:p>
      <w:pPr>
        <w:sectPr>
          <w:type w:val="nextColumn"/>
          <w:pgSz w:w="11906" w:h="16157"/>
          <w:pgMar w:top="880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5033"/>
        <w:gridCol w:w="5033"/>
      </w:tblGrid>
      <w:tr>
        <w:trPr>
          <w:trHeight w:hRule="exact" w:val="272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10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165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21F1F"/>
                <w:sz w:val="24"/>
              </w:rPr>
              <w:t>5</w:t>
            </w:r>
            <w:r>
              <w:rPr>
                <w:rFonts w:ascii="HYb1gj" w:hAnsi="HYb1gj" w:eastAsia="HYb1gj"/>
                <w:b w:val="0"/>
                <w:i w:val="0"/>
                <w:color w:val="221F1F"/>
                <w:sz w:val="24"/>
              </w:rPr>
              <w:t xml:space="preserve"> 结</w:t>
            </w:r>
            <w:r>
              <w:rPr>
                <w:rFonts w:ascii="HYb1gj" w:hAnsi="HYb1gj" w:eastAsia="HYb1gj"/>
                <w:b w:val="0"/>
                <w:i w:val="0"/>
                <w:color w:val="221F1F"/>
                <w:sz w:val="24"/>
              </w:rPr>
              <w:t>语</w:t>
            </w:r>
          </w:p>
        </w:tc>
      </w:tr>
    </w:tbl>
    <w:p>
      <w:pPr>
        <w:autoSpaceDN w:val="0"/>
        <w:autoSpaceDE w:val="0"/>
        <w:widowControl/>
        <w:spacing w:line="200" w:lineRule="exact" w:before="6" w:after="146"/>
        <w:ind w:left="1140" w:right="0" w:firstLine="0"/>
        <w:jc w:val="left"/>
      </w:pPr>
      <w:r>
        <w:rPr>
          <w:rFonts w:ascii="HYb1gj" w:hAnsi="HYb1gj" w:eastAsia="HYb1gj"/>
          <w:b w:val="0"/>
          <w:i w:val="0"/>
          <w:color w:val="221F1F"/>
          <w:sz w:val="18"/>
        </w:rPr>
        <w:t>图</w:t>
      </w:r>
      <w:r>
        <w:rPr>
          <w:rFonts w:ascii="Times" w:hAnsi="Times" w:eastAsia="Times"/>
          <w:b/>
          <w:i w:val="0"/>
          <w:color w:val="221F1F"/>
          <w:sz w:val="18"/>
        </w:rPr>
        <w:t>8</w:t>
      </w:r>
      <w:r>
        <w:rPr>
          <w:rFonts w:ascii="HYb1gj" w:hAnsi="HYb1gj" w:eastAsia="HYb1gj"/>
          <w:b w:val="0"/>
          <w:i w:val="0"/>
          <w:color w:val="221F1F"/>
          <w:sz w:val="18"/>
        </w:rPr>
        <w:t xml:space="preserve"> 王前区间穿越地铁</w:t>
      </w:r>
      <w:r>
        <w:rPr>
          <w:rFonts w:ascii="Times" w:hAnsi="Times" w:eastAsia="Times"/>
          <w:b/>
          <w:i w:val="0"/>
          <w:color w:val="221F1F"/>
          <w:sz w:val="18"/>
        </w:rPr>
        <w:t>2</w:t>
      </w:r>
      <w:r>
        <w:rPr>
          <w:rFonts w:ascii="HYb1gj" w:hAnsi="HYb1gj" w:eastAsia="HYb1gj"/>
          <w:b w:val="0"/>
          <w:i w:val="0"/>
          <w:color w:val="221F1F"/>
          <w:sz w:val="18"/>
        </w:rPr>
        <w:t>号线沉降变形时程曲线</w:t>
      </w:r>
    </w:p>
    <w:p>
      <w:pPr>
        <w:sectPr>
          <w:type w:val="continuous"/>
          <w:pgSz w:w="11906" w:h="16157"/>
          <w:pgMar w:top="880" w:right="14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1" w:lineRule="auto" w:before="0" w:after="0"/>
        <w:ind w:left="848" w:right="228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盾构穿越国铁直径线：下穿完成国铁直径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线轨道结构累计变形最大-0.72mm，在控制值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1mm 之内。沉降主要集中在下穿期间盾尾脱出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阶段，可通过同步注浆等少量多次的注浆方式控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制；盾尾通过后可通过二次补浆对已沉结构进行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微量抬升至变形稳定。如图9 所示。</w:t>
      </w:r>
    </w:p>
    <w:p>
      <w:pPr>
        <w:sectPr>
          <w:type w:val="continuous"/>
          <w:pgSz w:w="11906" w:h="16157"/>
          <w:pgMar w:top="880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226" w:right="34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1）3 个盾构区间均成功穿越特一级风险源，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措施有效变形可控。掘进参数控制应“匀速、连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续、均衡、饱满”。</w:t>
      </w:r>
    </w:p>
    <w:p>
      <w:pPr>
        <w:autoSpaceDN w:val="0"/>
        <w:autoSpaceDE w:val="0"/>
        <w:widowControl/>
        <w:spacing w:line="262" w:lineRule="auto" w:before="126" w:after="0"/>
        <w:ind w:left="226" w:right="34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2）自动化实时监测对变形控制发挥了重要作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用，高精度测量及高频度监测为每个环节提供及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时数据支持，确保穿越施工风险可控。</w:t>
      </w:r>
    </w:p>
    <w:p>
      <w:pPr>
        <w:autoSpaceDN w:val="0"/>
        <w:autoSpaceDE w:val="0"/>
        <w:widowControl/>
        <w:spacing w:line="271" w:lineRule="auto" w:before="126" w:after="126"/>
        <w:ind w:left="226" w:right="34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3）穿越既有线可按照如下思路风险管控：试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验段积累总结- 刀盘进入前微隆控沉- 刀盘切入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后尽量控沉- 盾构通过阶段同步注浆反复调整控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沉- 盾尾脱出同步注浆跟进- 盾尾脱出后二次注</w:t>
      </w:r>
    </w:p>
    <w:p>
      <w:pPr>
        <w:sectPr>
          <w:type w:val="nextColumn"/>
          <w:pgSz w:w="11906" w:h="16157"/>
          <w:pgMar w:top="880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0.0" w:type="dxa"/>
      </w:tblPr>
      <w:tblGrid>
        <w:gridCol w:w="5033"/>
        <w:gridCol w:w="5033"/>
      </w:tblGrid>
      <w:tr>
        <w:trPr>
          <w:trHeight w:hRule="exact" w:val="236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9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966" w:right="0" w:firstLine="0"/>
              <w:jc w:val="left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浆径向注浆至稳定并可微量抬升。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6"/>
        <w:ind w:left="0" w:right="0"/>
      </w:pPr>
    </w:p>
    <w:p>
      <w:pPr>
        <w:sectPr>
          <w:type w:val="continuous"/>
          <w:pgSz w:w="11906" w:h="16157"/>
          <w:pgMar w:top="880" w:right="1440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094" w:val="left"/>
        </w:tabs>
        <w:autoSpaceDE w:val="0"/>
        <w:widowControl/>
        <w:spacing w:line="276" w:lineRule="exact" w:before="0" w:after="0"/>
        <w:ind w:left="848" w:right="288" w:firstLine="0"/>
        <w:jc w:val="left"/>
      </w:pPr>
      <w:r>
        <w:tab/>
      </w:r>
      <w:r>
        <w:rPr>
          <w:rFonts w:ascii="HYb1gj" w:hAnsi="HYb1gj" w:eastAsia="HYb1gj"/>
          <w:b w:val="0"/>
          <w:i w:val="0"/>
          <w:color w:val="221F1F"/>
          <w:sz w:val="18"/>
        </w:rPr>
        <w:t>图</w:t>
      </w:r>
      <w:r>
        <w:rPr>
          <w:rFonts w:ascii="Times" w:hAnsi="Times" w:eastAsia="Times"/>
          <w:b/>
          <w:i w:val="0"/>
          <w:color w:val="221F1F"/>
          <w:sz w:val="18"/>
        </w:rPr>
        <w:t>9</w:t>
      </w:r>
      <w:r>
        <w:rPr>
          <w:rFonts w:ascii="HYb1gj" w:hAnsi="HYb1gj" w:eastAsia="HYb1gj"/>
          <w:b w:val="0"/>
          <w:i w:val="0"/>
          <w:color w:val="221F1F"/>
          <w:sz w:val="18"/>
        </w:rPr>
        <w:t>王前区间穿越国铁直径线沉降变形时程曲线</w:t>
      </w: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.</w:t>
      </w: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3</w:t>
      </w:r>
      <w:r>
        <w:rPr>
          <w:w w:val="101.00000381469727"/>
          <w:rFonts w:ascii="HYb1gj" w:hAnsi="HYb1gj" w:eastAsia="HYb1gj"/>
          <w:b w:val="0"/>
          <w:i w:val="0"/>
          <w:color w:val="221F1F"/>
          <w:sz w:val="20"/>
        </w:rPr>
        <w:t xml:space="preserve"> 北朝区间监测情况分析</w:t>
      </w:r>
    </w:p>
    <w:p>
      <w:pPr>
        <w:sectPr>
          <w:type w:val="continuous"/>
          <w:pgSz w:w="11906" w:h="16157"/>
          <w:pgMar w:top="880" w:right="1440" w:bottom="168" w:left="400" w:header="720" w:footer="720" w:gutter="0"/>
          <w:cols w:num="2" w:equalWidth="0">
            <w:col w:w="5316" w:space="0"/>
            <w:col w:w="4749" w:space="0"/>
          </w:cols>
          <w:docGrid w:linePitch="360"/>
        </w:sectPr>
      </w:pPr>
    </w:p>
    <w:p>
      <w:pPr>
        <w:autoSpaceDN w:val="0"/>
        <w:tabs>
          <w:tab w:pos="758" w:val="left"/>
        </w:tabs>
        <w:autoSpaceDE w:val="0"/>
        <w:widowControl/>
        <w:spacing w:line="245" w:lineRule="auto" w:before="0" w:after="238"/>
        <w:ind w:left="350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4）进度控制8～12 环/d，考虑时空效应，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 xml:space="preserve">左右线应错距50m 以上。 </w:t>
      </w:r>
      <w:r>
        <w:rPr>
          <w:rFonts w:ascii="STZhongsong" w:hAnsi="STZhongsong" w:eastAsia="STZhongsong"/>
          <w:b w:val="0"/>
          <w:i w:val="0"/>
          <w:color w:val="FFFFFF"/>
          <w:sz w:val="16"/>
        </w:rPr>
        <w:t>O</w:t>
      </w:r>
    </w:p>
    <w:p>
      <w:pPr>
        <w:sectPr>
          <w:type w:val="nextColumn"/>
          <w:pgSz w:w="11906" w:h="16157"/>
          <w:pgMar w:top="880" w:right="1440" w:bottom="168" w:left="400" w:header="720" w:footer="720" w:gutter="0"/>
          <w:cols w:num="2" w:equalWidth="0">
            <w:col w:w="5316" w:space="0"/>
            <w:col w:w="4749" w:space="0"/>
          </w:cols>
          <w:docGrid w:linePitch="360"/>
        </w:sectPr>
      </w:pPr>
    </w:p>
    <w:p>
      <w:pPr>
        <w:autoSpaceDN w:val="0"/>
        <w:tabs>
          <w:tab w:pos="7430" w:val="left"/>
        </w:tabs>
        <w:autoSpaceDE w:val="0"/>
        <w:widowControl/>
        <w:spacing w:line="218" w:lineRule="auto" w:before="0" w:after="0"/>
        <w:ind w:left="1256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三处特一级风险源穿越前后地表、桥墩沉降</w:t>
      </w:r>
      <w:r>
        <w:tab/>
      </w:r>
      <w:r>
        <w:rPr>
          <w:rFonts w:ascii="HYb1gj" w:hAnsi="HYb1gj" w:eastAsia="HYb1gj"/>
          <w:b w:val="0"/>
          <w:i w:val="0"/>
          <w:color w:val="221F1F"/>
          <w:sz w:val="18"/>
        </w:rPr>
        <w:t>[参考文献]</w:t>
      </w:r>
    </w:p>
    <w:p>
      <w:pPr>
        <w:autoSpaceDN w:val="0"/>
        <w:autoSpaceDE w:val="0"/>
        <w:widowControl/>
        <w:spacing w:line="185" w:lineRule="auto" w:before="88" w:after="126"/>
        <w:ind w:left="848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监测数据及沉降槽变化：①穿越过程中京津高铁</w:t>
      </w:r>
    </w:p>
    <w:p>
      <w:pPr>
        <w:sectPr>
          <w:type w:val="continuous"/>
          <w:pgSz w:w="11906" w:h="16157"/>
          <w:pgMar w:top="880" w:right="14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848" w:right="228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桥和南水北调东干渠整体变形较小；②穿越五环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路造成最大沉降13mm 左右，穿越后仍有一定变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形量并逐步稳定。</w:t>
      </w:r>
    </w:p>
    <w:p>
      <w:pPr>
        <w:sectPr>
          <w:type w:val="continuous"/>
          <w:pgSz w:w="11906" w:h="16157"/>
          <w:pgMar w:top="880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tabs>
          <w:tab w:pos="606" w:val="left"/>
        </w:tabs>
        <w:autoSpaceDE w:val="0"/>
        <w:widowControl/>
        <w:spacing w:line="257" w:lineRule="auto" w:before="0" w:after="0"/>
        <w:ind w:left="226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8"/>
        </w:rPr>
        <w:t>[1]  杨广武．地下工程穿越既有地铁线路变形控制标准</w:t>
      </w:r>
      <w:r>
        <w:tab/>
      </w:r>
      <w:r>
        <w:rPr>
          <w:rFonts w:ascii="HYa6gj" w:hAnsi="HYa6gj" w:eastAsia="HYa6gj"/>
          <w:b w:val="0"/>
          <w:i w:val="0"/>
          <w:color w:val="221F1F"/>
          <w:sz w:val="18"/>
        </w:rPr>
        <w:t>和技术研究[D]．北京：北京交通大学，2010．</w:t>
      </w:r>
    </w:p>
    <w:p>
      <w:pPr>
        <w:autoSpaceDN w:val="0"/>
        <w:autoSpaceDE w:val="0"/>
        <w:widowControl/>
        <w:spacing w:line="257" w:lineRule="auto" w:before="140" w:after="84"/>
        <w:ind w:left="606" w:right="0" w:hanging="380"/>
        <w:jc w:val="left"/>
      </w:pPr>
      <w:r>
        <w:rPr>
          <w:rFonts w:ascii="HYa6gj" w:hAnsi="HYa6gj" w:eastAsia="HYa6gj"/>
          <w:b w:val="0"/>
          <w:i w:val="0"/>
          <w:color w:val="221F1F"/>
          <w:sz w:val="18"/>
        </w:rPr>
        <w:t>[2]  关继发．新建地铁隧道穿越既有地铁安全风险及其</w:t>
      </w:r>
      <w:r>
        <w:rPr>
          <w:rFonts w:ascii="HYa6gj" w:hAnsi="HYa6gj" w:eastAsia="HYa6gj"/>
          <w:b w:val="0"/>
          <w:i w:val="0"/>
          <w:color w:val="221F1F"/>
          <w:sz w:val="18"/>
        </w:rPr>
        <w:t>控制技术的研究[D]．西安：西安建筑科技大学，</w:t>
      </w:r>
    </w:p>
    <w:p>
      <w:pPr>
        <w:sectPr>
          <w:type w:val="nextColumn"/>
          <w:pgSz w:w="11906" w:h="16157"/>
          <w:pgMar w:top="880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tabs>
          <w:tab w:pos="6046" w:val="left"/>
        </w:tabs>
        <w:autoSpaceDE w:val="0"/>
        <w:widowControl/>
        <w:spacing w:line="266" w:lineRule="exact" w:before="0" w:after="244"/>
        <w:ind w:left="848" w:right="0" w:firstLine="0"/>
        <w:jc w:val="left"/>
      </w:pPr>
      <w:r>
        <w:rPr>
          <w:rFonts w:ascii="Times" w:hAnsi="Times" w:eastAsia="Times"/>
          <w:b/>
          <w:i w:val="0"/>
          <w:color w:val="221F1F"/>
          <w:sz w:val="24"/>
        </w:rPr>
        <w:t>4</w:t>
      </w:r>
      <w:r>
        <w:rPr>
          <w:rFonts w:ascii="HYb1gj" w:hAnsi="HYb1gj" w:eastAsia="HYb1gj"/>
          <w:b w:val="0"/>
          <w:i w:val="0"/>
          <w:color w:val="221F1F"/>
          <w:sz w:val="24"/>
        </w:rPr>
        <w:t xml:space="preserve"> 风险管控主要措施效果评价</w:t>
      </w:r>
      <w:r>
        <w:tab/>
      </w:r>
      <w:r>
        <w:rPr>
          <w:rFonts w:ascii="HYa6gj" w:hAnsi="HYa6gj" w:eastAsia="HYa6gj"/>
          <w:b w:val="0"/>
          <w:i w:val="0"/>
          <w:color w:val="221F1F"/>
          <w:sz w:val="18"/>
        </w:rPr>
        <w:t>2008．</w:t>
      </w:r>
    </w:p>
    <w:p>
      <w:pPr>
        <w:sectPr>
          <w:type w:val="continuous"/>
          <w:pgSz w:w="11906" w:h="16157"/>
          <w:pgMar w:top="880" w:right="14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1" w:lineRule="auto" w:before="0" w:after="0"/>
        <w:ind w:left="848" w:right="224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1）盾尾通过阶段通过同步注浆阻止沉降发展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的总量达到近-0.93mm，采取二次注浆补浆方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式继续微量抬升既有线结构，使之始终不超过控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制值，直到沉降趋稳，沉降最终达到近-0.35mm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（图10)。通过实时监测调整掘进参数使得穿越过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程中对既有线影响较小，盾构区间穿过后造成2</w:t>
      </w:r>
    </w:p>
    <w:p>
      <w:pPr>
        <w:sectPr>
          <w:type w:val="continuous"/>
          <w:pgSz w:w="11906" w:h="16157"/>
          <w:pgMar w:top="880" w:right="1440" w:bottom="168" w:left="400" w:header="720" w:footer="720" w:gutter="0"/>
          <w:cols w:num="2" w:equalWidth="0">
            <w:col w:w="5436" w:space="0"/>
            <w:col w:w="4629" w:space="0"/>
          </w:cols>
          <w:docGrid w:linePitch="360"/>
        </w:sectPr>
      </w:pPr>
    </w:p>
    <w:p>
      <w:pPr>
        <w:autoSpaceDN w:val="0"/>
        <w:autoSpaceDE w:val="0"/>
        <w:widowControl/>
        <w:spacing w:line="305" w:lineRule="auto" w:before="0" w:after="0"/>
        <w:ind w:left="144" w:right="34" w:firstLine="0"/>
        <w:jc w:val="right"/>
      </w:pPr>
      <w:r>
        <w:rPr>
          <w:rFonts w:ascii="HYa6gj" w:hAnsi="HYa6gj" w:eastAsia="HYa6gj"/>
          <w:b w:val="0"/>
          <w:i w:val="0"/>
          <w:color w:val="221F1F"/>
          <w:sz w:val="18"/>
        </w:rPr>
        <w:t>[3]  莫崇杰．盾构隧道近距离小角度上穿已建暗挖隧道</w:t>
      </w:r>
      <w:r>
        <w:rPr>
          <w:rFonts w:ascii="HYa6gj" w:hAnsi="HYa6gj" w:eastAsia="HYa6gj"/>
          <w:b w:val="0"/>
          <w:i w:val="0"/>
          <w:color w:val="221F1F"/>
          <w:sz w:val="18"/>
        </w:rPr>
        <w:t>的施工方案研究[D]．北京：北京交通大学，2008．</w:t>
      </w:r>
      <w:r>
        <w:rPr>
          <w:rFonts w:ascii="HYa6gj" w:hAnsi="HYa6gj" w:eastAsia="HYa6gj"/>
          <w:b w:val="0"/>
          <w:i w:val="0"/>
          <w:color w:val="221F1F"/>
          <w:sz w:val="18"/>
        </w:rPr>
        <w:t>[4]  刘志涛．地铁穿越工程中新建地铁对既有地铁安全</w:t>
      </w:r>
      <w:r>
        <w:rPr>
          <w:rFonts w:ascii="HYa6gj" w:hAnsi="HYa6gj" w:eastAsia="HYa6gj"/>
          <w:b w:val="0"/>
          <w:i w:val="0"/>
          <w:color w:val="221F1F"/>
          <w:sz w:val="18"/>
        </w:rPr>
        <w:t>运营的影响分析[D]．北京：北京交通大学，2008．</w:t>
      </w:r>
      <w:r>
        <w:rPr>
          <w:rFonts w:ascii="HYa6gj" w:hAnsi="HYa6gj" w:eastAsia="HYa6gj"/>
          <w:b w:val="0"/>
          <w:i w:val="0"/>
          <w:color w:val="221F1F"/>
          <w:sz w:val="18"/>
        </w:rPr>
        <w:t>[5]  李兴高．既有地铁线路变形控制标准研究[J]．铁</w:t>
      </w:r>
      <w:r>
        <w:rPr>
          <w:rFonts w:ascii="HYa6gj" w:hAnsi="HYa6gj" w:eastAsia="HYa6gj"/>
          <w:b w:val="0"/>
          <w:i w:val="0"/>
          <w:color w:val="221F1F"/>
          <w:sz w:val="18"/>
        </w:rPr>
        <w:t>道建筑，2010，(4)：84．</w:t>
      </w:r>
    </w:p>
    <w:p>
      <w:pPr>
        <w:autoSpaceDN w:val="0"/>
        <w:autoSpaceDE w:val="0"/>
        <w:widowControl/>
        <w:spacing w:line="257" w:lineRule="auto" w:before="140" w:after="0"/>
        <w:ind w:left="610" w:right="0" w:hanging="380"/>
        <w:jc w:val="left"/>
      </w:pPr>
      <w:r>
        <w:rPr>
          <w:rFonts w:ascii="HYa6gj" w:hAnsi="HYa6gj" w:eastAsia="HYa6gj"/>
          <w:b w:val="0"/>
          <w:i w:val="0"/>
          <w:color w:val="221F1F"/>
          <w:sz w:val="18"/>
        </w:rPr>
        <w:t>[6]  马云新．克泥效抑制沉降工法在盾构近距离下穿地铁</w:t>
      </w:r>
      <w:r>
        <w:rPr>
          <w:rFonts w:ascii="HYa6gj" w:hAnsi="HYa6gj" w:eastAsia="HYa6gj"/>
          <w:b w:val="0"/>
          <w:i w:val="0"/>
          <w:color w:val="221F1F"/>
          <w:sz w:val="18"/>
        </w:rPr>
        <w:t>既有线工程中的应用[J]．施工技术，2015，(1)：94．</w:t>
      </w:r>
    </w:p>
    <w:p>
      <w:pPr>
        <w:autoSpaceDN w:val="0"/>
        <w:autoSpaceDE w:val="0"/>
        <w:widowControl/>
        <w:spacing w:line="185" w:lineRule="auto" w:before="138" w:after="0"/>
        <w:ind w:left="0" w:right="34" w:firstLine="0"/>
        <w:jc w:val="right"/>
      </w:pPr>
      <w:r>
        <w:rPr>
          <w:rFonts w:ascii="HYb1gj" w:hAnsi="HYb1gj" w:eastAsia="HYb1gj"/>
          <w:b w:val="0"/>
          <w:i w:val="0"/>
          <w:color w:val="221F1F"/>
          <w:sz w:val="15"/>
        </w:rPr>
        <w:t>（编辑 张海霞）</w:t>
      </w:r>
    </w:p>
    <w:p>
      <w:pPr>
        <w:autoSpaceDN w:val="0"/>
        <w:autoSpaceDE w:val="0"/>
        <w:widowControl/>
        <w:spacing w:line="247" w:lineRule="auto" w:before="352" w:after="38"/>
        <w:ind w:left="230" w:right="2592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5"/>
        </w:rPr>
        <w:t>［</w:t>
      </w:r>
      <w:r>
        <w:rPr>
          <w:rFonts w:ascii="HYe3gj" w:hAnsi="HYe3gj" w:eastAsia="HYe3gj"/>
          <w:b w:val="0"/>
          <w:i w:val="0"/>
          <w:color w:val="221F1F"/>
          <w:sz w:val="15"/>
        </w:rPr>
        <w:t>中图分类号</w:t>
      </w:r>
      <w:r>
        <w:rPr>
          <w:rFonts w:ascii="HYa6gj" w:hAnsi="HYa6gj" w:eastAsia="HYa6gj"/>
          <w:b w:val="0"/>
          <w:i w:val="0"/>
          <w:color w:val="221F1F"/>
          <w:sz w:val="15"/>
        </w:rPr>
        <w:t>］</w:t>
      </w:r>
      <w:r>
        <w:rPr>
          <w:rFonts w:ascii="HYe1gj" w:hAnsi="HYe1gj" w:eastAsia="HYe1gj"/>
          <w:b w:val="0"/>
          <w:i w:val="0"/>
          <w:color w:val="221F1F"/>
          <w:sz w:val="15"/>
        </w:rPr>
        <w:t>U456.3</w:t>
      </w:r>
      <w:r>
        <w:rPr>
          <w:w w:val="97.16666539510092"/>
          <w:rFonts w:ascii="HYe1gj" w:hAnsi="HYe1gj" w:eastAsia="HYe1gj"/>
          <w:b w:val="0"/>
          <w:i w:val="0"/>
          <w:color w:val="221F1F"/>
          <w:sz w:val="9"/>
        </w:rPr>
        <w:t>+</w:t>
      </w:r>
      <w:r>
        <w:rPr>
          <w:rFonts w:ascii="HYe1gj" w:hAnsi="HYe1gj" w:eastAsia="HYe1gj"/>
          <w:b w:val="0"/>
          <w:i w:val="0"/>
          <w:color w:val="221F1F"/>
          <w:sz w:val="15"/>
        </w:rPr>
        <w:t>1</w:t>
      </w:r>
      <w:r>
        <w:br/>
      </w:r>
      <w:r>
        <w:rPr>
          <w:rFonts w:ascii="HYa6gj" w:hAnsi="HYa6gj" w:eastAsia="HYa6gj"/>
          <w:b w:val="0"/>
          <w:i w:val="0"/>
          <w:color w:val="221F1F"/>
          <w:sz w:val="15"/>
        </w:rPr>
        <w:t>［</w:t>
      </w:r>
      <w:r>
        <w:rPr>
          <w:rFonts w:ascii="HYe3gj" w:hAnsi="HYe3gj" w:eastAsia="HYe3gj"/>
          <w:b w:val="0"/>
          <w:i w:val="0"/>
          <w:color w:val="221F1F"/>
          <w:sz w:val="15"/>
        </w:rPr>
        <w:t>文献标识码</w:t>
      </w:r>
      <w:r>
        <w:rPr>
          <w:rFonts w:ascii="HYa6gj" w:hAnsi="HYa6gj" w:eastAsia="HYa6gj"/>
          <w:b w:val="0"/>
          <w:i w:val="0"/>
          <w:color w:val="221F1F"/>
          <w:sz w:val="15"/>
        </w:rPr>
        <w:t>］</w:t>
      </w:r>
      <w:r>
        <w:rPr>
          <w:rFonts w:ascii="HYe1gj" w:hAnsi="HYe1gj" w:eastAsia="HYe1gj"/>
          <w:b w:val="0"/>
          <w:i w:val="0"/>
          <w:color w:val="221F1F"/>
          <w:sz w:val="15"/>
        </w:rPr>
        <w:t xml:space="preserve">B </w:t>
      </w:r>
    </w:p>
    <w:p>
      <w:pPr>
        <w:sectPr>
          <w:type w:val="nextColumn"/>
          <w:pgSz w:w="11906" w:h="16157"/>
          <w:pgMar w:top="880" w:right="1440" w:bottom="168" w:left="400" w:header="720" w:footer="720" w:gutter="0"/>
          <w:cols w:num="2" w:equalWidth="0">
            <w:col w:w="5436" w:space="0"/>
            <w:col w:w="462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438"/>
        <w:gridCol w:w="1438"/>
        <w:gridCol w:w="1438"/>
        <w:gridCol w:w="1438"/>
        <w:gridCol w:w="1438"/>
        <w:gridCol w:w="1438"/>
        <w:gridCol w:w="1438"/>
      </w:tblGrid>
      <w:tr>
        <w:trPr>
          <w:trHeight w:hRule="exact" w:val="16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25400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38100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2" w:after="0"/>
              <w:ind w:left="246" w:right="72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5"/>
              </w:rPr>
              <w:t>［</w:t>
            </w:r>
            <w:r>
              <w:rPr>
                <w:rFonts w:ascii="HYe3gj" w:hAnsi="HYe3gj" w:eastAsia="HYe3gj"/>
                <w:b w:val="0"/>
                <w:i w:val="0"/>
                <w:color w:val="221F1F"/>
                <w:sz w:val="15"/>
              </w:rPr>
              <w:t>文章编号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5"/>
              </w:rPr>
              <w:t>］</w:t>
            </w:r>
            <w:r>
              <w:rPr>
                <w:rFonts w:ascii="HYe1gj" w:hAnsi="HYe1gj" w:eastAsia="HYe1gj"/>
                <w:b w:val="0"/>
                <w:i w:val="0"/>
                <w:color w:val="221F1F"/>
                <w:sz w:val="15"/>
              </w:rPr>
              <w:t>1001-1366(2022)12-0014-05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5"/>
              </w:rPr>
              <w:t>［</w:t>
            </w:r>
            <w:r>
              <w:rPr>
                <w:rFonts w:ascii="HYe3gj" w:hAnsi="HYe3gj" w:eastAsia="HYe3gj"/>
                <w:b w:val="0"/>
                <w:i w:val="0"/>
                <w:color w:val="221F1F"/>
                <w:sz w:val="15"/>
              </w:rPr>
              <w:t>收稿日期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5"/>
              </w:rPr>
              <w:t>］</w:t>
            </w:r>
            <w:r>
              <w:rPr>
                <w:rFonts w:ascii="HYe1gj" w:hAnsi="HYe1gj" w:eastAsia="HYe1gj"/>
                <w:b w:val="0"/>
                <w:i w:val="0"/>
                <w:color w:val="221F1F"/>
                <w:sz w:val="15"/>
              </w:rPr>
              <w:t>2022-08-25</w:t>
            </w:r>
          </w:p>
        </w:tc>
      </w:tr>
      <w:tr>
        <w:trPr>
          <w:trHeight w:hRule="exact" w:val="364"/>
        </w:trPr>
        <w:tc>
          <w:tcPr>
            <w:tcW w:type="dxa" w:w="50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428" w:right="0" w:firstLine="0"/>
              <w:jc w:val="left"/>
            </w:pPr>
            <w:r>
              <w:rPr>
                <w:rFonts w:ascii="HYb1gj" w:hAnsi="HYb1gj" w:eastAsia="HYb1gj"/>
                <w:b w:val="0"/>
                <w:i w:val="0"/>
                <w:color w:val="221F1F"/>
                <w:sz w:val="18"/>
              </w:rPr>
              <w:t>图</w:t>
            </w:r>
            <w:r>
              <w:rPr>
                <w:rFonts w:ascii="Times" w:hAnsi="Times" w:eastAsia="Times"/>
                <w:b/>
                <w:i w:val="0"/>
                <w:color w:val="221F1F"/>
                <w:sz w:val="18"/>
              </w:rPr>
              <w:t>10</w:t>
            </w:r>
            <w:r>
              <w:rPr>
                <w:rFonts w:ascii="HYb1gj" w:hAnsi="HYb1gj" w:eastAsia="HYb1gj"/>
                <w:b w:val="0"/>
                <w:i w:val="0"/>
                <w:color w:val="221F1F"/>
                <w:sz w:val="18"/>
              </w:rPr>
              <w:t xml:space="preserve"> 王前区间下穿地铁</w:t>
            </w:r>
            <w:r>
              <w:rPr>
                <w:rFonts w:ascii="Times" w:hAnsi="Times" w:eastAsia="Times"/>
                <w:b/>
                <w:i w:val="0"/>
                <w:color w:val="221F1F"/>
                <w:sz w:val="18"/>
              </w:rPr>
              <w:t>2</w:t>
            </w:r>
            <w:r>
              <w:rPr>
                <w:rFonts w:ascii="HYb1gj" w:hAnsi="HYb1gj" w:eastAsia="HYb1gj"/>
                <w:b w:val="0"/>
                <w:i w:val="0"/>
                <w:color w:val="221F1F"/>
                <w:sz w:val="18"/>
              </w:rPr>
              <w:t>号线自动化沉降变形时程曲线</w:t>
            </w:r>
          </w:p>
        </w:tc>
        <w:tc>
          <w:tcPr>
            <w:tcW w:type="dxa" w:w="143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5" w:lineRule="auto" w:before="392" w:after="0"/>
        <w:ind w:left="848" w:right="0" w:firstLine="0"/>
        <w:jc w:val="left"/>
      </w:pPr>
      <w:r>
        <w:rPr>
          <w:rFonts w:ascii="HYb1gj" w:hAnsi="HYb1gj" w:eastAsia="HYb1gj"/>
          <w:b w:val="0"/>
          <w:i w:val="0"/>
          <w:color w:val="6C6E70"/>
          <w:sz w:val="32"/>
        </w:rPr>
        <w:t>18</w:t>
      </w:r>
      <w:r>
        <w:rPr>
          <w:rFonts w:ascii="HYb1gj" w:hAnsi="HYb1gj" w:eastAsia="HYb1gj"/>
          <w:b w:val="0"/>
          <w:i w:val="0"/>
          <w:color w:val="221F1F"/>
          <w:sz w:val="15"/>
        </w:rPr>
        <w:t xml:space="preserve"> 2022(12) </w:t>
      </w:r>
      <w:r>
        <w:rPr>
          <w:rFonts w:ascii="HYb1gj" w:hAnsi="HYb1gj" w:eastAsia="HYb1gj"/>
          <w:b w:val="0"/>
          <w:i w:val="0"/>
          <w:color w:val="221F1F"/>
          <w:sz w:val="14"/>
        </w:rPr>
        <w:t xml:space="preserve">CONSTRUCTION MECHANIZATION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6" w:h="16157"/>
      <w:pgMar w:top="880" w:right="1440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