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232" w:right="432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第23 卷   第4 期                       中  国  水  运                      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  Vol.23       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No.4 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2023 年     4 月                   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 China Water Transport                 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April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2023</w:t>
      </w:r>
    </w:p>
    <w:p>
      <w:pPr>
        <w:autoSpaceDN w:val="0"/>
        <w:autoSpaceDE w:val="0"/>
        <w:widowControl/>
        <w:spacing w:line="526" w:lineRule="exact" w:before="544" w:after="0"/>
        <w:ind w:left="790" w:right="0" w:firstLine="0"/>
        <w:jc w:val="left"/>
      </w:pPr>
      <w:r>
        <w:rPr>
          <w:rFonts w:ascii="FZXBSJW--GB1-0" w:hAnsi="FZXBSJW--GB1-0" w:eastAsia="FZXBSJW--GB1-0"/>
          <w:b w:val="0"/>
          <w:i w:val="0"/>
          <w:color w:val="000000"/>
          <w:sz w:val="42"/>
        </w:rPr>
        <w:t xml:space="preserve">城际轨道交通盾构下穿同期在建深中通道施工管理总结 </w:t>
      </w:r>
    </w:p>
    <w:p>
      <w:pPr>
        <w:autoSpaceDN w:val="0"/>
        <w:tabs>
          <w:tab w:pos="5114" w:val="left"/>
        </w:tabs>
        <w:autoSpaceDE w:val="0"/>
        <w:widowControl/>
        <w:spacing w:line="268" w:lineRule="exact" w:before="230" w:after="0"/>
        <w:ind w:left="3560" w:right="2880" w:firstLine="0"/>
        <w:jc w:val="left"/>
      </w:pPr>
      <w:r>
        <w:rPr>
          <w:rFonts w:ascii="FZKTJW--GB1-0" w:hAnsi="FZKTJW--GB1-0" w:eastAsia="FZKTJW--GB1-0"/>
          <w:b w:val="0"/>
          <w:i w:val="0"/>
          <w:color w:val="000000"/>
          <w:sz w:val="28"/>
        </w:rPr>
        <w:t>苏保柱</w:t>
      </w:r>
      <w:r>
        <w:br/>
      </w:r>
      <w:r>
        <w:rPr>
          <w:w w:val="101.32320192125108"/>
          <w:rFonts w:ascii="FZFSJW--GB1-0" w:hAnsi="FZFSJW--GB1-0" w:eastAsia="FZFSJW--GB1-0"/>
          <w:b w:val="0"/>
          <w:i w:val="0"/>
          <w:color w:val="000000"/>
          <w:sz w:val="18"/>
        </w:rPr>
        <w:t xml:space="preserve">（中铁十四局集团有限公司，山东 济南 250000） </w:t>
      </w:r>
    </w:p>
    <w:p>
      <w:pPr>
        <w:autoSpaceDN w:val="0"/>
        <w:autoSpaceDE w:val="0"/>
        <w:widowControl/>
        <w:spacing w:line="245" w:lineRule="auto" w:before="348" w:after="0"/>
        <w:ind w:left="1024" w:right="432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摘  要：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城市轨道交通多为地下工程，区间隧道穿越城市较多建（构）筑物，地面环境较为复杂，且部分工程为同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期建设，叠加因素导致施工风险较高。同时，下穿涉及多方建设、监督、施工单位交叉管理及施工，对管理、设计、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施工等方面要求较高，需建立有效的沟通机制、加强过程协作、提高风险管控措施、完善应急联动体系，才能有效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降低工程风险。文中依托穗莞深城际铁路隧道下穿深中通道东人工岛为例，总结施工管理经验及联动机制、管控措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施，为后续类似项目的施工管理提供借鉴。 </w:t>
      </w:r>
    </w:p>
    <w:p>
      <w:pPr>
        <w:autoSpaceDN w:val="0"/>
        <w:autoSpaceDE w:val="0"/>
        <w:widowControl/>
        <w:spacing w:line="185" w:lineRule="auto" w:before="46" w:after="0"/>
        <w:ind w:left="1024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关键词：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城市轨道交通；盾构施工；下穿建（构）筑物；管理经验 </w:t>
      </w:r>
    </w:p>
    <w:p>
      <w:pPr>
        <w:autoSpaceDN w:val="0"/>
        <w:autoSpaceDE w:val="0"/>
        <w:widowControl/>
        <w:spacing w:line="185" w:lineRule="auto" w:before="74" w:after="0"/>
        <w:ind w:left="1024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中图分类号：U455          文献标识码：A          文章编号：1006-7973（2023）04-0110-03 </w:t>
      </w:r>
    </w:p>
    <w:p>
      <w:pPr>
        <w:autoSpaceDN w:val="0"/>
        <w:tabs>
          <w:tab w:pos="5744" w:val="left"/>
        </w:tabs>
        <w:autoSpaceDE w:val="0"/>
        <w:widowControl/>
        <w:spacing w:line="185" w:lineRule="auto" w:before="366" w:after="0"/>
        <w:ind w:left="962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一、工程概况 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深中通道东人工岛区段上软下硬地层进行了地面注浆加固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[1]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，</w:t>
      </w:r>
    </w:p>
    <w:p>
      <w:pPr>
        <w:autoSpaceDN w:val="0"/>
        <w:tabs>
          <w:tab w:pos="5744" w:val="left"/>
          <w:tab w:pos="6104" w:val="left"/>
        </w:tabs>
        <w:autoSpaceDE w:val="0"/>
        <w:widowControl/>
        <w:spacing w:line="288" w:lineRule="exact" w:before="0" w:after="46"/>
        <w:ind w:left="962" w:right="432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1．总体概况 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对于不具备地面加固条件区段使用洞内超前注浆加固。 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穗莞深城际轨道交通机前段I 标一工区深圳机场至固戍</w:t>
      </w:r>
      <w:r>
        <w:tab/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3．掘进参数 </w:t>
      </w:r>
    </w:p>
    <w:p>
      <w:pPr>
        <w:sectPr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210" w:firstLine="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工作井盾构区间由深圳机场站始发，采用开挖直径9.14m 间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控式泥水平衡盾构机，线路总长约4.5km，其中海域段约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3.2km。为标准双洞单线圆形断面，管片采用钢筋混凝土管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片，内径8.8m，外径8.0m，环宽1.8m。区间双线下穿西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湾海域上方深中通道回填人工岛、侧穿沿江高速C、A 匝道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桥。起屹里程为DK1+732-DK1+937。深中通道为海上回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填人工岛，岛体主要包含岛壁、岛体及主线隧道敞开段，同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"/>
        <w:ind w:left="208" w:right="112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盾构正式下穿前，建立50m 试掘进段，通过试掘进段总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结及类似地层施工经验，明确了盾构下穿期间掘进参数控制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范围。项目建立了全面的掘进参数管理制度，掘进前，根据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地质、水文及环境条件，理论计算出开挖仓压力、总推力、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刀盘扭矩、贯入度、泥浆指标等关键参数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[2]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，经盾构经理及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项目总工审核后下发至盾构机长，盾构机长根据掘进指令进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行盾构掘进施工，现场根据实际掘进情况进一步优化施工参</w:t>
      </w:r>
    </w:p>
    <w:p>
      <w:pPr>
        <w:sectPr>
          <w:type w:val="nextColumn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85" w:lineRule="auto" w:before="0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时岛体上方设沿江高速C、A 匝道桥。岛壁主要为片石回填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数。 </w:t>
      </w:r>
    </w:p>
    <w:p>
      <w:pPr>
        <w:autoSpaceDN w:val="0"/>
        <w:tabs>
          <w:tab w:pos="6104" w:val="left"/>
        </w:tabs>
        <w:autoSpaceDE w:val="0"/>
        <w:widowControl/>
        <w:spacing w:line="242" w:lineRule="exact" w:before="46" w:after="46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结构；岛体主要材料为回填砂；主线隧道敞开段为双向8 车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4．盾构开仓 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210" w:firstLine="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道钢筋混凝土结构，底部设φ0.8m 抗拔桩；盾构与抗拔桩最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小垂直净距约8.5m，C、A 匝道桥主要为φ1.6m 端承桩，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盾构与端承桩最小水平净距约7.0m。 </w:t>
      </w:r>
    </w:p>
    <w:p>
      <w:pPr>
        <w:autoSpaceDN w:val="0"/>
        <w:autoSpaceDE w:val="0"/>
        <w:widowControl/>
        <w:spacing w:line="288" w:lineRule="exact" w:before="0" w:after="0"/>
        <w:ind w:left="962" w:right="144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2．水文地质概况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盾构下穿深中通道期间，主要地层大致可分为三类，即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"/>
        <w:ind w:left="208" w:right="0" w:firstLine="36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盾构下穿前，根据周边环境风险、地质水文及施工经验，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拟定了开仓计划，盾构掘进至拟定位置后主动开仓，以防止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被动停机。根据国规范、地方及公司相关管理文件，明确了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开仓流程，明确了各程序施工要求及完成时间。针对常压及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带压开仓方式的区别，分别制定了施工流程及施工工艺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[3]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。 </w:t>
      </w:r>
    </w:p>
    <w:p>
      <w:pPr>
        <w:sectPr>
          <w:type w:val="nextColumn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tabs>
          <w:tab w:pos="6104" w:val="left"/>
        </w:tabs>
        <w:autoSpaceDE w:val="0"/>
        <w:widowControl/>
        <w:spacing w:line="242" w:lineRule="exact" w:before="0" w:after="46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以土质强风化、岩质强风化花岗岩等地层为主的软土地层，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5．刀具管理 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210" w:firstLine="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以中、微风化花岗岩组成的全断面硬岩地层，以上两种地层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共存的“上软下硬”地层。根据《深圳机场~西乡区间详勘报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告》显示，盾构下穿期间主要为西湾海域海水，花岗岩地层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中基岩裂隙水，地层中松散岩类孔隙潜水三种。 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"/>
        <w:ind w:left="208" w:right="112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根据下穿段施工特点，做好刀具的储备、存放及维修是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保证项目连续高效掘进的前提。根据下一步的地质情况、当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前的损耗量和场地储存能力采购储备有一定富余量刀具数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量。结合刀具消耗量较大、存放场地有限的特点，在做好不</w:t>
      </w:r>
    </w:p>
    <w:p>
      <w:pPr>
        <w:sectPr>
          <w:type w:val="nextColumn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85" w:lineRule="auto" w:before="0" w:after="0"/>
        <w:ind w:left="962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二、施工管控 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同厂家、不同修复次数、不同使用部位的刀具标记的同时，</w:t>
      </w:r>
    </w:p>
    <w:p>
      <w:pPr>
        <w:autoSpaceDN w:val="0"/>
        <w:tabs>
          <w:tab w:pos="5744" w:val="left"/>
        </w:tabs>
        <w:autoSpaceDE w:val="0"/>
        <w:widowControl/>
        <w:spacing w:line="288" w:lineRule="exact" w:before="0" w:after="0"/>
        <w:ind w:left="9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1．地质补勘 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并加工工装分类放置，一方面便于管理人员进行统计分析、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盾构正式下穿前，通过微动谱比法和瞬变电磁法以及地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同时减少了刀具反复倒运的工作量。 </w:t>
      </w:r>
    </w:p>
    <w:p>
      <w:pPr>
        <w:autoSpaceDN w:val="0"/>
        <w:tabs>
          <w:tab w:pos="6104" w:val="left"/>
        </w:tabs>
        <w:autoSpaceDE w:val="0"/>
        <w:widowControl/>
        <w:spacing w:line="242" w:lineRule="exact" w:before="46" w:after="46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面调查及地质钻探工作，对深中通道下方地层进一步勘察，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6．监控量测 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144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在结合深中通道施工地质详勘报告，明确了各地层分段布置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情况，完善各类地层基本参数，为后续盾构施工提供基础依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"/>
        <w:ind w:left="208" w:right="0" w:firstLine="36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施工监测为盾构施工的重中之重，其数值直接反应了掘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进参数设定是否合理，出渣量是否超排等结果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[6]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，盾构下穿</w:t>
      </w:r>
    </w:p>
    <w:p>
      <w:pPr>
        <w:sectPr>
          <w:type w:val="nextColumn"/>
          <w:pgSz w:w="11900" w:h="16160"/>
          <w:pgMar w:top="380" w:right="902" w:bottom="180" w:left="420" w:header="720" w:footer="720" w:gutter="0"/>
          <w:cols w:num="2" w:equalWidth="0">
            <w:col w:w="5536" w:space="0"/>
            <w:col w:w="5041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85" w:lineRule="auto" w:before="0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据。 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深中通道前，穗莞深、深中通道、沿江高速施工方联合进行</w:t>
      </w:r>
    </w:p>
    <w:p>
      <w:pPr>
        <w:autoSpaceDN w:val="0"/>
        <w:tabs>
          <w:tab w:pos="5744" w:val="left"/>
        </w:tabs>
        <w:autoSpaceDE w:val="0"/>
        <w:widowControl/>
        <w:spacing w:line="242" w:lineRule="exact" w:before="2" w:after="46"/>
        <w:ind w:left="9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2．地面加固 </w:t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监测点布设及初始值采集工作。同时，为快速反应地层的变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962" w:right="144" w:hanging="1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根据详勘、补勘成果，为提高盾构施工的安全性，对下穿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收稿日期：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2023-02-24 </w:t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 w:num="2" w:equalWidth="0">
            <w:col w:w="5538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460"/>
        <w:ind w:left="206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化，在下穿前增设了土体深层竖向位移及土体深层水平位移。 </w:t>
      </w:r>
    </w:p>
    <w:p>
      <w:pPr>
        <w:sectPr>
          <w:type w:val="nextColumn"/>
          <w:pgSz w:w="11900" w:h="16160"/>
          <w:pgMar w:top="380" w:right="902" w:bottom="180" w:left="420" w:header="720" w:footer="720" w:gutter="0"/>
          <w:cols w:num="2" w:equalWidth="0">
            <w:col w:w="5538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962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>作者简介：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苏保柱（1988-）男，中铁十四局集团隧道工程有限公司，工程师。 </w:t>
      </w:r>
    </w:p>
    <w:p>
      <w:pPr>
        <w:autoSpaceDN w:val="0"/>
        <w:tabs>
          <w:tab w:pos="1300" w:val="left"/>
        </w:tabs>
        <w:autoSpaceDE w:val="0"/>
        <w:widowControl/>
        <w:spacing w:line="240" w:lineRule="auto" w:before="3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160"/>
          <w:pgMar w:top="380" w:right="902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661670</wp:posOffset>
            </wp:positionH>
            <wp:positionV relativeFrom="page">
              <wp:posOffset>7405370</wp:posOffset>
            </wp:positionV>
            <wp:extent cx="2989580" cy="158164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5816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8788400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8775700</wp:posOffset>
            </wp:positionV>
            <wp:extent cx="508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8610600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8661400</wp:posOffset>
            </wp:positionV>
            <wp:extent cx="1016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8661400</wp:posOffset>
            </wp:positionV>
            <wp:extent cx="508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8623300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8572500</wp:posOffset>
            </wp:positionV>
            <wp:extent cx="88900" cy="76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8534400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8470900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8458200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8445500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8445500</wp:posOffset>
            </wp:positionV>
            <wp:extent cx="381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8445500</wp:posOffset>
            </wp:positionV>
            <wp:extent cx="381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8432800</wp:posOffset>
            </wp:positionV>
            <wp:extent cx="381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8420100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8382000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8255000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8204200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8331200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8318500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8305800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8242300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8229600</wp:posOffset>
            </wp:positionV>
            <wp:extent cx="381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8216900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8204200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8191500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8153400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8077200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8115300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7975600</wp:posOffset>
            </wp:positionV>
            <wp:extent cx="508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7912100</wp:posOffset>
            </wp:positionV>
            <wp:extent cx="508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8064500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8051800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7886700</wp:posOffset>
            </wp:positionV>
            <wp:extent cx="635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7861300</wp:posOffset>
            </wp:positionV>
            <wp:extent cx="381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7835900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7823200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7810500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7785100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7899400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7886700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7886700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7874000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7874000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7874000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7848600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7823200</wp:posOffset>
            </wp:positionV>
            <wp:extent cx="101600" cy="889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7823200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7823200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7810500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7785100</wp:posOffset>
            </wp:positionV>
            <wp:extent cx="381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7759700</wp:posOffset>
            </wp:positionV>
            <wp:extent cx="508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7759700</wp:posOffset>
            </wp:positionV>
            <wp:extent cx="508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7747000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7734300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7721600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7645400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7620000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7620000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7607300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7607300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7607300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7607300</wp:posOffset>
            </wp:positionV>
            <wp:extent cx="381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7886700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7874000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7848600</wp:posOffset>
            </wp:positionV>
            <wp:extent cx="76200" cy="635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7848600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7823200</wp:posOffset>
            </wp:positionV>
            <wp:extent cx="76200" cy="635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7810500</wp:posOffset>
            </wp:positionV>
            <wp:extent cx="88900" cy="889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7797800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7797800</wp:posOffset>
            </wp:positionV>
            <wp:extent cx="508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7785100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7759700</wp:posOffset>
            </wp:positionV>
            <wp:extent cx="508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7759700</wp:posOffset>
            </wp:positionV>
            <wp:extent cx="101600" cy="1016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7747000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7721600</wp:posOffset>
            </wp:positionV>
            <wp:extent cx="508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7708900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7708900</wp:posOffset>
            </wp:positionV>
            <wp:extent cx="50800" cy="63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7696200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7670800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7658100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7645400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7632700</wp:posOffset>
            </wp:positionV>
            <wp:extent cx="381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7620000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7505700</wp:posOffset>
            </wp:positionV>
            <wp:extent cx="76200" cy="50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8458200</wp:posOffset>
            </wp:positionV>
            <wp:extent cx="254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8166100</wp:posOffset>
            </wp:positionV>
            <wp:extent cx="25400" cy="25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7835900</wp:posOffset>
            </wp:positionV>
            <wp:extent cx="25400" cy="25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7772400</wp:posOffset>
            </wp:positionV>
            <wp:extent cx="25400" cy="25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7645400</wp:posOffset>
            </wp:positionV>
            <wp:extent cx="114300" cy="1270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7645400</wp:posOffset>
            </wp:positionV>
            <wp:extent cx="50800" cy="254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7645400</wp:posOffset>
            </wp:positionV>
            <wp:extent cx="889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7645400</wp:posOffset>
            </wp:positionV>
            <wp:extent cx="88900" cy="889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7708900</wp:posOffset>
            </wp:positionV>
            <wp:extent cx="25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7645400</wp:posOffset>
            </wp:positionV>
            <wp:extent cx="190500" cy="76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7556500</wp:posOffset>
            </wp:positionV>
            <wp:extent cx="25400" cy="25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7556500</wp:posOffset>
            </wp:positionV>
            <wp:extent cx="76200" cy="25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7556500</wp:posOffset>
            </wp:positionV>
            <wp:extent cx="25400" cy="25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172"/>
        <w:ind w:left="784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第4 期 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苏保柱：城际轨道交通盾构下穿同期在建深中通道施工管理总结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 111 </w:t>
      </w:r>
    </w:p>
    <w:p>
      <w:pPr>
        <w:sectPr>
          <w:pgSz w:w="11900" w:h="16160"/>
          <w:pgMar w:top="488" w:right="940" w:bottom="180" w:left="420" w:header="720" w:footer="720" w:gutter="0"/>
          <w:cols/>
          <w:docGrid w:linePitch="360"/>
        </w:sectPr>
      </w:pPr>
    </w:p>
    <w:p>
      <w:pPr>
        <w:autoSpaceDN w:val="0"/>
        <w:tabs>
          <w:tab w:pos="962" w:val="left"/>
        </w:tabs>
        <w:autoSpaceDE w:val="0"/>
        <w:widowControl/>
        <w:spacing w:line="274" w:lineRule="exact" w:before="0" w:after="0"/>
        <w:ind w:left="602" w:right="144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7．出渣管控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因泥水盾构施工特性，无法像土压盾构精确计量每环的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出渣量，进而无法反应每环掘进超、欠排情况。而超排大概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率引发地面沉降，严重导致地面沉陷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[7]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。为此，项目采用多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种渣土量测方式，如图1、图2 所示。 </w:t>
      </w:r>
    </w:p>
    <w:p>
      <w:pPr>
        <w:autoSpaceDN w:val="0"/>
        <w:autoSpaceDE w:val="0"/>
        <w:widowControl/>
        <w:spacing w:line="240" w:lineRule="auto" w:before="38" w:after="0"/>
        <w:ind w:left="11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40610" cy="872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8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1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40610" cy="86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02" w:after="0"/>
        <w:ind w:left="0" w:right="1200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图1 泥水设备出渣位置刻度标记 </w:t>
      </w:r>
    </w:p>
    <w:p>
      <w:pPr>
        <w:autoSpaceDN w:val="0"/>
        <w:autoSpaceDE w:val="0"/>
        <w:widowControl/>
        <w:spacing w:line="240" w:lineRule="auto" w:before="100" w:after="0"/>
        <w:ind w:left="11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77110" cy="1703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70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32" w:after="0"/>
        <w:ind w:left="0" w:right="1650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图2 干渣量测量估算 </w:t>
      </w:r>
    </w:p>
    <w:p>
      <w:pPr>
        <w:autoSpaceDN w:val="0"/>
        <w:tabs>
          <w:tab w:pos="962" w:val="left"/>
        </w:tabs>
        <w:autoSpaceDE w:val="0"/>
        <w:widowControl/>
        <w:spacing w:line="292" w:lineRule="exact" w:before="12" w:after="0"/>
        <w:ind w:left="602" w:right="144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8．辅助措施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（1）超前注浆总结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根据设计方案要求，对于地面不具备加固条件下使用超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前注浆加固，同时结合带压开仓地质情况，可适当选取超前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注浆加固辅助盾构开仓施工。 </w:t>
      </w:r>
    </w:p>
    <w:p>
      <w:pPr>
        <w:autoSpaceDN w:val="0"/>
        <w:autoSpaceDE w:val="0"/>
        <w:widowControl/>
        <w:spacing w:line="245" w:lineRule="auto" w:before="46" w:after="0"/>
        <w:ind w:left="602" w:right="210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项目对主线隧道敞开段影响区域的上软下硬地层采取了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超前注浆加固施工，盾构机共配置10 个超前注浆孔，均布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于盾构中盾隔板外圈上，主要加固目的为对上软下硬地层进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行加固，所以加固注浆孔选取盾构机顶部4 个注浆孔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[8]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。 </w:t>
      </w:r>
    </w:p>
    <w:p>
      <w:pPr>
        <w:sectPr>
          <w:type w:val="continuous"/>
          <w:pgSz w:w="11900" w:h="16160"/>
          <w:pgMar w:top="488" w:right="940" w:bottom="180" w:left="420" w:header="720" w:footer="720" w:gutter="0"/>
          <w:cols w:num="2" w:equalWidth="0">
            <w:col w:w="5536" w:space="0"/>
            <w:col w:w="500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98979" cy="1499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8979" cy="149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36" w:after="0"/>
        <w:ind w:left="1192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图4 超前注浆加固后盾构掘进渣样 </w:t>
      </w:r>
    </w:p>
    <w:p>
      <w:pPr>
        <w:autoSpaceDN w:val="0"/>
        <w:autoSpaceDE w:val="0"/>
        <w:widowControl/>
        <w:spacing w:line="245" w:lineRule="auto" w:before="78" w:after="0"/>
        <w:ind w:left="208" w:right="74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盾构带压开仓前，使用超前注浆对刀盘前方进行超前注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浆加固，加固完成后气体补气量明显降低，泥膜的使用时间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明显增加，证明超前注浆可有效的提升带压开仓作业时间及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安全。 </w:t>
      </w:r>
    </w:p>
    <w:p>
      <w:pPr>
        <w:autoSpaceDN w:val="0"/>
        <w:autoSpaceDE w:val="0"/>
        <w:widowControl/>
        <w:spacing w:line="240" w:lineRule="auto" w:before="48" w:after="0"/>
        <w:ind w:left="9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98979" cy="1130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8979" cy="113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18" w:after="0"/>
        <w:ind w:left="0" w:right="1062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图5 盾构开仓期间泥膜实景照片 </w:t>
      </w:r>
    </w:p>
    <w:p>
      <w:pPr>
        <w:autoSpaceDN w:val="0"/>
        <w:tabs>
          <w:tab w:pos="558" w:val="left"/>
          <w:tab w:pos="568" w:val="left"/>
        </w:tabs>
        <w:autoSpaceDE w:val="0"/>
        <w:widowControl/>
        <w:spacing w:line="245" w:lineRule="auto" w:before="78" w:after="0"/>
        <w:ind w:left="208" w:right="0" w:firstLine="0"/>
        <w:jc w:val="left"/>
      </w:pPr>
      <w:r>
        <w:tab/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（2）克泥效总结 </w:t>
      </w:r>
      <w:r>
        <w:br/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克泥效作为盾构施工功法中的新型材料，用于盾构开仓及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盾构掘进施工中，其作用有效的降低了盾构施工前期沉降</w:t>
      </w:r>
      <w:r>
        <w:rPr>
          <w:rFonts w:ascii="STZhongsong" w:hAnsi="STZhongsong" w:eastAsia="STZhongsong"/>
          <w:b w:val="0"/>
          <w:i w:val="0"/>
          <w:color w:val="000000"/>
          <w:sz w:val="11"/>
        </w:rPr>
        <w:t>[9]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根据项目施工总结，盾构在上软下硬地层掘进期间及带压开仓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期间，利用克泥效填充盾体，有效的降低了地面沉降。 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17370" cy="1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60" w:after="0"/>
        <w:ind w:left="0" w:right="1332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图6 克泥效现场拌制照片 </w:t>
      </w:r>
    </w:p>
    <w:p>
      <w:pPr>
        <w:autoSpaceDN w:val="0"/>
        <w:autoSpaceDE w:val="0"/>
        <w:widowControl/>
        <w:spacing w:line="185" w:lineRule="auto" w:before="106" w:after="0"/>
        <w:ind w:left="568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三、程序管控 </w:t>
      </w:r>
    </w:p>
    <w:p>
      <w:pPr>
        <w:autoSpaceDN w:val="0"/>
        <w:tabs>
          <w:tab w:pos="568" w:val="left"/>
        </w:tabs>
        <w:autoSpaceDE w:val="0"/>
        <w:widowControl/>
        <w:spacing w:line="292" w:lineRule="exact" w:before="12" w:after="62"/>
        <w:ind w:left="208" w:right="0" w:firstLine="0"/>
        <w:jc w:val="left"/>
      </w:pP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1．成立小组 </w:t>
      </w:r>
      <w:r>
        <w:br/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本次盾构下穿施工设计多家建设、设计、监理、施工单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位，同时设计交通局、交通厅、市政站等多家监督单位，为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确保施工、监测等信息及时共享，在下穿期间，成立的应急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处置小组。同时各方建设单位签订了监管协议，相关施工单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位签订了安全管理协议。做到了施工数据多方共享等机制。 </w:t>
      </w:r>
    </w:p>
    <w:p>
      <w:pPr>
        <w:sectPr>
          <w:type w:val="nextColumn"/>
          <w:pgSz w:w="11900" w:h="16160"/>
          <w:pgMar w:top="488" w:right="940" w:bottom="180" w:left="420" w:header="720" w:footer="720" w:gutter="0"/>
          <w:cols w:num="2" w:equalWidth="0">
            <w:col w:w="5536" w:space="0"/>
            <w:col w:w="50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3513"/>
        <w:gridCol w:w="3513"/>
        <w:gridCol w:w="3513"/>
      </w:tblGrid>
      <w:tr>
        <w:trPr>
          <w:trHeight w:hRule="exact" w:val="19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724" w:right="0" w:firstLine="0"/>
              <w:jc w:val="left"/>
            </w:pPr>
            <w:r>
              <w:rPr>
                <w:w w:val="101.32320192125108"/>
                <w:rFonts w:ascii="FZKTJW--GB1-0" w:hAnsi="FZKTJW--GB1-0" w:eastAsia="FZKTJW--GB1-0"/>
                <w:b w:val="0"/>
                <w:i w:val="0"/>
                <w:color w:val="000000"/>
                <w:sz w:val="18"/>
              </w:rPr>
              <w:t xml:space="preserve">2．施工验收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0"/>
        <w:ind w:left="0" w:right="0"/>
      </w:pPr>
    </w:p>
    <w:p>
      <w:pPr>
        <w:sectPr>
          <w:type w:val="continuous"/>
          <w:pgSz w:w="11900" w:h="16160"/>
          <w:pgMar w:top="488" w:right="940" w:bottom="180" w:left="420" w:header="720" w:footer="720" w:gutter="0"/>
          <w:cols/>
          <w:docGrid w:linePitch="360"/>
        </w:sectPr>
      </w:pPr>
    </w:p>
    <w:p>
      <w:pPr>
        <w:autoSpaceDN w:val="0"/>
        <w:tabs>
          <w:tab w:pos="962" w:val="left"/>
          <w:tab w:pos="1678" w:val="left"/>
        </w:tabs>
        <w:autoSpaceDE w:val="0"/>
        <w:widowControl/>
        <w:spacing w:line="245" w:lineRule="auto" w:before="0" w:after="0"/>
        <w:ind w:left="602" w:right="144" w:firstLine="0"/>
        <w:jc w:val="left"/>
      </w:pPr>
      <w:r>
        <w:tab/>
      </w:r>
      <w:r>
        <w:tab/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图3 盾构顶部超前注浆孔布置图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盾构掘进时，采用步进式超前注浆工艺，盾每掘进5m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停机对刀盘前方实施超前注浆加固。 </w:t>
      </w:r>
    </w:p>
    <w:p>
      <w:pPr>
        <w:autoSpaceDN w:val="0"/>
        <w:tabs>
          <w:tab w:pos="1300" w:val="left"/>
        </w:tabs>
        <w:autoSpaceDE w:val="0"/>
        <w:widowControl/>
        <w:spacing w:line="240" w:lineRule="auto" w:before="5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39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160"/>
          <w:pgMar w:top="488" w:right="940" w:bottom="180" w:left="420" w:header="720" w:footer="720" w:gutter="0"/>
          <w:cols w:num="2" w:equalWidth="0">
            <w:col w:w="5534" w:space="0"/>
            <w:col w:w="500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10" w:right="20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盾构正式下穿深中通道前，由施工单位及监理单位依据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建设单位管理办法进行了下穿前条件准备情况的预验收，验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收完成后由监理单位组织建设、设计、  （下转第114 页） </w:t>
      </w:r>
    </w:p>
    <w:p>
      <w:pPr>
        <w:sectPr>
          <w:type w:val="nextColumn"/>
          <w:pgSz w:w="11900" w:h="16160"/>
          <w:pgMar w:top="488" w:right="940" w:bottom="180" w:left="420" w:header="720" w:footer="720" w:gutter="0"/>
          <w:cols w:num="2" w:equalWidth="0">
            <w:col w:w="5534" w:space="0"/>
            <w:col w:w="50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876300</wp:posOffset>
            </wp:positionV>
            <wp:extent cx="2667000" cy="1166527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665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1879600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1841500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1841500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1752600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1727200</wp:posOffset>
            </wp:positionV>
            <wp:extent cx="508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1727200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1714500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1663700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1625600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1701800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1676400</wp:posOffset>
            </wp:positionV>
            <wp:extent cx="508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1600200</wp:posOffset>
            </wp:positionV>
            <wp:extent cx="508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1587500</wp:posOffset>
            </wp:positionV>
            <wp:extent cx="38100" cy="508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1587500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1574800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1536700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1587500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1524000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1714500</wp:posOffset>
            </wp:positionV>
            <wp:extent cx="50800" cy="635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1663700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1638300</wp:posOffset>
            </wp:positionV>
            <wp:extent cx="635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1638300</wp:posOffset>
            </wp:positionV>
            <wp:extent cx="508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1435100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1422400</wp:posOffset>
            </wp:positionV>
            <wp:extent cx="38100" cy="50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1422400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1485900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1346200</wp:posOffset>
            </wp:positionV>
            <wp:extent cx="508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1168400</wp:posOffset>
            </wp:positionV>
            <wp:extent cx="50800" cy="508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1409700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1384300</wp:posOffset>
            </wp:positionV>
            <wp:extent cx="38100" cy="508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1346200</wp:posOffset>
            </wp:positionV>
            <wp:extent cx="508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1320800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1295400</wp:posOffset>
            </wp:positionV>
            <wp:extent cx="114300" cy="165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1244600</wp:posOffset>
            </wp:positionV>
            <wp:extent cx="38100" cy="508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1231900</wp:posOffset>
            </wp:positionV>
            <wp:extent cx="101600" cy="889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1219200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1117600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1168400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1155700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1155700</wp:posOffset>
            </wp:positionV>
            <wp:extent cx="63500" cy="508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1117600</wp:posOffset>
            </wp:positionV>
            <wp:extent cx="63500" cy="508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1041400</wp:posOffset>
            </wp:positionV>
            <wp:extent cx="50800" cy="508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990600</wp:posOffset>
            </wp:positionV>
            <wp:extent cx="76200" cy="50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977900</wp:posOffset>
            </wp:positionV>
            <wp:extent cx="63500" cy="508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965200</wp:posOffset>
            </wp:positionV>
            <wp:extent cx="635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965200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952500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965200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889000</wp:posOffset>
            </wp:positionV>
            <wp:extent cx="762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1524000</wp:posOffset>
            </wp:positionV>
            <wp:extent cx="508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1511300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1485900</wp:posOffset>
            </wp:positionV>
            <wp:extent cx="508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1473200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1473200</wp:posOffset>
            </wp:positionV>
            <wp:extent cx="88900" cy="635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1447800</wp:posOffset>
            </wp:positionV>
            <wp:extent cx="88900" cy="1016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1435100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1422400</wp:posOffset>
            </wp:positionV>
            <wp:extent cx="38100" cy="5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1422400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1409700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1409700</wp:posOffset>
            </wp:positionV>
            <wp:extent cx="50800" cy="508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1384300</wp:posOffset>
            </wp:positionV>
            <wp:extent cx="381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1346200</wp:posOffset>
            </wp:positionV>
            <wp:extent cx="508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1346200</wp:posOffset>
            </wp:positionV>
            <wp:extent cx="508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1346200</wp:posOffset>
            </wp:positionV>
            <wp:extent cx="50800" cy="508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1333500</wp:posOffset>
            </wp:positionV>
            <wp:extent cx="50800" cy="50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1295400</wp:posOffset>
            </wp:positionV>
            <wp:extent cx="114300" cy="165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1257300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1244600</wp:posOffset>
            </wp:positionV>
            <wp:extent cx="38100" cy="508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1244600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1244600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1219200</wp:posOffset>
            </wp:positionV>
            <wp:extent cx="381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1206500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1193800</wp:posOffset>
            </wp:positionV>
            <wp:extent cx="50800" cy="508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1168400</wp:posOffset>
            </wp:positionV>
            <wp:extent cx="101600" cy="1143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1168400</wp:posOffset>
            </wp:positionV>
            <wp:extent cx="50800" cy="50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76200" cy="889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1130300</wp:posOffset>
            </wp:positionV>
            <wp:extent cx="635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1066800</wp:posOffset>
            </wp:positionV>
            <wp:extent cx="50800" cy="762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1066800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1066800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1041400</wp:posOffset>
            </wp:positionV>
            <wp:extent cx="508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1041400</wp:posOffset>
            </wp:positionV>
            <wp:extent cx="508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1041400</wp:posOffset>
            </wp:positionV>
            <wp:extent cx="38100" cy="508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1041400</wp:posOffset>
            </wp:positionV>
            <wp:extent cx="50800" cy="762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1016000</wp:posOffset>
            </wp:positionV>
            <wp:extent cx="63500" cy="889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1016000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1016000</wp:posOffset>
            </wp:positionV>
            <wp:extent cx="38100" cy="508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1003300</wp:posOffset>
            </wp:positionV>
            <wp:extent cx="50800" cy="508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927100</wp:posOffset>
            </wp:positionV>
            <wp:extent cx="101600" cy="1143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889000</wp:posOffset>
            </wp:positionV>
            <wp:extent cx="762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889000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889000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977900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952500</wp:posOffset>
            </wp:positionV>
            <wp:extent cx="38100" cy="508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889000</wp:posOffset>
            </wp:positionV>
            <wp:extent cx="508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889000</wp:posOffset>
            </wp:positionV>
            <wp:extent cx="635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1054100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1016000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914400</wp:posOffset>
            </wp:positionV>
            <wp:extent cx="50800" cy="762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1511300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1397000</wp:posOffset>
            </wp:positionV>
            <wp:extent cx="38100" cy="254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952500</wp:posOffset>
            </wp:positionV>
            <wp:extent cx="508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1193800</wp:posOffset>
            </wp:positionV>
            <wp:extent cx="25400" cy="254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914400</wp:posOffset>
            </wp:positionV>
            <wp:extent cx="1016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4762500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4762500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4648200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4246880</wp:posOffset>
            </wp:positionV>
            <wp:extent cx="2466340" cy="744469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74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</wp:posOffset>
            </wp:positionH>
            <wp:positionV relativeFrom="page">
              <wp:posOffset>5104130</wp:posOffset>
            </wp:positionV>
            <wp:extent cx="2832100" cy="219259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19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5194300</wp:posOffset>
            </wp:positionV>
            <wp:extent cx="508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5194300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5130800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5168900</wp:posOffset>
            </wp:positionV>
            <wp:extent cx="127000" cy="635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784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114                                            中 国 水 运                                         第23 卷 </w:t>
      </w:r>
    </w:p>
    <w:p>
      <w:pPr>
        <w:autoSpaceDN w:val="0"/>
        <w:tabs>
          <w:tab w:pos="6104" w:val="left"/>
          <w:tab w:pos="6112" w:val="left"/>
        </w:tabs>
        <w:autoSpaceDE w:val="0"/>
        <w:widowControl/>
        <w:spacing w:line="245" w:lineRule="auto" w:before="226" w:after="0"/>
        <w:ind w:left="5744" w:right="0" w:firstLine="0"/>
        <w:jc w:val="left"/>
      </w:pP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根据隧道施工沉降监测各点位数值情况分析，可以得出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如下结论： </w:t>
      </w:r>
      <w:r>
        <w:br/>
      </w:r>
      <w:r>
        <w:tab/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（1）采用合理的开挖方式，通过合理安排施工顺序和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利用辅助措施保持开挖面、管线稳定，施工时迅速使支护封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闭成环；及时进行初期支护背后注浆填充加固；能够保证施</w:t>
      </w:r>
    </w:p>
    <w:p>
      <w:pPr>
        <w:autoSpaceDN w:val="0"/>
        <w:tabs>
          <w:tab w:pos="5744" w:val="left"/>
        </w:tabs>
        <w:autoSpaceDE w:val="0"/>
        <w:widowControl/>
        <w:spacing w:line="240" w:lineRule="auto" w:before="46" w:after="218"/>
        <w:ind w:left="2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工引起地表沉降控制在30mm 内，管线沉降控制在20mm</w:t>
      </w:r>
    </w:p>
    <w:p>
      <w:pPr>
        <w:sectPr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1572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图4 地表监测点布置图 </w:t>
      </w:r>
    </w:p>
    <w:p>
      <w:pPr>
        <w:autoSpaceDN w:val="0"/>
        <w:tabs>
          <w:tab w:pos="962" w:val="left"/>
        </w:tabs>
        <w:autoSpaceDE w:val="0"/>
        <w:widowControl/>
        <w:spacing w:line="294" w:lineRule="exact" w:before="10" w:after="0"/>
        <w:ind w:left="602" w:right="144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2．监测数据分析 </w:t>
      </w:r>
      <w:r>
        <w:br/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施工过程中通过对各项监测数据及时分析并调整施工参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数及工艺，结果显示各项监测数据变形控制较好（见表1）。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地表沉降变化曲线如图5 所示。 </w:t>
      </w:r>
    </w:p>
    <w:p>
      <w:pPr>
        <w:autoSpaceDN w:val="0"/>
        <w:autoSpaceDE w:val="0"/>
        <w:widowControl/>
        <w:spacing w:line="185" w:lineRule="auto" w:before="74" w:after="36"/>
        <w:ind w:left="0" w:right="1120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表1 监测数据累计最大变化统计表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763"/>
        <w:gridCol w:w="1763"/>
        <w:gridCol w:w="1763"/>
        <w:gridCol w:w="1763"/>
        <w:gridCol w:w="1763"/>
        <w:gridCol w:w="1763"/>
      </w:tblGrid>
      <w:tr>
        <w:trPr>
          <w:trHeight w:hRule="exact" w:val="276"/>
        </w:trPr>
        <w:tc>
          <w:tcPr>
            <w:tcW w:type="dxa" w:w="87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14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监测项目 </w:t>
            </w:r>
          </w:p>
        </w:tc>
        <w:tc>
          <w:tcPr>
            <w:tcW w:type="dxa" w:w="15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98" w:after="0"/>
              <w:ind w:left="280" w:right="0" w:firstLine="0"/>
              <w:jc w:val="lef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累计最大变化量 </w:t>
            </w:r>
          </w:p>
        </w:tc>
        <w:tc>
          <w:tcPr>
            <w:tcW w:type="dxa" w:w="152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98" w:after="0"/>
              <w:ind w:left="296" w:right="0" w:firstLine="0"/>
              <w:jc w:val="lef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本次最大变化量 </w:t>
            </w:r>
          </w:p>
        </w:tc>
        <w:tc>
          <w:tcPr>
            <w:tcW w:type="dxa" w:w="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98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>变化速率</w:t>
            </w:r>
          </w:p>
        </w:tc>
      </w:tr>
      <w:tr>
        <w:trPr>
          <w:trHeight w:hRule="exact" w:val="168"/>
        </w:trPr>
        <w:tc>
          <w:tcPr>
            <w:tcW w:type="dxa" w:w="1763"/>
            <w:vMerge/>
            <w:tcBorders>
              <w:top w:sz="4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点号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6" w:after="0"/>
              <w:ind w:left="158" w:right="0" w:firstLine="0"/>
              <w:jc w:val="lef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数值(mm)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点号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6" w:after="0"/>
              <w:ind w:left="0" w:right="60" w:firstLine="0"/>
              <w:jc w:val="righ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数值(mm)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(mm/d)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548" w:space="0"/>
            <w:col w:w="503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96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内。 </w:t>
      </w:r>
    </w:p>
    <w:p>
      <w:pPr>
        <w:autoSpaceDN w:val="0"/>
        <w:autoSpaceDE w:val="0"/>
        <w:widowControl/>
        <w:spacing w:line="245" w:lineRule="auto" w:before="46" w:after="0"/>
        <w:ind w:left="196" w:right="114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（2）在暗挖过管施工过程中，通过加强对地表、隧道及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管线的监控量测，及时提供动态监测数据来指导施工，调整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各项施工参数，可以实现地面、管线沉降在允许范围内。 </w:t>
      </w:r>
    </w:p>
    <w:p>
      <w:pPr>
        <w:autoSpaceDN w:val="0"/>
        <w:autoSpaceDE w:val="0"/>
        <w:widowControl/>
        <w:spacing w:line="185" w:lineRule="auto" w:before="74" w:after="0"/>
        <w:ind w:left="556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六、结束语 </w:t>
      </w:r>
    </w:p>
    <w:p>
      <w:pPr>
        <w:autoSpaceDN w:val="0"/>
        <w:autoSpaceDE w:val="0"/>
        <w:widowControl/>
        <w:spacing w:line="245" w:lineRule="auto" w:before="78" w:after="46"/>
        <w:ind w:left="196" w:right="0" w:firstLine="36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在软土地层暗挖隧道施工中，利用开挖前采取注浆加固，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开挖中采取型钢支撑，开挖后及时补浆等技术措施保持开挖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面和大直径管线的稳定，施工时严格按施工顺序进行开挖及</w:t>
      </w:r>
    </w:p>
    <w:p>
      <w:pPr>
        <w:sectPr>
          <w:type w:val="nextColumn"/>
          <w:pgSz w:w="11900" w:h="16160"/>
          <w:pgMar w:top="496" w:right="900" w:bottom="180" w:left="420" w:header="720" w:footer="720" w:gutter="0"/>
          <w:cols w:num="2" w:equalWidth="0">
            <w:col w:w="5548" w:space="0"/>
            <w:col w:w="50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28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0" w:right="36" w:firstLine="0"/>
              <w:jc w:val="righ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暗挖段地表沉降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DBC2-6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-22.40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DBC4-4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-0.62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64" w:after="0"/>
              <w:ind w:left="198" w:right="0" w:firstLine="0"/>
              <w:jc w:val="lef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-0.62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64" w:right="0" w:firstLine="0"/>
              <w:jc w:val="left"/>
            </w:pPr>
            <w:r>
              <w:rPr>
                <w:w w:val="101.32320192125108"/>
                <w:rFonts w:ascii="STZhongsong" w:hAnsi="STZhongsong" w:eastAsia="STZhongsong"/>
                <w:b w:val="0"/>
                <w:i w:val="0"/>
                <w:color w:val="000000"/>
                <w:sz w:val="18"/>
              </w:rPr>
              <w:t>初期支护，可保证下穿紧临大直径管线、周边环境以及施工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200" w:firstLine="0"/>
              <w:jc w:val="righ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拱顶沉降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GDC2-3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-18.1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GDC1-4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0.6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0" w:after="0"/>
              <w:ind w:left="0" w:right="370" w:firstLine="0"/>
              <w:jc w:val="righ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0.60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364" w:right="0" w:firstLine="0"/>
              <w:jc w:val="left"/>
            </w:pPr>
            <w:r>
              <w:rPr>
                <w:w w:val="101.32320192125108"/>
                <w:rFonts w:ascii="STZhongsong" w:hAnsi="STZhongsong" w:eastAsia="STZhongsong"/>
                <w:b w:val="0"/>
                <w:i w:val="0"/>
                <w:color w:val="000000"/>
                <w:sz w:val="18"/>
              </w:rPr>
              <w:t>的安全，并保证管线变形在可正常使用范围内，节约了工期</w:t>
            </w:r>
          </w:p>
        </w:tc>
      </w:tr>
      <w:tr>
        <w:trPr>
          <w:trHeight w:hRule="exact" w:val="36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0" w:right="88" w:firstLine="0"/>
              <w:jc w:val="righ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污水管检查井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GXC-WS1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-19.4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GXC-WS1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0" w:right="0" w:firstLine="0"/>
              <w:jc w:val="center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-0.3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6" w:after="0"/>
              <w:ind w:left="200" w:right="0" w:firstLine="0"/>
              <w:jc w:val="left"/>
            </w:pPr>
            <w:r>
              <w:rPr>
                <w:rFonts w:ascii="FZKTJW--GB1-0" w:hAnsi="FZKTJW--GB1-0" w:eastAsia="FZKTJW--GB1-0"/>
                <w:b w:val="0"/>
                <w:i w:val="0"/>
                <w:color w:val="000000"/>
                <w:sz w:val="11"/>
              </w:rPr>
              <w:t xml:space="preserve">-0.26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w w:val="101.32320192125108"/>
                <w:rFonts w:ascii="STZhongsong" w:hAnsi="STZhongsong" w:eastAsia="STZhongsong"/>
                <w:b w:val="0"/>
                <w:i w:val="0"/>
                <w:color w:val="000000"/>
                <w:sz w:val="18"/>
              </w:rPr>
              <w:t xml:space="preserve">及施工成本。 </w:t>
            </w:r>
          </w:p>
        </w:tc>
      </w:tr>
    </w:tbl>
    <w:p>
      <w:pPr>
        <w:autoSpaceDN w:val="0"/>
        <w:autoSpaceDE w:val="0"/>
        <w:widowControl/>
        <w:spacing w:line="120" w:lineRule="exact" w:before="112" w:after="24"/>
        <w:ind w:left="914" w:right="0" w:firstLine="0"/>
        <w:jc w:val="left"/>
      </w:pPr>
      <w:r>
        <w:rPr>
          <w:rFonts w:ascii="FZKTJW--GB1-0" w:hAnsi="FZKTJW--GB1-0" w:eastAsia="FZKTJW--GB1-0"/>
          <w:b w:val="0"/>
          <w:i w:val="0"/>
          <w:color w:val="000000"/>
          <w:sz w:val="11"/>
        </w:rPr>
        <w:t xml:space="preserve">说明 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10580"/>
      </w:tblGrid>
      <w:tr>
        <w:trPr>
          <w:trHeight w:hRule="exact" w:val="1190"/>
        </w:trPr>
        <w:tc>
          <w:tcPr>
            <w:tcW w:type="dxa" w:w="3902"/>
            <w:tcBorders>
              <w:start w:sz="11.520000457763672" w:val="single" w:color="#00AFEF"/>
              <w:top w:sz="11.520000457763672" w:val="single" w:color="#00AFEF"/>
              <w:end w:sz="11.520000457763672" w:val="single" w:color="#00AFEF"/>
              <w:bottom w:sz="11.520000457763672" w:val="single" w:color="#00AFE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2" w:after="0"/>
              <w:ind w:left="0" w:right="1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4.0" w:type="dxa"/>
      </w:tblPr>
      <w:tblGrid>
        <w:gridCol w:w="10580"/>
      </w:tblGrid>
      <w:tr>
        <w:trPr>
          <w:trHeight w:hRule="exact" w:val="364"/>
        </w:trPr>
        <w:tc>
          <w:tcPr>
            <w:tcW w:type="dxa" w:w="4476"/>
            <w:tcBorders>
              <w:start w:sz="11.520000457763672" w:val="single" w:color="#00AFEF"/>
              <w:top w:sz="11.520000457763672" w:val="single" w:color="#00AFEF"/>
              <w:end w:sz="11.520000457763672" w:val="single" w:color="#00AFEF"/>
              <w:bottom w:sz="11.520000457763672" w:val="single" w:color="#00AFE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5" w:lineRule="auto" w:before="180" w:after="0"/>
        <w:ind w:left="0" w:right="1430" w:firstLine="0"/>
        <w:jc w:val="righ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图5 地表沉降变化曲线图 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498" w:space="0"/>
            <w:col w:w="5082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66" w:lineRule="exact" w:before="0" w:after="0"/>
        <w:ind w:left="246" w:right="0" w:firstLine="0"/>
        <w:jc w:val="left"/>
      </w:pPr>
      <w:r>
        <w:tab/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参考文献 </w:t>
      </w:r>
      <w:r>
        <w:br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[1] 孙存良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浅谈地铁施工管线保护[J]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北方交通，2010，（3）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 xml:space="preserve">. 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[2] 郭永军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矿山法浅埋暗挖施工对地下管线保护技术[J]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山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西建筑，2006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606" w:val="left"/>
        </w:tabs>
        <w:autoSpaceDE w:val="0"/>
        <w:widowControl/>
        <w:spacing w:line="288" w:lineRule="exact" w:before="0" w:after="0"/>
        <w:ind w:left="246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[3] 罗宁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暗挖法临近管线施工的控制保护和加固措施[J]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建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筑工程技术与设计，2014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606" w:val="left"/>
        </w:tabs>
        <w:autoSpaceDE w:val="0"/>
        <w:widowControl/>
        <w:spacing w:line="288" w:lineRule="exact" w:before="0" w:after="452"/>
        <w:ind w:left="246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[4] 郑向红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浅埋暗挖法隧道施工对地下管线保护安全技术研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究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铁道标准设计，2008，12：111-113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sectPr>
          <w:type w:val="nextColumn"/>
          <w:pgSz w:w="11900" w:h="16160"/>
          <w:pgMar w:top="496" w:right="900" w:bottom="180" w:left="420" w:header="720" w:footer="720" w:gutter="0"/>
          <w:cols w:num="2" w:equalWidth="0">
            <w:col w:w="5498" w:space="0"/>
            <w:col w:w="50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48400" cy="50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continuous"/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76" w:right="144" w:firstLine="0"/>
        <w:jc w:val="center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（上接第111 页）  施工等主要参见单位完成了正式验收，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因本次盾构下穿设计多家单位，正式验收完成后又由建设单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548" w:space="0"/>
            <w:col w:w="50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6"/>
        <w:ind w:left="196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施工难度增加。通过相关技术管理、施工管理、程序管理等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措施，完成同期项目盾构下穿施工。 </w:t>
      </w:r>
    </w:p>
    <w:p>
      <w:pPr>
        <w:sectPr>
          <w:type w:val="nextColumn"/>
          <w:pgSz w:w="11900" w:h="16160"/>
          <w:pgMar w:top="496" w:right="900" w:bottom="180" w:left="420" w:header="720" w:footer="720" w:gutter="0"/>
          <w:cols w:num="2" w:equalWidth="0">
            <w:col w:w="5548" w:space="0"/>
            <w:col w:w="5032" w:space="0"/>
          </w:cols>
          <w:docGrid w:linePitch="360"/>
        </w:sectPr>
      </w:pPr>
    </w:p>
    <w:p>
      <w:pPr>
        <w:autoSpaceDN w:val="0"/>
        <w:tabs>
          <w:tab w:pos="6104" w:val="left"/>
        </w:tabs>
        <w:autoSpaceDE w:val="0"/>
        <w:widowControl/>
        <w:spacing w:line="185" w:lineRule="auto" w:before="0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位组织各单位主体责任人进行外部联合审查验收，验收通过</w:t>
      </w: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参考文献 </w:t>
      </w:r>
    </w:p>
    <w:p>
      <w:pPr>
        <w:autoSpaceDN w:val="0"/>
        <w:tabs>
          <w:tab w:pos="5744" w:val="left"/>
        </w:tabs>
        <w:autoSpaceDE w:val="0"/>
        <w:widowControl/>
        <w:spacing w:line="242" w:lineRule="exact" w:before="36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后再实施下穿施工。 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[1] 李超，易敏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邻近海河盾构始发端地层加固技术[C]//中国</w:t>
      </w:r>
    </w:p>
    <w:p>
      <w:pPr>
        <w:autoSpaceDN w:val="0"/>
        <w:tabs>
          <w:tab w:pos="6104" w:val="left"/>
        </w:tabs>
        <w:autoSpaceDE w:val="0"/>
        <w:widowControl/>
        <w:spacing w:line="200" w:lineRule="exact" w:before="62" w:after="52"/>
        <w:ind w:left="9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3．重大告知 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盾构技术学术研讨会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2011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144" w:firstLine="342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因穗莞深、深中通道、沿江高速为同期在建施工，为保证施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工安全性，项目对重大风险（如盾构带压开仓，下穿不良地层等）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施工前对各方进行发函告知，避免因重叠作业造成施工风险。 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582" w:space="0"/>
            <w:col w:w="4998" w:space="0"/>
          </w:cols>
          <w:docGrid w:linePitch="360"/>
        </w:sectPr>
      </w:pPr>
    </w:p>
    <w:p>
      <w:pPr>
        <w:autoSpaceDN w:val="0"/>
        <w:tabs>
          <w:tab w:pos="522" w:val="left"/>
        </w:tabs>
        <w:autoSpaceDE w:val="0"/>
        <w:widowControl/>
        <w:spacing w:line="238" w:lineRule="exact" w:before="0" w:after="0"/>
        <w:ind w:left="1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[2] 王明理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微风化高强度上软下硬地层盾构掘进技术探讨[J]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中国战略新兴产业，2019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78" w:after="78"/>
        <w:ind w:left="0" w:right="0" w:firstLine="0"/>
        <w:jc w:val="center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[3] 孟海峰，苏清贵，翟志国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大直径泥水盾构带压进仓地层</w:t>
      </w:r>
    </w:p>
    <w:p>
      <w:pPr>
        <w:sectPr>
          <w:type w:val="nextColumn"/>
          <w:pgSz w:w="11900" w:h="16160"/>
          <w:pgMar w:top="496" w:right="900" w:bottom="180" w:left="420" w:header="720" w:footer="720" w:gutter="0"/>
          <w:cols w:num="2" w:equalWidth="0">
            <w:col w:w="5582" w:space="0"/>
            <w:col w:w="4998" w:space="0"/>
          </w:cols>
          <w:docGrid w:linePitch="360"/>
        </w:sectPr>
      </w:pPr>
    </w:p>
    <w:p>
      <w:pPr>
        <w:autoSpaceDN w:val="0"/>
        <w:tabs>
          <w:tab w:pos="6104" w:val="left"/>
        </w:tabs>
        <w:autoSpaceDE w:val="0"/>
        <w:widowControl/>
        <w:spacing w:line="200" w:lineRule="exact" w:before="0" w:after="0"/>
        <w:ind w:left="9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4．施工日报 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加固及保压技术[J]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中国工程科学，2010，12（12）：5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5744" w:val="left"/>
        </w:tabs>
        <w:autoSpaceDE w:val="0"/>
        <w:widowControl/>
        <w:spacing w:line="242" w:lineRule="exact" w:before="52" w:after="0"/>
        <w:ind w:left="96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为提高盾构施工数据共享机制，下穿期间，建立了应急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[4] 李胜新，刘广仁，张平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盾构施工刀具的选用[J]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石油工程</w:t>
      </w:r>
    </w:p>
    <w:p>
      <w:pPr>
        <w:autoSpaceDN w:val="0"/>
        <w:tabs>
          <w:tab w:pos="6104" w:val="left"/>
        </w:tabs>
        <w:autoSpaceDE w:val="0"/>
        <w:widowControl/>
        <w:spacing w:line="242" w:lineRule="exact" w:before="36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协调小组施工群，每日将盾构施工进度、监测数据结论、地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建设，2010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5744" w:val="left"/>
        </w:tabs>
        <w:autoSpaceDE w:val="0"/>
        <w:widowControl/>
        <w:spacing w:line="242" w:lineRule="exact" w:before="38" w:after="0"/>
        <w:ind w:left="602" w:right="0" w:firstLine="0"/>
        <w:jc w:val="left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面巡视等情况形成日报上报至工作群。 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[5] 张明富，袁大军，黄清飞等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盾构刀具磨损与使用寿命分析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6104" w:val="left"/>
        </w:tabs>
        <w:autoSpaceDE w:val="0"/>
        <w:widowControl/>
        <w:spacing w:line="200" w:lineRule="exact" w:before="62" w:after="48"/>
        <w:ind w:left="962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 xml:space="preserve">5．组卷报备 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第四届中日盾构隧道技术交流会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中国土木工程学会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210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项目根据各级单位相关文件要求，完成了施工方案、相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关函件、施工参数、施工日报、穿越期间专题会议纪要等相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 xml:space="preserve">关资料组卷，报备至交通局备案。 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536" w:space="0"/>
            <w:col w:w="5044" w:space="0"/>
          </w:cols>
          <w:docGrid w:linePitch="360"/>
        </w:sectPr>
      </w:pPr>
    </w:p>
    <w:p>
      <w:pPr>
        <w:autoSpaceDN w:val="0"/>
        <w:tabs>
          <w:tab w:pos="568" w:val="left"/>
        </w:tabs>
        <w:autoSpaceDE w:val="0"/>
        <w:widowControl/>
        <w:spacing w:line="240" w:lineRule="exact" w:before="0" w:after="0"/>
        <w:ind w:left="208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[6] 贾浩天，王空前，李涛等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盾构施工监测方案探析[J]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建筑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工程技术与设计，2018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78" w:after="78"/>
        <w:ind w:left="208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[7] 林福龙，路亚缇，贺开伟等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一种泥水盾构出渣测量管理方法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p>
      <w:pPr>
        <w:sectPr>
          <w:type w:val="nextColumn"/>
          <w:pgSz w:w="11900" w:h="16160"/>
          <w:pgMar w:top="496" w:right="900" w:bottom="180" w:left="420" w:header="720" w:footer="720" w:gutter="0"/>
          <w:cols w:num="2" w:equalWidth="0">
            <w:col w:w="5536" w:space="0"/>
            <w:col w:w="5044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82" w:lineRule="exact" w:before="0" w:after="52"/>
        <w:ind w:left="962" w:right="0" w:firstLine="0"/>
        <w:jc w:val="left"/>
      </w:pPr>
      <w:r>
        <w:rPr>
          <w:w w:val="101.32320192125108"/>
          <w:rFonts w:ascii="SimHei" w:hAnsi="SimHei" w:eastAsia="SimHei"/>
          <w:b w:val="0"/>
          <w:i w:val="0"/>
          <w:color w:val="000000"/>
          <w:sz w:val="18"/>
        </w:rPr>
        <w:t xml:space="preserve">四、结束语 </w:t>
      </w:r>
      <w:r>
        <w:tab/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[8] 朱英会，孙善辉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钻注一体机在盾构超前注浆加固中的应</w:t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2" w:right="210" w:firstLine="360"/>
        <w:jc w:val="both"/>
      </w:pP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随我国科技的不断进步，盾构法已成为目前隧道施工中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的主流，具备着安全性高、施工速度快、对周边环境影响低</w:t>
      </w:r>
      <w:r>
        <w:rPr>
          <w:w w:val="101.32320192125108"/>
          <w:rFonts w:ascii="STZhongsong" w:hAnsi="STZhongsong" w:eastAsia="STZhongsong"/>
          <w:b w:val="0"/>
          <w:i w:val="0"/>
          <w:color w:val="000000"/>
          <w:sz w:val="18"/>
        </w:rPr>
        <w:t>的一系列优点。盾构施工过程中，遇到同期在建项目使盾构</w:t>
      </w:r>
    </w:p>
    <w:p>
      <w:pPr>
        <w:autoSpaceDN w:val="0"/>
        <w:tabs>
          <w:tab w:pos="1300" w:val="left"/>
        </w:tabs>
        <w:autoSpaceDE w:val="0"/>
        <w:widowControl/>
        <w:spacing w:line="240" w:lineRule="auto" w:before="5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397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397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160"/>
          <w:pgMar w:top="496" w:right="900" w:bottom="180" w:left="420" w:header="720" w:footer="720" w:gutter="0"/>
          <w:cols w:num="2" w:equalWidth="0">
            <w:col w:w="5536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568" w:right="0" w:firstLine="0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用[J]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建筑机械化，2012，33（8）：3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78" w:lineRule="exact" w:before="2" w:after="0"/>
        <w:ind w:left="552" w:right="0" w:hanging="344"/>
        <w:jc w:val="left"/>
      </w:pP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[9] 霍旺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克泥效工法在盾构穿越浅埋软土地层，控制沉降中的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应用[J]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  <w:r>
        <w:rPr>
          <w:w w:val="101.32320192125108"/>
          <w:rFonts w:ascii="FZKTJW--GB1-0" w:hAnsi="FZKTJW--GB1-0" w:eastAsia="FZKTJW--GB1-0"/>
          <w:b w:val="0"/>
          <w:i w:val="0"/>
          <w:color w:val="000000"/>
          <w:sz w:val="18"/>
        </w:rPr>
        <w:t>中文科技期刊数据库（文摘版）工程技术：415-417</w:t>
      </w:r>
      <w:r>
        <w:rPr>
          <w:w w:val="101.32320192125108"/>
          <w:rFonts w:ascii="KaiTi_GB2312" w:hAnsi="KaiTi_GB2312" w:eastAsia="KaiTi_GB2312"/>
          <w:b w:val="0"/>
          <w:i w:val="0"/>
          <w:color w:val="000000"/>
          <w:sz w:val="18"/>
        </w:rPr>
        <w:t>.</w:t>
      </w:r>
    </w:p>
    <w:sectPr w:rsidR="00FC693F" w:rsidRPr="0006063C" w:rsidSect="00034616">
      <w:type w:val="nextColumn"/>
      <w:pgSz w:w="11900" w:h="16160"/>
      <w:pgMar w:top="496" w:right="900" w:bottom="180" w:left="420" w:header="720" w:footer="720" w:gutter="0"/>
      <w:cols w:num="2" w:equalWidth="0">
        <w:col w:w="5536" w:space="0"/>
        <w:col w:w="504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