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4107179</wp:posOffset>
            </wp:positionH>
            <wp:positionV relativeFrom="page">
              <wp:posOffset>5716270</wp:posOffset>
            </wp:positionV>
            <wp:extent cx="2880360" cy="133502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33502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811"/>
        <w:gridCol w:w="1811"/>
        <w:gridCol w:w="1811"/>
        <w:gridCol w:w="1811"/>
        <w:gridCol w:w="1811"/>
        <w:gridCol w:w="1811"/>
      </w:tblGrid>
      <w:tr>
        <w:trPr>
          <w:trHeight w:hRule="exact" w:val="268"/>
        </w:trPr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44" w:after="0"/>
              <w:ind w:left="356" w:right="1440" w:firstLine="0"/>
              <w:jc w:val="lef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第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61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 xml:space="preserve"> 卷第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 xml:space="preserve"> 期</w:t>
            </w:r>
            <w:r>
              <w:br/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2021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 xml:space="preserve"> 年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 xml:space="preserve"> 月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0" w:right="88" w:firstLine="0"/>
              <w:jc w:val="righ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铁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0" w:right="0" w:firstLine="0"/>
              <w:jc w:val="center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道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0" w:right="0" w:firstLine="0"/>
              <w:jc w:val="center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建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4" w:after="0"/>
              <w:ind w:left="94" w:right="0" w:firstLine="0"/>
              <w:jc w:val="lef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筑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818" w:right="0" w:hanging="94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 xml:space="preserve">Vol.61 No.4 </w:t>
            </w:r>
            <w:r>
              <w:br/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April 2021</w:t>
            </w:r>
          </w:p>
        </w:tc>
      </w:tr>
      <w:tr>
        <w:trPr>
          <w:trHeight w:hRule="exact" w:val="484"/>
        </w:trPr>
        <w:tc>
          <w:tcPr>
            <w:tcW w:type="dxa" w:w="1811"/>
            <w:vMerge/>
            <w:tcBorders/>
          </w:tcPr>
          <w:p/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" w:after="0"/>
              <w:ind w:left="0" w:right="1702" w:firstLine="0"/>
              <w:jc w:val="righ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Railway Engineering</w:t>
            </w:r>
          </w:p>
        </w:tc>
        <w:tc>
          <w:tcPr>
            <w:tcW w:type="dxa" w:w="1811"/>
            <w:vMerge/>
            <w:tcBorders/>
          </w:tcPr>
          <w:p/>
        </w:tc>
      </w:tr>
    </w:tbl>
    <w:p>
      <w:pPr>
        <w:autoSpaceDN w:val="0"/>
        <w:tabs>
          <w:tab w:pos="1706" w:val="left"/>
        </w:tabs>
        <w:autoSpaceDE w:val="0"/>
        <w:widowControl/>
        <w:spacing w:line="546" w:lineRule="exact" w:before="330" w:after="0"/>
        <w:ind w:left="690" w:right="1008" w:firstLine="0"/>
        <w:jc w:val="left"/>
      </w:pP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文章编号：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1003⁃1995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（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2021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）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04⁃0067⁃04</w:t>
      </w:r>
      <w:r>
        <w:br/>
      </w:r>
      <w:r>
        <w:tab/>
      </w:r>
      <w:r>
        <w:rPr>
          <w:w w:val="101.01333031287561"/>
          <w:rFonts w:ascii="FZHTK--GBK1-0" w:hAnsi="FZHTK--GBK1-0" w:eastAsia="FZHTK--GBK1-0"/>
          <w:b w:val="0"/>
          <w:i w:val="0"/>
          <w:color w:val="221F1F"/>
          <w:sz w:val="39"/>
        </w:rPr>
        <w:t>贵阳喀斯特地区地铁盾构施工风险及防范措施</w:t>
      </w:r>
    </w:p>
    <w:p>
      <w:pPr>
        <w:autoSpaceDN w:val="0"/>
        <w:autoSpaceDE w:val="0"/>
        <w:widowControl/>
        <w:spacing w:line="298" w:lineRule="exact" w:before="430" w:after="0"/>
        <w:ind w:left="0" w:right="4724" w:firstLine="0"/>
        <w:jc w:val="right"/>
      </w:pPr>
      <w:r>
        <w:rPr>
          <w:w w:val="101.62740636754918"/>
          <w:rFonts w:ascii="FZKTK--GBK1-0" w:hAnsi="FZKTK--GBK1-0" w:eastAsia="FZKTK--GBK1-0"/>
          <w:b w:val="0"/>
          <w:i w:val="0"/>
          <w:color w:val="221F1F"/>
          <w:sz w:val="27"/>
        </w:rPr>
        <w:t>莫伟平</w:t>
      </w:r>
    </w:p>
    <w:p>
      <w:pPr>
        <w:autoSpaceDN w:val="0"/>
        <w:tabs>
          <w:tab w:pos="7142" w:val="left"/>
        </w:tabs>
        <w:autoSpaceDE w:val="0"/>
        <w:widowControl/>
        <w:spacing w:line="316" w:lineRule="exact" w:before="0" w:after="0"/>
        <w:ind w:left="3614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（贵阳市城市轨道交通集团有限公司，贵阳</w:t>
      </w:r>
      <w:r>
        <w:tab/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550081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</w:t>
      </w:r>
    </w:p>
    <w:p>
      <w:pPr>
        <w:autoSpaceDN w:val="0"/>
        <w:tabs>
          <w:tab w:pos="1548" w:val="left"/>
          <w:tab w:pos="1970" w:val="left"/>
        </w:tabs>
        <w:autoSpaceDE w:val="0"/>
        <w:widowControl/>
        <w:spacing w:line="324" w:lineRule="exact" w:before="0" w:after="0"/>
        <w:ind w:left="1128" w:right="432" w:firstLine="0"/>
        <w:jc w:val="left"/>
      </w:pP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摘</w:t>
      </w:r>
      <w:r>
        <w:tab/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要</w:t>
      </w:r>
      <w:r>
        <w:rPr>
          <w:w w:val="97.9990459623791"/>
          <w:rFonts w:ascii="FZKTK--GBK1-0" w:hAnsi="FZKTK--GBK1-0" w:eastAsia="FZKTK--GBK1-0"/>
          <w:b w:val="0"/>
          <w:i w:val="0"/>
          <w:color w:val="221F1F"/>
          <w:sz w:val="21"/>
        </w:rPr>
        <w:t>以贵阳轨道交通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KTK--GBK1-0" w:hAnsi="FZKTK--GBK1-0" w:eastAsia="FZKTK--GBK1-0"/>
          <w:b w:val="0"/>
          <w:i w:val="0"/>
          <w:color w:val="221F1F"/>
          <w:sz w:val="21"/>
        </w:rPr>
        <w:t xml:space="preserve"> 号线皂角井站—太慈桥站区间盾构施工为例，详细介绍了贵阳喀斯特岩溶</w:t>
      </w:r>
      <w:r>
        <w:rPr>
          <w:w w:val="97.9990459623791"/>
          <w:rFonts w:ascii="FZKTK--GBK1-0" w:hAnsi="FZKTK--GBK1-0" w:eastAsia="FZKTK--GBK1-0"/>
          <w:b w:val="0"/>
          <w:i w:val="0"/>
          <w:color w:val="221F1F"/>
          <w:sz w:val="21"/>
        </w:rPr>
        <w:t>区中风化白云岩和石灰岩地层中盾构施工存在的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7</w:t>
      </w:r>
      <w:r>
        <w:rPr>
          <w:w w:val="97.9990459623791"/>
          <w:rFonts w:ascii="FZKTK--GBK1-0" w:hAnsi="FZKTK--GBK1-0" w:eastAsia="FZKTK--GBK1-0"/>
          <w:b w:val="0"/>
          <w:i w:val="0"/>
          <w:color w:val="221F1F"/>
          <w:sz w:val="21"/>
        </w:rPr>
        <w:t xml:space="preserve"> 种风险，并针对施工中可能出现的质量和安全问题</w:t>
      </w:r>
      <w:r>
        <w:rPr>
          <w:w w:val="97.9990459623791"/>
          <w:rFonts w:ascii="FZKTK--GBK1-0" w:hAnsi="FZKTK--GBK1-0" w:eastAsia="FZKTK--GBK1-0"/>
          <w:b w:val="0"/>
          <w:i w:val="0"/>
          <w:color w:val="221F1F"/>
          <w:sz w:val="21"/>
        </w:rPr>
        <w:t>提出了相应的防范措施。通过分析已施工完成四方河路站—皂角井站盾构区间类似地层中刀具磨损、</w:t>
      </w:r>
      <w:r>
        <w:rPr>
          <w:w w:val="97.9990459623791"/>
          <w:rFonts w:ascii="FZKTK--GBK1-0" w:hAnsi="FZKTK--GBK1-0" w:eastAsia="FZKTK--GBK1-0"/>
          <w:b w:val="0"/>
          <w:i w:val="0"/>
          <w:color w:val="221F1F"/>
          <w:sz w:val="21"/>
        </w:rPr>
        <w:t>崩刃、螺栓松动、刀盘糊泥等异常情况的掘进参数，给出了适用于该地层的掘进参数。指出信息化施工</w:t>
      </w:r>
      <w:r>
        <w:rPr>
          <w:w w:val="97.9990459623791"/>
          <w:rFonts w:ascii="FZKTK--GBK1-0" w:hAnsi="FZKTK--GBK1-0" w:eastAsia="FZKTK--GBK1-0"/>
          <w:b w:val="0"/>
          <w:i w:val="0"/>
          <w:color w:val="221F1F"/>
          <w:sz w:val="21"/>
        </w:rPr>
        <w:t>可实现对盾构掘进过程的实时监测和动态管理，将施工质量、安全和经济效益达到最优。</w:t>
      </w:r>
    </w:p>
    <w:p>
      <w:pPr>
        <w:autoSpaceDN w:val="0"/>
        <w:tabs>
          <w:tab w:pos="1968" w:val="left"/>
          <w:tab w:pos="2388" w:val="left"/>
          <w:tab w:pos="3280" w:val="left"/>
          <w:tab w:pos="4540" w:val="left"/>
          <w:tab w:pos="5100" w:val="left"/>
        </w:tabs>
        <w:autoSpaceDE w:val="0"/>
        <w:widowControl/>
        <w:spacing w:line="398" w:lineRule="exact" w:before="0" w:after="240"/>
        <w:ind w:left="1128" w:right="1872" w:firstLine="0"/>
        <w:jc w:val="left"/>
      </w:pPr>
      <w:r>
        <w:tab/>
      </w:r>
      <w:r>
        <w:rPr>
          <w:w w:val="97.9990459623791"/>
          <w:rFonts w:ascii="FZKTK--GBK1-0" w:hAnsi="FZKTK--GBK1-0" w:eastAsia="FZKTK--GBK1-0"/>
          <w:b w:val="0"/>
          <w:i w:val="0"/>
          <w:color w:val="221F1F"/>
          <w:sz w:val="21"/>
        </w:rPr>
        <w:t>地铁盾构施工；喀斯特；统计分析；施工风险；防范措施；掘进参数；信息化施工</w:t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关键词</w:t>
      </w:r>
      <w:r>
        <w:br/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中图分类号</w:t>
      </w:r>
      <w:r>
        <w:tab/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455.4</w:t>
      </w:r>
      <w:r>
        <w:tab/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文献标识码</w:t>
      </w:r>
      <w:r>
        <w:tab/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 xml:space="preserve">A </w:t>
      </w:r>
      <w:r>
        <w:tab/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DOI</w:t>
      </w:r>
      <w:r>
        <w:rPr>
          <w:w w:val="97.9990459623791"/>
          <w:rFonts w:ascii="FZKTK--GBK1-0" w:hAnsi="FZKTK--GBK1-0" w:eastAsia="FZKTK--GBK1-0"/>
          <w:b w:val="0"/>
          <w:i w:val="0"/>
          <w:color w:val="221F1F"/>
          <w:sz w:val="21"/>
        </w:rPr>
        <w:t>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10.3969/j.issn.1003⁃1995.2021.04.15</w:t>
      </w:r>
    </w:p>
    <w:p>
      <w:pPr>
        <w:sectPr>
          <w:pgSz w:w="12246" w:h="17178"/>
          <w:pgMar w:top="506" w:right="9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0"/>
        <w:ind w:left="708" w:right="144" w:firstLine="42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与传统的暗挖法相比，盾构法施工在施工安全、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工程进度、质量保障、环境保护、投资等方面具有明显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优势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［</w:t>
      </w:r>
      <w:r>
        <w:rPr>
          <w:rFonts w:ascii="NEU" w:hAnsi="NEU" w:eastAsia="NEU"/>
          <w:b w:val="0"/>
          <w:i w:val="0"/>
          <w:color w:val="221F1F"/>
          <w:sz w:val="11"/>
        </w:rPr>
        <w:t>1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］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，因此盾构法在隧道施工中得到广泛应用。与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全国其他岩溶区相比，贵阳岩溶区具有地貌变化大、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可溶岩分布范围广、软弱夹层分布无规律、岩溶类型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齐全、地下水分布复杂等特点。自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2019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年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9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月“黔进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一号”盾构在贵阳市轨道交通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号线正式掘进以来，已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经贯通的多个隧道区间出现不良地质问题。盾构施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工存在盾构栽头、路面塌陷、建（构）筑物沉降、管片整</w:t>
      </w:r>
    </w:p>
    <w:p>
      <w:pPr>
        <w:sectPr>
          <w:type w:val="continuous"/>
          <w:pgSz w:w="12246" w:h="17178"/>
          <w:pgMar w:top="506" w:right="982" w:bottom="168" w:left="400" w:header="720" w:footer="720" w:gutter="0"/>
          <w:cols w:num="2" w:equalWidth="0">
            <w:col w:w="5776" w:space="0"/>
            <w:col w:w="5088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桥及人行地道。在即将进入花溪大道北段时切入西</w:t>
      </w:r>
    </w:p>
    <w:p>
      <w:pPr>
        <w:autoSpaceDN w:val="0"/>
        <w:autoSpaceDE w:val="0"/>
        <w:widowControl/>
        <w:spacing w:line="236" w:lineRule="exact" w:before="78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北方向住宅区，并侧穿沪昆铁路太慈桥铁路基础，然</w:t>
      </w:r>
    </w:p>
    <w:p>
      <w:pPr>
        <w:autoSpaceDN w:val="0"/>
        <w:autoSpaceDE w:val="0"/>
        <w:widowControl/>
        <w:spacing w:line="236" w:lineRule="exact" w:before="8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后下穿青山小区等住宅楼群，最终进入太慈桥站。设</w:t>
      </w:r>
    </w:p>
    <w:p>
      <w:pPr>
        <w:autoSpaceDN w:val="0"/>
        <w:autoSpaceDE w:val="0"/>
        <w:widowControl/>
        <w:spacing w:line="316" w:lineRule="exact" w:before="170" w:after="0"/>
        <w:ind w:left="15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计长度为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1 400. 945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，平面最小曲线半径为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340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区间隧道最大纵坡坡度为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34‰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，隧道顶埋深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14. 0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22. 3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。皂太区间平面如图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所示。</w:t>
      </w:r>
    </w:p>
    <w:p>
      <w:pPr>
        <w:autoSpaceDN w:val="0"/>
        <w:autoSpaceDE w:val="0"/>
        <w:widowControl/>
        <w:spacing w:line="142" w:lineRule="exact" w:before="94" w:after="750"/>
        <w:ind w:left="0" w:right="718" w:firstLine="0"/>
        <w:jc w:val="right"/>
      </w:pPr>
      <w:r>
        <w:rPr>
          <w:rFonts w:ascii="SimSun" w:hAnsi="SimSun" w:eastAsia="SimSun"/>
          <w:b w:val="0"/>
          <w:i w:val="0"/>
          <w:color w:val="221915"/>
          <w:sz w:val="14"/>
        </w:rPr>
        <w:t>1</w:t>
      </w:r>
    </w:p>
    <w:p>
      <w:pPr>
        <w:sectPr>
          <w:type w:val="nextColumn"/>
          <w:pgSz w:w="12246" w:h="17178"/>
          <w:pgMar w:top="506" w:right="982" w:bottom="168" w:left="400" w:header="720" w:footer="720" w:gutter="0"/>
          <w:cols w:num="2" w:equalWidth="0">
            <w:col w:w="5776" w:space="0"/>
            <w:col w:w="50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621"/>
        <w:gridCol w:w="3621"/>
        <w:gridCol w:w="3621"/>
      </w:tblGrid>
      <w:tr>
        <w:trPr>
          <w:trHeight w:hRule="exact" w:val="282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368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体上浮超限等质量问题和安全风险。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3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915"/>
                <w:sz w:val="14"/>
              </w:rPr>
              <w:t>,@1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32" w:after="0"/>
              <w:ind w:left="5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915"/>
                <w:sz w:val="14"/>
              </w:rPr>
              <w:t>,@1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915"/>
                <w:sz w:val="14"/>
              </w:rPr>
              <w:t>—</w:t>
            </w:r>
            <w:r>
              <w:rPr>
                <w:rFonts w:ascii="SimSun" w:hAnsi="SimSun" w:eastAsia="SimSun"/>
                <w:b w:val="0"/>
                <w:i w:val="0"/>
                <w:color w:val="221915"/>
                <w:sz w:val="14"/>
              </w:rPr>
              <w:t>1 L</w:t>
            </w:r>
          </w:p>
        </w:tc>
      </w:tr>
      <w:tr>
        <w:trPr>
          <w:trHeight w:hRule="exact" w:val="354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788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本文对该线皂角井站—太慈桥站盾构区间施工</w:t>
            </w:r>
          </w:p>
        </w:tc>
        <w:tc>
          <w:tcPr>
            <w:tcW w:type="dxa" w:w="3621"/>
            <w:vMerge/>
            <w:tcBorders/>
          </w:tcPr>
          <w:p/>
        </w:tc>
        <w:tc>
          <w:tcPr>
            <w:tcW w:type="dxa" w:w="36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6" w:lineRule="exact" w:before="20" w:after="46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中存在的风险进行分析，结合已施工完成四方河路站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173"/>
        <w:gridCol w:w="2173"/>
        <w:gridCol w:w="2173"/>
        <w:gridCol w:w="2173"/>
        <w:gridCol w:w="2173"/>
      </w:tblGrid>
      <w:tr>
        <w:trPr>
          <w:trHeight w:hRule="exact" w:val="324"/>
        </w:trPr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6" w:after="0"/>
              <w:ind w:left="368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—皂角井站盾构区间掘进经验提出风险控制措施，并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auto" w:before="588" w:after="0"/>
              <w:ind w:left="0" w:right="52" w:firstLine="0"/>
              <w:jc w:val="right"/>
            </w:pP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1. 2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126" w:after="0"/>
              <w:ind w:left="0" w:right="88" w:firstLine="0"/>
              <w:jc w:val="righ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图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94" w:right="0" w:firstLine="0"/>
              <w:jc w:val="lef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皂太区间平面示意</w:t>
            </w:r>
          </w:p>
        </w:tc>
      </w:tr>
      <w:tr>
        <w:trPr>
          <w:trHeight w:hRule="exact" w:val="280"/>
        </w:trPr>
        <w:tc>
          <w:tcPr>
            <w:tcW w:type="dxa" w:w="5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4" w:after="0"/>
              <w:ind w:left="368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给出合适的掘进参数，以供后续施工参考。</w:t>
            </w:r>
          </w:p>
        </w:tc>
        <w:tc>
          <w:tcPr>
            <w:tcW w:type="dxa" w:w="2173"/>
            <w:vMerge/>
            <w:tcBorders/>
          </w:tcPr>
          <w:p/>
        </w:tc>
        <w:tc>
          <w:tcPr>
            <w:tcW w:type="dxa" w:w="2173"/>
            <w:vMerge/>
            <w:tcBorders/>
          </w:tcPr>
          <w:p/>
        </w:tc>
        <w:tc>
          <w:tcPr>
            <w:tcW w:type="dxa" w:w="217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auto" w:before="176" w:after="0"/>
              <w:ind w:left="0" w:right="134" w:firstLine="0"/>
              <w:jc w:val="right"/>
            </w:pPr>
            <w:r>
              <w:rPr>
                <w:w w:val="101.62740636754918"/>
                <w:rFonts w:ascii="NEU" w:hAnsi="NEU" w:eastAsia="NEU"/>
                <w:b w:val="0"/>
                <w:i w:val="0"/>
                <w:color w:val="221F1F"/>
                <w:sz w:val="27"/>
              </w:rPr>
              <w:t>1</w:t>
            </w:r>
          </w:p>
        </w:tc>
        <w:tc>
          <w:tcPr>
            <w:tcW w:type="dxa" w:w="4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32" w:after="0"/>
              <w:ind w:left="148" w:right="0" w:firstLine="0"/>
              <w:jc w:val="left"/>
            </w:pPr>
            <w:r>
              <w:rPr>
                <w:w w:val="101.62740636754918"/>
                <w:rFonts w:ascii="FZHTK--GBK1-0" w:hAnsi="FZHTK--GBK1-0" w:eastAsia="FZHTK--GBK1-0"/>
                <w:b w:val="0"/>
                <w:i w:val="0"/>
                <w:color w:val="221F1F"/>
                <w:sz w:val="27"/>
              </w:rPr>
              <w:t>工程概况</w:t>
            </w:r>
          </w:p>
        </w:tc>
        <w:tc>
          <w:tcPr>
            <w:tcW w:type="dxa" w:w="2173"/>
            <w:vMerge/>
            <w:tcBorders/>
          </w:tcPr>
          <w:p/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" w:after="0"/>
              <w:ind w:left="160" w:right="0" w:firstLine="0"/>
              <w:jc w:val="left"/>
            </w:pPr>
            <w:r>
              <w:rPr>
                <w:w w:val="97.9990459623791"/>
                <w:rFonts w:ascii="FZHTK--GBK1-0" w:hAnsi="FZHTK--GBK1-0" w:eastAsia="FZHTK--GBK1-0"/>
                <w:b w:val="0"/>
                <w:i w:val="0"/>
                <w:color w:val="221F1F"/>
                <w:sz w:val="21"/>
              </w:rPr>
              <w:t>工程地质水文地质情况</w:t>
            </w:r>
          </w:p>
        </w:tc>
      </w:tr>
      <w:tr>
        <w:trPr>
          <w:trHeight w:hRule="exact" w:val="264"/>
        </w:trPr>
        <w:tc>
          <w:tcPr>
            <w:tcW w:type="dxa" w:w="2173"/>
            <w:vMerge/>
            <w:tcBorders/>
          </w:tcPr>
          <w:p/>
        </w:tc>
        <w:tc>
          <w:tcPr>
            <w:tcW w:type="dxa" w:w="2173"/>
            <w:vMerge/>
            <w:tcBorders/>
          </w:tcPr>
          <w:p/>
        </w:tc>
        <w:tc>
          <w:tcPr>
            <w:tcW w:type="dxa" w:w="2173"/>
            <w:vMerge/>
            <w:tcBorders/>
          </w:tcPr>
          <w:p/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8" w:after="0"/>
              <w:ind w:left="0" w:right="0" w:firstLine="0"/>
              <w:jc w:val="center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皂太区间穿越地层主要是三叠系下统安顺组和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8"/>
        <w:ind w:left="0" w:right="0"/>
      </w:pPr>
    </w:p>
    <w:p>
      <w:pPr>
        <w:sectPr>
          <w:type w:val="continuous"/>
          <w:pgSz w:w="12246" w:h="17178"/>
          <w:pgMar w:top="506" w:right="98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232" w:val="left"/>
        </w:tabs>
        <w:autoSpaceDE w:val="0"/>
        <w:widowControl/>
        <w:spacing w:line="286" w:lineRule="exact" w:before="0" w:after="0"/>
        <w:ind w:left="708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1. 1</w:t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线路走向</w:t>
      </w:r>
    </w:p>
    <w:p>
      <w:pPr>
        <w:autoSpaceDN w:val="0"/>
        <w:autoSpaceDE w:val="0"/>
        <w:widowControl/>
        <w:spacing w:line="174" w:lineRule="exact" w:before="312" w:after="0"/>
        <w:ind w:left="708" w:right="144" w:firstLine="42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贵阳市轨道交通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号线（以下简称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号线）南起花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溪区桐木岭站，北至乌当区洛湾站。初步设计线路全</w:t>
      </w:r>
    </w:p>
    <w:p>
      <w:pPr>
        <w:autoSpaceDN w:val="0"/>
        <w:autoSpaceDE w:val="0"/>
        <w:widowControl/>
        <w:spacing w:line="276" w:lineRule="exact" w:before="210" w:after="0"/>
        <w:ind w:left="708" w:right="210" w:firstLine="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长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43. 03 km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，途径贵阳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个行政区，设计最高运行速度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100 km/h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，建设期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5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年。皂角井站—太慈桥站区间（以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下简称皂太区间）为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号线第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个盾构区间。该区间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出皂角井站后沿花溪大道中段向北敷设，先后侧穿凤</w:t>
      </w:r>
    </w:p>
    <w:p>
      <w:pPr>
        <w:autoSpaceDN w:val="0"/>
        <w:autoSpaceDE w:val="0"/>
        <w:widowControl/>
        <w:spacing w:line="236" w:lineRule="exact" w:before="92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凰湾人行天桥，下穿人民大道接花溪大道上下行匝道</w:t>
      </w:r>
    </w:p>
    <w:p>
      <w:pPr>
        <w:autoSpaceDN w:val="0"/>
        <w:autoSpaceDE w:val="0"/>
        <w:widowControl/>
        <w:spacing w:line="264" w:lineRule="exact" w:before="388" w:after="0"/>
        <w:ind w:left="576" w:right="1872" w:firstLine="0"/>
        <w:jc w:val="center"/>
      </w:pPr>
      <w:r>
        <w:rPr>
          <w:w w:val="97.99875020980835"/>
          <w:rFonts w:ascii="FZHTK--GBK1-0" w:hAnsi="FZHTK--GBK1-0" w:eastAsia="FZHTK--GBK1-0"/>
          <w:b w:val="0"/>
          <w:i w:val="0"/>
          <w:color w:val="221F1F"/>
          <w:sz w:val="16"/>
        </w:rPr>
        <w:t>收稿日期：</w:t>
      </w:r>
      <w:r>
        <w:rPr>
          <w:w w:val="97.99875020980835"/>
          <w:rFonts w:ascii="NEU" w:hAnsi="NEU" w:eastAsia="NEU"/>
          <w:b w:val="0"/>
          <w:i w:val="0"/>
          <w:color w:val="221F1F"/>
          <w:sz w:val="16"/>
        </w:rPr>
        <w:t>2020⁃10⁃10</w:t>
      </w:r>
      <w:r>
        <w:rPr>
          <w:w w:val="97.99875020980835"/>
          <w:rFonts w:ascii="FZSSK--GBK1-0" w:hAnsi="FZSSK--GBK1-0" w:eastAsia="FZSSK--GBK1-0"/>
          <w:b w:val="0"/>
          <w:i w:val="0"/>
          <w:color w:val="221F1F"/>
          <w:sz w:val="16"/>
        </w:rPr>
        <w:t>；</w:t>
      </w:r>
      <w:r>
        <w:rPr>
          <w:w w:val="97.99875020980835"/>
          <w:rFonts w:ascii="FZHTK--GBK1-0" w:hAnsi="FZHTK--GBK1-0" w:eastAsia="FZHTK--GBK1-0"/>
          <w:b w:val="0"/>
          <w:i w:val="0"/>
          <w:color w:val="221F1F"/>
          <w:sz w:val="16"/>
        </w:rPr>
        <w:t>修回日期：</w:t>
      </w:r>
      <w:r>
        <w:rPr>
          <w:w w:val="97.99875020980835"/>
          <w:rFonts w:ascii="NEU" w:hAnsi="NEU" w:eastAsia="NEU"/>
          <w:b w:val="0"/>
          <w:i w:val="0"/>
          <w:color w:val="221F1F"/>
          <w:sz w:val="16"/>
        </w:rPr>
        <w:t>2020⁃12⁃10</w:t>
      </w:r>
      <w:r>
        <w:rPr>
          <w:w w:val="97.99875020980835"/>
          <w:rFonts w:ascii="FZHTK--GBK1-0" w:hAnsi="FZHTK--GBK1-0" w:eastAsia="FZHTK--GBK1-0"/>
          <w:b w:val="0"/>
          <w:i w:val="0"/>
          <w:color w:val="221F1F"/>
          <w:sz w:val="16"/>
        </w:rPr>
        <w:t>作者简介：</w:t>
      </w:r>
      <w:r>
        <w:rPr>
          <w:w w:val="97.99875020980835"/>
          <w:rFonts w:ascii="FZSSK--GBK1-0" w:hAnsi="FZSSK--GBK1-0" w:eastAsia="FZSSK--GBK1-0"/>
          <w:b w:val="0"/>
          <w:i w:val="0"/>
          <w:color w:val="221F1F"/>
          <w:sz w:val="16"/>
        </w:rPr>
        <w:t>莫伟平</w:t>
      </w:r>
      <w:r>
        <w:rPr>
          <w:w w:val="97.99875020980835"/>
          <w:rFonts w:ascii="NEU" w:hAnsi="NEU" w:eastAsia="NEU"/>
          <w:b w:val="0"/>
          <w:i w:val="0"/>
          <w:color w:val="221F1F"/>
          <w:sz w:val="16"/>
        </w:rPr>
        <w:t>(1970</w:t>
      </w:r>
      <w:r>
        <w:rPr>
          <w:w w:val="97.99875020980835"/>
          <w:rFonts w:ascii="FZSSK--GBK1-0" w:hAnsi="FZSSK--GBK1-0" w:eastAsia="FZSSK--GBK1-0"/>
          <w:b w:val="0"/>
          <w:i w:val="0"/>
          <w:color w:val="221F1F"/>
          <w:sz w:val="16"/>
        </w:rPr>
        <w:t>—</w:t>
      </w:r>
      <w:r>
        <w:rPr>
          <w:w w:val="97.99875020980835"/>
          <w:rFonts w:ascii="NEU" w:hAnsi="NEU" w:eastAsia="NEU"/>
          <w:b w:val="0"/>
          <w:i w:val="0"/>
          <w:color w:val="221F1F"/>
          <w:sz w:val="16"/>
        </w:rPr>
        <w:t xml:space="preserve"> )</w:t>
      </w:r>
      <w:r>
        <w:rPr>
          <w:w w:val="97.99875020980835"/>
          <w:rFonts w:ascii="FZSSK--GBK1-0" w:hAnsi="FZSSK--GBK1-0" w:eastAsia="FZSSK--GBK1-0"/>
          <w:b w:val="0"/>
          <w:i w:val="0"/>
          <w:color w:val="221F1F"/>
          <w:sz w:val="16"/>
        </w:rPr>
        <w:t>，男，高级工程师。</w:t>
      </w:r>
    </w:p>
    <w:p>
      <w:pPr>
        <w:autoSpaceDN w:val="0"/>
        <w:autoSpaceDE w:val="0"/>
        <w:widowControl/>
        <w:spacing w:line="372" w:lineRule="exact" w:before="0" w:after="0"/>
        <w:ind w:left="1426" w:right="0" w:firstLine="0"/>
        <w:jc w:val="left"/>
      </w:pPr>
      <w:r>
        <w:rPr>
          <w:w w:val="97.99875020980835"/>
          <w:rFonts w:ascii="NEU" w:hAnsi="NEU" w:eastAsia="NEU"/>
          <w:b w:val="0"/>
          <w:i w:val="0"/>
          <w:color w:val="221F1F"/>
          <w:sz w:val="16"/>
        </w:rPr>
        <w:t>E</w:t>
      </w:r>
      <w:r>
        <w:rPr>
          <w:w w:val="97.99875020980835"/>
          <w:rFonts w:ascii="TimesNewRomanPSMT" w:hAnsi="TimesNewRomanPSMT" w:eastAsia="TimesNewRomanPSMT"/>
          <w:b w:val="0"/>
          <w:i w:val="0"/>
          <w:color w:val="221F1F"/>
          <w:sz w:val="16"/>
        </w:rPr>
        <w:t>-</w:t>
      </w:r>
      <w:r>
        <w:rPr>
          <w:w w:val="97.99875020980835"/>
          <w:rFonts w:ascii="NEU" w:hAnsi="NEU" w:eastAsia="NEU"/>
          <w:b w:val="0"/>
          <w:i w:val="0"/>
          <w:color w:val="221F1F"/>
          <w:sz w:val="16"/>
        </w:rPr>
        <w:t>mail:383096336@qq.com</w:t>
      </w:r>
    </w:p>
    <w:p>
      <w:pPr>
        <w:sectPr>
          <w:type w:val="continuous"/>
          <w:pgSz w:w="12246" w:h="17178"/>
          <w:pgMar w:top="506" w:right="982" w:bottom="168" w:left="400" w:header="720" w:footer="720" w:gutter="0"/>
          <w:cols w:num="2" w:equalWidth="0">
            <w:col w:w="5722" w:space="0"/>
            <w:col w:w="5142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exact" w:before="0" w:after="2"/>
        <w:ind w:left="212" w:right="126" w:firstLine="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大冶组中风化白云岩、石灰岩。中风化白云岩岩石抗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压强度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26. 09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77. 99 MPa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，平均值为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45. 38 MPa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，岩体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较破碎，裂隙较发育，地下水丰富，易造成刀具崩坏破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损、螺栓松动。中风化石灰岩岩石抗压强度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8. 6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59. 9 MPa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，平均值为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32. 6 MPa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，裂隙不发育，含泥量较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大，易造成刀盘中心三角区及刀盘糊泥、刀具偏磨、渣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土积仓和滞排现象。皂太区间地下水水位埋深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0. 7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5. 8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，以潜水为主，局部为碳酸盐岩岩溶水。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55" w:type="dxa"/>
      </w:tblPr>
      <w:tblGrid>
        <w:gridCol w:w="5432"/>
        <w:gridCol w:w="5432"/>
      </w:tblGrid>
      <w:tr>
        <w:trPr>
          <w:trHeight w:hRule="exact" w:val="1288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14" w:right="0" w:firstLine="2"/>
              <w:jc w:val="left"/>
            </w:pPr>
            <w:r>
              <w:rPr>
                <w:w w:val="101.62740636754918"/>
                <w:rFonts w:ascii="NEU" w:hAnsi="NEU" w:eastAsia="NEU"/>
                <w:b w:val="0"/>
                <w:i w:val="0"/>
                <w:color w:val="221F1F"/>
                <w:sz w:val="27"/>
              </w:rPr>
              <w:t xml:space="preserve">2 </w:t>
            </w:r>
            <w:r>
              <w:br/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2. 1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0" w:val="left"/>
              </w:tabs>
              <w:autoSpaceDE w:val="0"/>
              <w:widowControl/>
              <w:spacing w:line="436" w:lineRule="exact" w:before="0" w:after="0"/>
              <w:ind w:left="54" w:right="0" w:firstLine="0"/>
              <w:jc w:val="left"/>
            </w:pPr>
            <w:r>
              <w:rPr>
                <w:w w:val="101.62740636754918"/>
                <w:rFonts w:ascii="FZHTK--GBK1-0" w:hAnsi="FZHTK--GBK1-0" w:eastAsia="FZHTK--GBK1-0"/>
                <w:b w:val="0"/>
                <w:i w:val="0"/>
                <w:color w:val="221F1F"/>
                <w:sz w:val="27"/>
              </w:rPr>
              <w:t>皂太区间盾构施工中存在的风险</w:t>
            </w:r>
            <w:r>
              <w:br/>
            </w:r>
            <w:r>
              <w:tab/>
            </w:r>
            <w:r>
              <w:rPr>
                <w:w w:val="97.9990459623791"/>
                <w:rFonts w:ascii="FZHTK--GBK1-0" w:hAnsi="FZHTK--GBK1-0" w:eastAsia="FZHTK--GBK1-0"/>
                <w:b w:val="0"/>
                <w:i w:val="0"/>
                <w:color w:val="221F1F"/>
                <w:sz w:val="21"/>
              </w:rPr>
              <w:t>岩溶发育地层中或破碎带施工</w:t>
            </w:r>
            <w:r>
              <w:br/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根据皂太区间初勘资料，该区间共有钻孔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71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个，</w:t>
            </w:r>
          </w:p>
        </w:tc>
      </w:tr>
    </w:tbl>
    <w:p>
      <w:pPr>
        <w:autoSpaceDN w:val="0"/>
        <w:autoSpaceDE w:val="0"/>
        <w:widowControl/>
        <w:spacing w:line="14" w:lineRule="exact" w:before="0" w:after="452"/>
        <w:ind w:left="0" w:right="0"/>
      </w:pPr>
    </w:p>
    <w:p>
      <w:pPr>
        <w:sectPr>
          <w:type w:val="nextColumn"/>
          <w:pgSz w:w="12246" w:h="17178"/>
          <w:pgMar w:top="506" w:right="982" w:bottom="168" w:left="400" w:header="720" w:footer="720" w:gutter="0"/>
          <w:cols w:num="2" w:equalWidth="0">
            <w:col w:w="5722" w:space="0"/>
            <w:col w:w="514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7178"/>
          <w:pgMar w:top="506" w:right="9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811"/>
        <w:gridCol w:w="1811"/>
        <w:gridCol w:w="1811"/>
        <w:gridCol w:w="1811"/>
        <w:gridCol w:w="1811"/>
        <w:gridCol w:w="1811"/>
      </w:tblGrid>
      <w:tr>
        <w:trPr>
          <w:trHeight w:hRule="exact" w:val="452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396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68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88" w:firstLine="0"/>
              <w:jc w:val="righ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铁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0" w:firstLine="0"/>
              <w:jc w:val="center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道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0" w:firstLine="0"/>
              <w:jc w:val="center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建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94" w:right="0" w:firstLine="0"/>
              <w:jc w:val="lef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筑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50" w:firstLine="0"/>
              <w:jc w:val="righ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第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61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8"/>
        <w:ind w:left="0" w:right="0"/>
      </w:pPr>
    </w:p>
    <w:p>
      <w:pPr>
        <w:sectPr>
          <w:pgSz w:w="12246" w:h="17178"/>
          <w:pgMar w:top="626" w:right="9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244" w:after="0"/>
        <w:ind w:left="70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有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14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个钻孔揭示有溶洞，钻孔遇洞率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19. 7%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。岩溶基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本位于厚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0. 3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17. 4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的覆土之下，属浅覆盖型岩溶，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岩溶主要表现为溶隙、溶洞和破碎带。溶洞主要以充</w:t>
      </w:r>
    </w:p>
    <w:p>
      <w:pPr>
        <w:autoSpaceDN w:val="0"/>
        <w:autoSpaceDE w:val="0"/>
        <w:widowControl/>
        <w:spacing w:line="236" w:lineRule="exact" w:before="86" w:after="0"/>
        <w:ind w:left="70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填型和半充填型为主，充填物为软塑～可塑状黏性</w:t>
      </w:r>
    </w:p>
    <w:p>
      <w:pPr>
        <w:autoSpaceDN w:val="0"/>
        <w:autoSpaceDE w:val="0"/>
        <w:widowControl/>
        <w:spacing w:line="166" w:lineRule="exact" w:before="320" w:after="0"/>
        <w:ind w:left="706" w:right="144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土，偶夹灰岩碎块。依据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DBJ 52/T 099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—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2020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《贵州城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市轨道交通岩土工程勘察规范》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［</w:t>
      </w:r>
      <w:r>
        <w:rPr>
          <w:rFonts w:ascii="NEU" w:hAnsi="NEU" w:eastAsia="NEU"/>
          <w:b w:val="0"/>
          <w:i w:val="0"/>
          <w:color w:val="221F1F"/>
          <w:sz w:val="11"/>
        </w:rPr>
        <w:t>2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］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判定为中等岩溶发</w:t>
      </w:r>
    </w:p>
    <w:p>
      <w:pPr>
        <w:autoSpaceDN w:val="0"/>
        <w:autoSpaceDE w:val="0"/>
        <w:widowControl/>
        <w:spacing w:line="238" w:lineRule="exact" w:before="84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育区。</w:t>
      </w:r>
    </w:p>
    <w:p>
      <w:pPr>
        <w:autoSpaceDN w:val="0"/>
        <w:autoSpaceDE w:val="0"/>
        <w:widowControl/>
        <w:spacing w:line="236" w:lineRule="exact" w:before="82" w:after="0"/>
        <w:ind w:left="112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根据以往施工经验，盾构在该地层掘进施工存在</w:t>
      </w:r>
    </w:p>
    <w:p>
      <w:pPr>
        <w:autoSpaceDN w:val="0"/>
        <w:autoSpaceDE w:val="0"/>
        <w:widowControl/>
        <w:spacing w:line="272" w:lineRule="exact" w:before="214" w:after="0"/>
        <w:ind w:left="708" w:right="122" w:firstLine="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的风险为：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①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溶洞、空洞在隧道下方，盾构穿越时极易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出现盾构栽头风险；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②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溶洞、空洞在隧道上方，盾构穿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越溶洞时易造成地表严重沉降甚至坍塌；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③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溶洞、空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洞在隧道两侧，盾构穿越后易造成管片结构变形；</w:t>
      </w:r>
    </w:p>
    <w:p>
      <w:pPr>
        <w:autoSpaceDN w:val="0"/>
        <w:tabs>
          <w:tab w:pos="1234" w:val="left"/>
        </w:tabs>
        <w:autoSpaceDE w:val="0"/>
        <w:widowControl/>
        <w:spacing w:line="170" w:lineRule="exact" w:before="318" w:after="0"/>
        <w:ind w:left="708" w:right="144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④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盾构在溶洞和破碎带影响区掘进时存在喷涌风险。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2. 2</w:t>
      </w:r>
      <w:r>
        <w:tab/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下穿既有铁路桥</w:t>
      </w:r>
    </w:p>
    <w:p>
      <w:pPr>
        <w:autoSpaceDN w:val="0"/>
        <w:autoSpaceDE w:val="0"/>
        <w:widowControl/>
        <w:spacing w:line="168" w:lineRule="exact" w:before="320" w:after="0"/>
        <w:ind w:left="708" w:right="144" w:firstLine="42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皂太区间隧道侧穿沪昆铁路太慈桥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18</w:t>
      </w:r>
      <w:r>
        <w:rPr>
          <w:rFonts w:ascii="NEU" w:hAnsi="NEU" w:eastAsia="NEU"/>
          <w:b w:val="0"/>
          <w:i w:val="0"/>
          <w:color w:val="221F1F"/>
          <w:sz w:val="11"/>
        </w:rPr>
        <w:t>#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—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19</w:t>
      </w:r>
      <w:r>
        <w:rPr>
          <w:rFonts w:ascii="NEU" w:hAnsi="NEU" w:eastAsia="NEU"/>
          <w:b w:val="0"/>
          <w:i w:val="0"/>
          <w:color w:val="221F1F"/>
          <w:sz w:val="11"/>
        </w:rPr>
        <w:t>#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桥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墩，桥墩基础为浆砌片石基础和桩基础。基础距盾构</w:t>
      </w:r>
    </w:p>
    <w:p>
      <w:pPr>
        <w:autoSpaceDN w:val="0"/>
        <w:autoSpaceDE w:val="0"/>
        <w:widowControl/>
        <w:spacing w:line="168" w:lineRule="exact" w:before="318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隧道最小水平净距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4. 4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，最小垂直净距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9. 6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。根据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既有经验，盾构下穿既有铁路桥时存在的风险为：</w:t>
      </w:r>
    </w:p>
    <w:p>
      <w:pPr>
        <w:autoSpaceDN w:val="0"/>
        <w:autoSpaceDE w:val="0"/>
        <w:widowControl/>
        <w:spacing w:line="238" w:lineRule="exact" w:before="86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因水平净距较小盾构姿态不好控制，盾构侵入桥桩，</w:t>
      </w:r>
    </w:p>
    <w:p>
      <w:pPr>
        <w:autoSpaceDN w:val="0"/>
        <w:autoSpaceDE w:val="0"/>
        <w:widowControl/>
        <w:spacing w:line="238" w:lineRule="exact" w:before="84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甚至严重破坏桥桩，从而造成既有线沉降、开裂等。</w:t>
      </w:r>
    </w:p>
    <w:p>
      <w:pPr>
        <w:autoSpaceDN w:val="0"/>
        <w:tabs>
          <w:tab w:pos="1232" w:val="left"/>
        </w:tabs>
        <w:autoSpaceDE w:val="0"/>
        <w:widowControl/>
        <w:spacing w:line="288" w:lineRule="exact" w:before="36" w:after="0"/>
        <w:ind w:left="708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2. 3</w:t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盾构小半径曲线掘进下穿密集建筑物</w:t>
      </w:r>
    </w:p>
    <w:p>
      <w:pPr>
        <w:autoSpaceDN w:val="0"/>
        <w:autoSpaceDE w:val="0"/>
        <w:widowControl/>
        <w:spacing w:line="244" w:lineRule="exact" w:before="242" w:after="0"/>
        <w:ind w:left="708" w:right="230" w:firstLine="42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盾构的极限转弯半径为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250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。盾构始发后沿花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溪大道掘进，然后以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340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小曲线转弯半径左转下穿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绿洲便捷酒店、车水路小区、升华汽配城、青山路老旧</w:t>
      </w:r>
    </w:p>
    <w:p>
      <w:pPr>
        <w:autoSpaceDN w:val="0"/>
        <w:autoSpaceDE w:val="0"/>
        <w:widowControl/>
        <w:spacing w:line="236" w:lineRule="exact" w:before="86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密集住宅平房、青山小区等住宅楼群。存在的风险</w:t>
      </w:r>
    </w:p>
    <w:p>
      <w:pPr>
        <w:autoSpaceDN w:val="0"/>
        <w:autoSpaceDE w:val="0"/>
        <w:widowControl/>
        <w:spacing w:line="244" w:lineRule="exact" w:before="242" w:after="0"/>
        <w:ind w:left="708" w:right="228" w:firstLine="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为：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①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盾构姿态及管片变形不易控制，掘进过程中容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易出现管片错台、破损、渗透水现象；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②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盾构进入房屋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密集的居民区，建筑物可能会沉降、倾斜，甚至倒塌。</w:t>
      </w:r>
    </w:p>
    <w:p>
      <w:pPr>
        <w:autoSpaceDN w:val="0"/>
        <w:tabs>
          <w:tab w:pos="1232" w:val="left"/>
        </w:tabs>
        <w:autoSpaceDE w:val="0"/>
        <w:widowControl/>
        <w:spacing w:line="288" w:lineRule="exact" w:before="36" w:after="0"/>
        <w:ind w:left="708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2. 4</w:t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硬岩中长距离掘进</w:t>
      </w:r>
    </w:p>
    <w:p>
      <w:pPr>
        <w:autoSpaceDN w:val="0"/>
        <w:autoSpaceDE w:val="0"/>
        <w:widowControl/>
        <w:spacing w:line="236" w:lineRule="exact" w:before="84" w:after="0"/>
        <w:ind w:left="112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皂太区间隧道全断面穿越中风化白云岩、石灰</w:t>
      </w:r>
    </w:p>
    <w:p>
      <w:pPr>
        <w:autoSpaceDN w:val="0"/>
        <w:autoSpaceDE w:val="0"/>
        <w:widowControl/>
        <w:spacing w:line="168" w:lineRule="exact" w:before="318" w:after="0"/>
        <w:ind w:left="708" w:right="144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岩，存在以下风险：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①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不仅盾构刀具磨损严重，而且可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造成刀盘磨损甚至损坏，致使掘进效率降低、换刀次</w:t>
      </w:r>
    </w:p>
    <w:p>
      <w:pPr>
        <w:autoSpaceDN w:val="0"/>
        <w:autoSpaceDE w:val="0"/>
        <w:widowControl/>
        <w:spacing w:line="168" w:lineRule="exact" w:before="320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数增加、工期滞后；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②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刀具磨损后盾构姿态较难控制，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造成管片错台、破损。</w:t>
      </w:r>
    </w:p>
    <w:p>
      <w:pPr>
        <w:autoSpaceDN w:val="0"/>
        <w:tabs>
          <w:tab w:pos="1234" w:val="left"/>
        </w:tabs>
        <w:autoSpaceDE w:val="0"/>
        <w:widowControl/>
        <w:spacing w:line="288" w:lineRule="exact" w:before="36" w:after="0"/>
        <w:ind w:left="708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2. 5</w:t>
      </w:r>
      <w:r>
        <w:tab/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下穿河流施工</w:t>
      </w:r>
    </w:p>
    <w:p>
      <w:pPr>
        <w:autoSpaceDN w:val="0"/>
        <w:autoSpaceDE w:val="0"/>
        <w:widowControl/>
        <w:spacing w:line="244" w:lineRule="exact" w:before="242" w:after="0"/>
        <w:ind w:left="708" w:right="228" w:firstLine="42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皂太区间隧道下穿小车河。小车河宽约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14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，水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深约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，河底距隧道顶板约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5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7 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。该区段穿越的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地层主要为中风化白云岩，局部有强溶蚀区和破碎</w:t>
      </w:r>
    </w:p>
    <w:p>
      <w:pPr>
        <w:autoSpaceDN w:val="0"/>
        <w:autoSpaceDE w:val="0"/>
        <w:widowControl/>
        <w:spacing w:line="236" w:lineRule="exact" w:before="86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带，盾构通过时存在溶蚀区或破碎带与小车河连通，</w:t>
      </w:r>
    </w:p>
    <w:p>
      <w:pPr>
        <w:autoSpaceDN w:val="0"/>
        <w:autoSpaceDE w:val="0"/>
        <w:widowControl/>
        <w:spacing w:line="236" w:lineRule="exact" w:before="86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导致大量涌水的风险。</w:t>
      </w:r>
    </w:p>
    <w:p>
      <w:pPr>
        <w:autoSpaceDN w:val="0"/>
        <w:tabs>
          <w:tab w:pos="1232" w:val="left"/>
        </w:tabs>
        <w:autoSpaceDE w:val="0"/>
        <w:widowControl/>
        <w:spacing w:line="288" w:lineRule="exact" w:before="38" w:after="0"/>
        <w:ind w:left="708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2. 6</w:t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富水岩溶区施工</w:t>
      </w:r>
    </w:p>
    <w:p>
      <w:pPr>
        <w:autoSpaceDN w:val="0"/>
        <w:autoSpaceDE w:val="0"/>
        <w:widowControl/>
        <w:spacing w:line="236" w:lineRule="exact" w:before="84" w:after="0"/>
        <w:ind w:left="112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盾构在地下水丰富的岩溶区掘进时管片脱离盾</w:t>
      </w:r>
    </w:p>
    <w:p>
      <w:pPr>
        <w:autoSpaceDN w:val="0"/>
        <w:autoSpaceDE w:val="0"/>
        <w:widowControl/>
        <w:spacing w:line="236" w:lineRule="exact" w:before="86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尾后经常出现整体上浮，特别是在破碎又富水的岩溶</w:t>
      </w:r>
    </w:p>
    <w:p>
      <w:pPr>
        <w:autoSpaceDN w:val="0"/>
        <w:autoSpaceDE w:val="0"/>
        <w:widowControl/>
        <w:spacing w:line="236" w:lineRule="exact" w:before="86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地层中管片上浮现象更明显，而管片上浮导致的管片</w:t>
      </w:r>
    </w:p>
    <w:p>
      <w:pPr>
        <w:sectPr>
          <w:type w:val="continuous"/>
          <w:pgSz w:w="12246" w:h="17178"/>
          <w:pgMar w:top="626" w:right="982" w:bottom="168" w:left="400" w:header="720" w:footer="720" w:gutter="0"/>
          <w:cols w:num="2" w:equalWidth="0">
            <w:col w:w="5740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错台或管片连接薄弱处开裂、渗漏水等问题严重影响</w:t>
      </w:r>
    </w:p>
    <w:p>
      <w:pPr>
        <w:autoSpaceDN w:val="0"/>
        <w:autoSpaceDE w:val="0"/>
        <w:widowControl/>
        <w:spacing w:line="236" w:lineRule="exact" w:before="82" w:after="0"/>
        <w:ind w:left="19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隧道施工和后期维护安全。</w:t>
      </w:r>
    </w:p>
    <w:p>
      <w:pPr>
        <w:autoSpaceDN w:val="0"/>
        <w:tabs>
          <w:tab w:pos="720" w:val="left"/>
        </w:tabs>
        <w:autoSpaceDE w:val="0"/>
        <w:widowControl/>
        <w:spacing w:line="288" w:lineRule="exact" w:before="36" w:after="0"/>
        <w:ind w:left="196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2. 7</w:t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盾构选型不当和适应性不足</w:t>
      </w:r>
    </w:p>
    <w:p>
      <w:pPr>
        <w:autoSpaceDN w:val="0"/>
        <w:autoSpaceDE w:val="0"/>
        <w:widowControl/>
        <w:spacing w:line="236" w:lineRule="exact" w:before="82" w:after="0"/>
        <w:ind w:left="61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盾构选型不当和适应性不足会造成掘进速度慢、</w:t>
      </w:r>
    </w:p>
    <w:p>
      <w:pPr>
        <w:autoSpaceDN w:val="0"/>
        <w:autoSpaceDE w:val="0"/>
        <w:widowControl/>
        <w:spacing w:line="236" w:lineRule="exact" w:before="86" w:after="0"/>
        <w:ind w:left="19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刀具磨损严重、卡盾等风险。</w:t>
      </w:r>
    </w:p>
    <w:p>
      <w:pPr>
        <w:autoSpaceDN w:val="0"/>
        <w:tabs>
          <w:tab w:pos="616" w:val="left"/>
        </w:tabs>
        <w:autoSpaceDE w:val="0"/>
        <w:widowControl/>
        <w:spacing w:line="384" w:lineRule="exact" w:before="164" w:after="0"/>
        <w:ind w:left="196" w:right="0" w:firstLine="0"/>
        <w:jc w:val="left"/>
      </w:pPr>
      <w:r>
        <w:rPr>
          <w:w w:val="101.62740636754918"/>
          <w:rFonts w:ascii="NEU" w:hAnsi="NEU" w:eastAsia="NEU"/>
          <w:b w:val="0"/>
          <w:i w:val="0"/>
          <w:color w:val="221F1F"/>
          <w:sz w:val="27"/>
        </w:rPr>
        <w:t>3</w:t>
      </w:r>
      <w:r>
        <w:tab/>
      </w:r>
      <w:r>
        <w:rPr>
          <w:w w:val="101.62740636754918"/>
          <w:rFonts w:ascii="FZHTK--GBK1-0" w:hAnsi="FZHTK--GBK1-0" w:eastAsia="FZHTK--GBK1-0"/>
          <w:b w:val="0"/>
          <w:i w:val="0"/>
          <w:color w:val="221F1F"/>
          <w:sz w:val="27"/>
        </w:rPr>
        <w:t>盾构施工的风险防控措施</w:t>
      </w:r>
    </w:p>
    <w:p>
      <w:pPr>
        <w:autoSpaceDN w:val="0"/>
        <w:tabs>
          <w:tab w:pos="720" w:val="left"/>
        </w:tabs>
        <w:autoSpaceDE w:val="0"/>
        <w:widowControl/>
        <w:spacing w:line="288" w:lineRule="exact" w:before="168" w:after="0"/>
        <w:ind w:left="194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3. 1</w:t>
      </w:r>
      <w:r>
        <w:tab/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岩溶发育地层中施工风险防控措施</w:t>
      </w:r>
    </w:p>
    <w:p>
      <w:pPr>
        <w:autoSpaceDN w:val="0"/>
        <w:autoSpaceDE w:val="0"/>
        <w:widowControl/>
        <w:spacing w:line="486" w:lineRule="exact" w:before="0" w:after="0"/>
        <w:ind w:left="614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①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通过补勘、详勘孔进行物探，对发现的不良地</w:t>
      </w:r>
    </w:p>
    <w:p>
      <w:pPr>
        <w:autoSpaceDN w:val="0"/>
        <w:autoSpaceDE w:val="0"/>
        <w:widowControl/>
        <w:spacing w:line="236" w:lineRule="exact" w:before="0" w:after="0"/>
        <w:ind w:left="19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质区域使用超前钻注一体机进行注浆加固处理；</w:t>
      </w:r>
    </w:p>
    <w:p>
      <w:pPr>
        <w:autoSpaceDN w:val="0"/>
        <w:autoSpaceDE w:val="0"/>
        <w:widowControl/>
        <w:spacing w:line="322" w:lineRule="exact" w:before="166" w:after="0"/>
        <w:ind w:left="194" w:right="126" w:firstLine="0"/>
        <w:jc w:val="both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②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洞内采用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HSP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（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Horizontal Sound Probing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）超前地质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预报系统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［</w:t>
      </w:r>
      <w:r>
        <w:rPr>
          <w:rFonts w:ascii="NEU" w:hAnsi="NEU" w:eastAsia="NEU"/>
          <w:b w:val="0"/>
          <w:i w:val="0"/>
          <w:color w:val="221F1F"/>
          <w:sz w:val="11"/>
        </w:rPr>
        <w:t>3-4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］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核实地质情况；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③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合理控制掘进参数。及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时总结区间前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100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环的盾构施工参数，同时根据类似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地质条件下盾构施工经验选择合适的掘进参数；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④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管</w:t>
      </w: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片脱出盾尾后及时进行二次注浆和加注封水环，防止</w:t>
      </w:r>
    </w:p>
    <w:p>
      <w:pPr>
        <w:autoSpaceDN w:val="0"/>
        <w:autoSpaceDE w:val="0"/>
        <w:widowControl/>
        <w:spacing w:line="486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管片上浮和喷涌现象的发生；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⑤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做好掘进过程中的监</w:t>
      </w:r>
    </w:p>
    <w:p>
      <w:pPr>
        <w:autoSpaceDN w:val="0"/>
        <w:autoSpaceDE w:val="0"/>
        <w:widowControl/>
        <w:spacing w:line="238" w:lineRule="exact" w:before="0" w:after="0"/>
        <w:ind w:left="194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控量测。</w:t>
      </w:r>
    </w:p>
    <w:p>
      <w:pPr>
        <w:autoSpaceDN w:val="0"/>
        <w:tabs>
          <w:tab w:pos="720" w:val="left"/>
        </w:tabs>
        <w:autoSpaceDE w:val="0"/>
        <w:widowControl/>
        <w:spacing w:line="286" w:lineRule="exact" w:before="36" w:after="0"/>
        <w:ind w:left="194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3. 2</w:t>
      </w:r>
      <w:r>
        <w:tab/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盾构下穿铁路桥、建（构）筑物风险防控措施</w:t>
      </w:r>
    </w:p>
    <w:p>
      <w:pPr>
        <w:autoSpaceDN w:val="0"/>
        <w:autoSpaceDE w:val="0"/>
        <w:widowControl/>
        <w:spacing w:line="322" w:lineRule="exact" w:before="166" w:after="0"/>
        <w:ind w:left="194" w:right="0" w:firstLine="42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①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制定下穿方案，提前与产权单位办理下穿手续；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②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在穿越铁路桥段安装预埋注浆孔衬砌环；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③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穿越前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设置试验段，优化施工参数；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④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盾构穿越铁路桥、建</w:t>
      </w:r>
    </w:p>
    <w:p>
      <w:pPr>
        <w:autoSpaceDN w:val="0"/>
        <w:autoSpaceDE w:val="0"/>
        <w:widowControl/>
        <w:spacing w:line="236" w:lineRule="exact" w:before="0" w:after="0"/>
        <w:ind w:left="122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（构）筑物前做好盾构和刀具维修保养工作。</w:t>
      </w:r>
    </w:p>
    <w:p>
      <w:pPr>
        <w:autoSpaceDN w:val="0"/>
        <w:tabs>
          <w:tab w:pos="720" w:val="left"/>
        </w:tabs>
        <w:autoSpaceDE w:val="0"/>
        <w:widowControl/>
        <w:spacing w:line="286" w:lineRule="exact" w:before="36" w:after="0"/>
        <w:ind w:left="194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3. 3</w:t>
      </w:r>
      <w:r>
        <w:tab/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盾构小半径曲线段掘进风险防控措施</w:t>
      </w:r>
    </w:p>
    <w:p>
      <w:pPr>
        <w:autoSpaceDN w:val="0"/>
        <w:autoSpaceDE w:val="0"/>
        <w:widowControl/>
        <w:spacing w:line="320" w:lineRule="exact" w:before="166" w:after="0"/>
        <w:ind w:left="194" w:right="126" w:firstLine="420"/>
        <w:jc w:val="both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①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盾构掘进过程中加强推进轴线的控制，将预偏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量控制在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20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40 mm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。根据推进轴线情况进行局部超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挖。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②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严格控制盾构的姿态，尽可能控制每次纠偏的</w:t>
      </w: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幅度，坚持“勤监测、勤纠偏、小纠偏”的原则，蛇形纠</w:t>
      </w:r>
    </w:p>
    <w:p>
      <w:pPr>
        <w:autoSpaceDN w:val="0"/>
        <w:autoSpaceDE w:val="0"/>
        <w:widowControl/>
        <w:spacing w:line="488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偏量每环不大于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6 mm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③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适当提高每环同步砂浆注</w:t>
      </w:r>
    </w:p>
    <w:p>
      <w:pPr>
        <w:autoSpaceDN w:val="0"/>
        <w:autoSpaceDE w:val="0"/>
        <w:widowControl/>
        <w:spacing w:line="236" w:lineRule="exact" w:before="0" w:after="0"/>
        <w:ind w:left="194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浆量，保证注浆饱满。</w:t>
      </w:r>
    </w:p>
    <w:p>
      <w:pPr>
        <w:autoSpaceDN w:val="0"/>
        <w:tabs>
          <w:tab w:pos="720" w:val="left"/>
        </w:tabs>
        <w:autoSpaceDE w:val="0"/>
        <w:widowControl/>
        <w:spacing w:line="288" w:lineRule="exact" w:before="36" w:after="0"/>
        <w:ind w:left="194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3. 4</w:t>
      </w:r>
      <w:r>
        <w:tab/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盾构在硬岩中长距离掘进风险防控措施</w:t>
      </w:r>
    </w:p>
    <w:p>
      <w:pPr>
        <w:autoSpaceDN w:val="0"/>
        <w:autoSpaceDE w:val="0"/>
        <w:widowControl/>
        <w:spacing w:line="486" w:lineRule="exact" w:before="0" w:after="0"/>
        <w:ind w:left="614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①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盾构始发选用质量好的刀具，在刀盘正面选用</w:t>
      </w: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耐磨性高、破岩能力强的镶齿单刃和双刃滚刀，在刀</w:t>
      </w:r>
    </w:p>
    <w:p>
      <w:pPr>
        <w:autoSpaceDN w:val="0"/>
        <w:autoSpaceDE w:val="0"/>
        <w:widowControl/>
        <w:spacing w:line="238" w:lineRule="exact" w:before="84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盘起弧区选用抗冲击效果好的光圆单刃滚刀，并确保</w:t>
      </w:r>
    </w:p>
    <w:p>
      <w:pPr>
        <w:autoSpaceDN w:val="0"/>
        <w:autoSpaceDE w:val="0"/>
        <w:widowControl/>
        <w:spacing w:line="322" w:lineRule="exact" w:before="164" w:after="0"/>
        <w:ind w:left="144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单把滚刀能承受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250 kN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的冲击荷载，启动扭矩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25 N·m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②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对盾构刀盘和刀具进行耐磨加固处理，通</w:t>
      </w: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过刀具设计和材质的增强，进一步提高其耐磨性和适</w:t>
      </w:r>
    </w:p>
    <w:p>
      <w:pPr>
        <w:autoSpaceDN w:val="0"/>
        <w:autoSpaceDE w:val="0"/>
        <w:widowControl/>
        <w:spacing w:line="322" w:lineRule="exact" w:before="166" w:after="0"/>
        <w:ind w:left="194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应性。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③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盾构掘进过程中每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0. 5 h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在螺旋输送机出土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口测量渣土温度。正常掘进时渣土温度在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25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32 ℃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超过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32 ℃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要适度降低掘进速度，渣土温度超过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36 ℃</w:t>
      </w:r>
    </w:p>
    <w:p>
      <w:pPr>
        <w:autoSpaceDN w:val="0"/>
        <w:autoSpaceDE w:val="0"/>
        <w:widowControl/>
        <w:spacing w:line="236" w:lineRule="exact" w:before="0" w:after="0"/>
        <w:ind w:left="194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时要停机开仓检查更换损坏的刀具。</w:t>
      </w:r>
    </w:p>
    <w:p>
      <w:pPr>
        <w:autoSpaceDN w:val="0"/>
        <w:tabs>
          <w:tab w:pos="718" w:val="left"/>
        </w:tabs>
        <w:autoSpaceDE w:val="0"/>
        <w:widowControl/>
        <w:spacing w:line="288" w:lineRule="exact" w:before="36" w:after="0"/>
        <w:ind w:left="194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3. 5</w:t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盾构下穿小车河风险防控措施</w:t>
      </w:r>
    </w:p>
    <w:p>
      <w:pPr>
        <w:autoSpaceDN w:val="0"/>
        <w:autoSpaceDE w:val="0"/>
        <w:widowControl/>
        <w:spacing w:line="486" w:lineRule="exact" w:before="0" w:after="0"/>
        <w:ind w:left="614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①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通过补充地质钻孔和跨孔弹性波成像技术进</w:t>
      </w:r>
    </w:p>
    <w:p>
      <w:pPr>
        <w:autoSpaceDN w:val="0"/>
        <w:autoSpaceDE w:val="0"/>
        <w:widowControl/>
        <w:spacing w:line="236" w:lineRule="exact" w:before="0" w:after="0"/>
        <w:ind w:left="194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行物探，进一步查清穿河段的地质条件和覆土厚度；</w:t>
      </w:r>
    </w:p>
    <w:p>
      <w:pPr>
        <w:autoSpaceDN w:val="0"/>
        <w:autoSpaceDE w:val="0"/>
        <w:widowControl/>
        <w:spacing w:line="488" w:lineRule="exact" w:before="0" w:after="452"/>
        <w:ind w:left="0" w:right="0" w:firstLine="0"/>
        <w:jc w:val="center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②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下穿时向土仓内注入泡沫剂、膨润土、高分子聚合</w:t>
      </w:r>
    </w:p>
    <w:p>
      <w:pPr>
        <w:sectPr>
          <w:type w:val="nextColumn"/>
          <w:pgSz w:w="12246" w:h="17178"/>
          <w:pgMar w:top="626" w:right="982" w:bottom="168" w:left="400" w:header="720" w:footer="720" w:gutter="0"/>
          <w:cols w:num="2" w:equalWidth="0">
            <w:col w:w="5740" w:space="0"/>
            <w:col w:w="512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7178"/>
          <w:pgMar w:top="626" w:right="9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5295900</wp:posOffset>
            </wp:positionV>
            <wp:extent cx="2881629" cy="216439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1629" cy="216439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5613400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5727700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5613400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6807200</wp:posOffset>
            </wp:positionV>
            <wp:extent cx="38100" cy="63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1358900</wp:posOffset>
            </wp:positionH>
            <wp:positionV relativeFrom="page">
              <wp:posOffset>6794500</wp:posOffset>
            </wp:positionV>
            <wp:extent cx="50800" cy="63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6743700</wp:posOffset>
            </wp:positionV>
            <wp:extent cx="381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621"/>
        <w:gridCol w:w="3621"/>
        <w:gridCol w:w="3621"/>
      </w:tblGrid>
      <w:tr>
        <w:trPr>
          <w:trHeight w:hRule="exact" w:val="45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352" w:right="0" w:firstLine="0"/>
              <w:jc w:val="lef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第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 xml:space="preserve"> 期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1190" w:right="0" w:firstLine="0"/>
              <w:jc w:val="lef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莫伟平：贵阳喀斯特地区地铁盾构施工风险及防范措施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90" w:firstLine="0"/>
              <w:jc w:val="righ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4"/>
        <w:ind w:left="0" w:right="0"/>
      </w:pPr>
    </w:p>
    <w:p>
      <w:pPr>
        <w:sectPr>
          <w:pgSz w:w="12246" w:h="17178"/>
          <w:pgMar w:top="626" w:right="9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物等提高渣土的流动性和止水性，避免因地下水压力</w:t>
      </w:r>
    </w:p>
    <w:p>
      <w:pPr>
        <w:autoSpaceDN w:val="0"/>
        <w:autoSpaceDE w:val="0"/>
        <w:widowControl/>
        <w:spacing w:line="488" w:lineRule="exact" w:before="0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过大发生涌水突泥现象；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③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掘进过程中加强盾尾密封</w:t>
      </w:r>
    </w:p>
    <w:p>
      <w:pPr>
        <w:autoSpaceDN w:val="0"/>
        <w:autoSpaceDE w:val="0"/>
        <w:widowControl/>
        <w:spacing w:line="238" w:lineRule="exact" w:before="0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油脂的注入、中盾与盾尾铰接处的密封检查，及时调</w:t>
      </w:r>
    </w:p>
    <w:p>
      <w:pPr>
        <w:autoSpaceDN w:val="0"/>
        <w:autoSpaceDE w:val="0"/>
        <w:widowControl/>
        <w:spacing w:line="486" w:lineRule="exact" w:before="0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节密封压板螺栓，保证密封效果；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④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下穿时适当调整</w:t>
      </w:r>
    </w:p>
    <w:p>
      <w:pPr>
        <w:autoSpaceDN w:val="0"/>
        <w:autoSpaceDE w:val="0"/>
        <w:widowControl/>
        <w:spacing w:line="236" w:lineRule="exact" w:before="0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同步注浆浆液配比，缩短浆液凝胶时间，必要时可通</w:t>
      </w:r>
    </w:p>
    <w:p>
      <w:pPr>
        <w:autoSpaceDN w:val="0"/>
        <w:autoSpaceDE w:val="0"/>
        <w:widowControl/>
        <w:spacing w:line="236" w:lineRule="exact" w:before="82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过管片预留注浆孔及时进行二次注浆。</w:t>
      </w:r>
    </w:p>
    <w:p>
      <w:pPr>
        <w:autoSpaceDN w:val="0"/>
        <w:tabs>
          <w:tab w:pos="1232" w:val="left"/>
        </w:tabs>
        <w:autoSpaceDE w:val="0"/>
        <w:widowControl/>
        <w:spacing w:line="288" w:lineRule="exact" w:before="32" w:after="0"/>
        <w:ind w:left="708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3. 6</w:t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地下水丰富的岩溶区施工风险防控措施</w:t>
      </w:r>
    </w:p>
    <w:p>
      <w:pPr>
        <w:autoSpaceDN w:val="0"/>
        <w:autoSpaceDE w:val="0"/>
        <w:widowControl/>
        <w:spacing w:line="488" w:lineRule="exact" w:before="0" w:after="0"/>
        <w:ind w:left="112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针对存在的管片上浮风险提出措施：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①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管片脱离</w:t>
      </w:r>
    </w:p>
    <w:p>
      <w:pPr>
        <w:autoSpaceDN w:val="0"/>
        <w:autoSpaceDE w:val="0"/>
        <w:widowControl/>
        <w:spacing w:line="488" w:lineRule="exact" w:before="0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盾尾后，从管片预留注浆孔开孔放水降低水压；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②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掘进</w:t>
      </w:r>
    </w:p>
    <w:p>
      <w:pPr>
        <w:autoSpaceDN w:val="0"/>
        <w:autoSpaceDE w:val="0"/>
        <w:widowControl/>
        <w:spacing w:line="488" w:lineRule="exact" w:before="0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过程中将盾构垂直姿态控制在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-50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-40 mm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，以抵消</w:t>
      </w:r>
    </w:p>
    <w:p>
      <w:pPr>
        <w:autoSpaceDN w:val="0"/>
        <w:autoSpaceDE w:val="0"/>
        <w:widowControl/>
        <w:spacing w:line="488" w:lineRule="exact" w:before="0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管片上浮量；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③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采用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AB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料双液注浆系统，将同步注浆</w:t>
      </w:r>
    </w:p>
    <w:p>
      <w:pPr>
        <w:autoSpaceDN w:val="0"/>
        <w:autoSpaceDE w:val="0"/>
        <w:widowControl/>
        <w:spacing w:line="488" w:lineRule="exact" w:before="0" w:after="0"/>
        <w:ind w:left="70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浆液初凝时间从原来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4. 0 h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控制为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0. 5 h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，减少地下水</w:t>
      </w:r>
    </w:p>
    <w:p>
      <w:pPr>
        <w:autoSpaceDN w:val="0"/>
        <w:autoSpaceDE w:val="0"/>
        <w:widowControl/>
        <w:spacing w:line="238" w:lineRule="exact" w:before="0" w:after="0"/>
        <w:ind w:left="70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对管片上浮的影响。</w:t>
      </w:r>
    </w:p>
    <w:p>
      <w:pPr>
        <w:autoSpaceDN w:val="0"/>
        <w:autoSpaceDE w:val="0"/>
        <w:widowControl/>
        <w:spacing w:line="486" w:lineRule="exact" w:before="0" w:after="0"/>
        <w:ind w:left="112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管片上浮风险防控效果见图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。从图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（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a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）可以看</w:t>
      </w:r>
    </w:p>
    <w:p>
      <w:pPr>
        <w:autoSpaceDN w:val="0"/>
        <w:autoSpaceDE w:val="0"/>
        <w:widowControl/>
        <w:spacing w:line="236" w:lineRule="exact" w:before="0" w:after="0"/>
        <w:ind w:left="70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出：四方河路站—皂角井站区间左线掘进过程中盾尾</w:t>
      </w:r>
    </w:p>
    <w:p>
      <w:pPr>
        <w:autoSpaceDN w:val="0"/>
        <w:autoSpaceDE w:val="0"/>
        <w:widowControl/>
        <w:spacing w:line="486" w:lineRule="exact" w:before="0" w:after="0"/>
        <w:ind w:left="70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脱出后管片比拼装完时上浮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20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35 mm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。从图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（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b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）</w:t>
      </w:r>
    </w:p>
    <w:p>
      <w:pPr>
        <w:autoSpaceDN w:val="0"/>
        <w:autoSpaceDE w:val="0"/>
        <w:widowControl/>
        <w:spacing w:line="486" w:lineRule="exact" w:before="0" w:after="0"/>
        <w:ind w:left="70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可以看出：通过使用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AB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料双液注浆系统注浆，增大每</w:t>
      </w:r>
    </w:p>
    <w:p>
      <w:pPr>
        <w:autoSpaceDN w:val="0"/>
        <w:autoSpaceDE w:val="0"/>
        <w:widowControl/>
        <w:spacing w:line="236" w:lineRule="exact" w:before="0" w:after="0"/>
        <w:ind w:left="70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环同步注浆量、缩短浆液初凝时间后管片上浮情况得</w:t>
      </w:r>
    </w:p>
    <w:p>
      <w:pPr>
        <w:autoSpaceDN w:val="0"/>
        <w:autoSpaceDE w:val="0"/>
        <w:widowControl/>
        <w:spacing w:line="486" w:lineRule="exact" w:before="0" w:after="0"/>
        <w:ind w:left="70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到很好控制。管片最大上浮量为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19 mm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，平均上浮量</w:t>
      </w:r>
    </w:p>
    <w:p>
      <w:pPr>
        <w:autoSpaceDN w:val="0"/>
        <w:autoSpaceDE w:val="0"/>
        <w:widowControl/>
        <w:spacing w:line="488" w:lineRule="exact" w:before="0" w:after="0"/>
        <w:ind w:left="70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12 mm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左右，基本杜绝了管片上浮。</w:t>
      </w:r>
    </w:p>
    <w:p>
      <w:pPr>
        <w:autoSpaceDN w:val="0"/>
        <w:autoSpaceDE w:val="0"/>
        <w:widowControl/>
        <w:spacing w:line="150" w:lineRule="exact" w:before="92" w:after="0"/>
        <w:ind w:left="0" w:right="1012" w:firstLine="0"/>
        <w:jc w:val="right"/>
      </w:pPr>
      <w:r>
        <w:rPr>
          <w:rFonts w:ascii="SimSun" w:hAnsi="SimSun" w:eastAsia="SimSun"/>
          <w:b w:val="0"/>
          <w:i w:val="0"/>
          <w:color w:val="221F1F"/>
          <w:sz w:val="15"/>
        </w:rPr>
        <w:t xml:space="preserve">-7 </w:t>
      </w:r>
    </w:p>
    <w:p>
      <w:pPr>
        <w:autoSpaceDN w:val="0"/>
        <w:autoSpaceDE w:val="0"/>
        <w:widowControl/>
        <w:spacing w:line="184" w:lineRule="exact" w:before="0" w:after="0"/>
        <w:ind w:left="746" w:right="0" w:firstLine="0"/>
        <w:jc w:val="left"/>
      </w:pPr>
      <w:r>
        <w:rPr>
          <w:rFonts w:ascii="SimSun" w:hAnsi="SimSun" w:eastAsia="SimSun"/>
          <w:b w:val="0"/>
          <w:i w:val="0"/>
          <w:color w:val="221F1F"/>
          <w:sz w:val="14"/>
        </w:rPr>
        <w:t xml:space="preserve"> -</w:t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/mm</w:t>
      </w:r>
    </w:p>
    <w:p>
      <w:pPr>
        <w:autoSpaceDN w:val="0"/>
        <w:autoSpaceDE w:val="0"/>
        <w:widowControl/>
        <w:spacing w:line="152" w:lineRule="exact" w:before="0" w:after="0"/>
        <w:ind w:left="0" w:right="3036" w:firstLine="0"/>
        <w:jc w:val="right"/>
      </w:pPr>
      <w:r>
        <w:rPr>
          <w:rFonts w:ascii="SimSun" w:hAnsi="SimSun" w:eastAsia="SimSun"/>
          <w:b w:val="0"/>
          <w:i w:val="0"/>
          <w:color w:val="221F1F"/>
          <w:sz w:val="15"/>
        </w:rPr>
        <w:t>1(&gt;</w:t>
      </w:r>
    </w:p>
    <w:p>
      <w:pPr>
        <w:autoSpaceDN w:val="0"/>
        <w:autoSpaceDE w:val="0"/>
        <w:widowControl/>
        <w:spacing w:line="164" w:lineRule="exact" w:before="132" w:after="0"/>
        <w:ind w:left="444" w:right="746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244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247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250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253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256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259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262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265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268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271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274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277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280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283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286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289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292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295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298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301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304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307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310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 xml:space="preserve">313 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4"/>
        </w:rPr>
        <w:t>316</w:t>
      </w:r>
    </w:p>
    <w:p>
      <w:pPr>
        <w:autoSpaceDN w:val="0"/>
        <w:autoSpaceDE w:val="0"/>
        <w:widowControl/>
        <w:spacing w:line="142" w:lineRule="exact" w:before="56" w:after="0"/>
        <w:ind w:left="0" w:right="2262" w:firstLine="0"/>
        <w:jc w:val="right"/>
      </w:pPr>
      <w:r>
        <w:rPr>
          <w:rFonts w:ascii="SimSun" w:hAnsi="SimSun" w:eastAsia="SimSun"/>
          <w:b w:val="0"/>
          <w:i w:val="0"/>
          <w:color w:val="221F1F"/>
          <w:sz w:val="14"/>
        </w:rPr>
        <w:t xml:space="preserve">&gt;.) </w:t>
      </w:r>
    </w:p>
    <w:p>
      <w:pPr>
        <w:autoSpaceDN w:val="0"/>
        <w:autoSpaceDE w:val="0"/>
        <w:widowControl/>
        <w:spacing w:line="196" w:lineRule="exact" w:before="50" w:after="0"/>
        <w:ind w:left="13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5"/>
        </w:rPr>
        <w:t xml:space="preserve">(a) </w:t>
      </w:r>
      <w:r>
        <w:rPr>
          <w:rFonts w:ascii="SimSun" w:hAnsi="SimSun" w:eastAsia="SimSun"/>
          <w:b w:val="0"/>
          <w:i w:val="0"/>
          <w:color w:val="221F1F"/>
          <w:sz w:val="15"/>
        </w:rPr>
        <w:t xml:space="preserve"> , L41(&gt;-7  1( -"</w:t>
      </w:r>
    </w:p>
    <w:p>
      <w:pPr>
        <w:sectPr>
          <w:type w:val="continuous"/>
          <w:pgSz w:w="12246" w:h="17178"/>
          <w:pgMar w:top="626" w:right="982" w:bottom="168" w:left="400" w:header="720" w:footer="720" w:gutter="0"/>
          <w:cols w:num="2" w:equalWidth="0">
            <w:col w:w="5754" w:space="0"/>
            <w:col w:w="5110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164" w:after="0"/>
        <w:ind w:left="180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刃滚刀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35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把，刀间距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75 mm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；刮刀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把，边刮刀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12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把，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超挖刀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把。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③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盾构主驱动的选择。主轴承密封采用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外侧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道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+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内侧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道唇形密封方案，满足富水地层的使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用要求。主驱动由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8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组马达驱动，由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台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315 kW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液压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泵提供动力，预留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台液压马达安装位置，能够满足中</w:t>
      </w:r>
    </w:p>
    <w:p>
      <w:pPr>
        <w:autoSpaceDN w:val="0"/>
        <w:autoSpaceDE w:val="0"/>
        <w:widowControl/>
        <w:spacing w:line="236" w:lineRule="exact" w:before="0" w:after="0"/>
        <w:ind w:left="0" w:right="0" w:firstLine="0"/>
        <w:jc w:val="center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风化白云岩、石灰岩地层长距离掘进要求，并具有较</w:t>
      </w:r>
    </w:p>
    <w:p>
      <w:pPr>
        <w:autoSpaceDN w:val="0"/>
        <w:autoSpaceDE w:val="0"/>
        <w:widowControl/>
        <w:spacing w:line="236" w:lineRule="exact" w:before="86" w:after="0"/>
        <w:ind w:left="180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大扭矩储备。</w:t>
      </w:r>
    </w:p>
    <w:p>
      <w:pPr>
        <w:autoSpaceDN w:val="0"/>
        <w:tabs>
          <w:tab w:pos="602" w:val="left"/>
        </w:tabs>
        <w:autoSpaceDE w:val="0"/>
        <w:widowControl/>
        <w:spacing w:line="382" w:lineRule="exact" w:before="164" w:after="0"/>
        <w:ind w:left="182" w:right="0" w:firstLine="0"/>
        <w:jc w:val="left"/>
      </w:pPr>
      <w:r>
        <w:rPr>
          <w:w w:val="101.62740636754918"/>
          <w:rFonts w:ascii="NEU" w:hAnsi="NEU" w:eastAsia="NEU"/>
          <w:b w:val="0"/>
          <w:i w:val="0"/>
          <w:color w:val="221F1F"/>
          <w:sz w:val="27"/>
        </w:rPr>
        <w:t>4</w:t>
      </w:r>
      <w:r>
        <w:tab/>
      </w:r>
      <w:r>
        <w:rPr>
          <w:w w:val="101.62740636754918"/>
          <w:rFonts w:ascii="FZHTK--GBK1-0" w:hAnsi="FZHTK--GBK1-0" w:eastAsia="FZHTK--GBK1-0"/>
          <w:b w:val="0"/>
          <w:i w:val="0"/>
          <w:color w:val="221F1F"/>
          <w:sz w:val="27"/>
        </w:rPr>
        <w:t>盾构合理掘进参数的确定及信息化</w:t>
      </w:r>
    </w:p>
    <w:p>
      <w:pPr>
        <w:autoSpaceDN w:val="0"/>
        <w:autoSpaceDE w:val="0"/>
        <w:widowControl/>
        <w:spacing w:line="310" w:lineRule="exact" w:before="64" w:after="0"/>
        <w:ind w:left="602" w:right="0" w:firstLine="0"/>
        <w:jc w:val="left"/>
      </w:pPr>
      <w:r>
        <w:rPr>
          <w:w w:val="101.62740636754918"/>
          <w:rFonts w:ascii="FZHTK--GBK1-0" w:hAnsi="FZHTK--GBK1-0" w:eastAsia="FZHTK--GBK1-0"/>
          <w:b w:val="0"/>
          <w:i w:val="0"/>
          <w:color w:val="221F1F"/>
          <w:sz w:val="27"/>
        </w:rPr>
        <w:t>施工</w:t>
      </w:r>
    </w:p>
    <w:p>
      <w:pPr>
        <w:autoSpaceDN w:val="0"/>
        <w:tabs>
          <w:tab w:pos="706" w:val="left"/>
        </w:tabs>
        <w:autoSpaceDE w:val="0"/>
        <w:widowControl/>
        <w:spacing w:line="288" w:lineRule="exact" w:before="186" w:after="0"/>
        <w:ind w:left="180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4. 1</w:t>
      </w:r>
      <w:r>
        <w:tab/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盾构合理掘进参数的确定</w:t>
      </w:r>
    </w:p>
    <w:p>
      <w:pPr>
        <w:autoSpaceDN w:val="0"/>
        <w:autoSpaceDE w:val="0"/>
        <w:widowControl/>
        <w:spacing w:line="236" w:lineRule="exact" w:before="84" w:after="44"/>
        <w:ind w:left="600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为确定贵阳喀斯特岩溶地区盾构施工的合理参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.00000000000045" w:type="dxa"/>
      </w:tblPr>
      <w:tblGrid>
        <w:gridCol w:w="1811"/>
        <w:gridCol w:w="1811"/>
        <w:gridCol w:w="1811"/>
        <w:gridCol w:w="1811"/>
        <w:gridCol w:w="1811"/>
        <w:gridCol w:w="1811"/>
      </w:tblGrid>
      <w:tr>
        <w:trPr>
          <w:trHeight w:hRule="exact" w:val="1358"/>
        </w:trPr>
        <w:tc>
          <w:tcPr>
            <w:tcW w:type="dxa" w:w="4820"/>
            <w:gridSpan w:val="6"/>
            <w:tcBorders>
              <w:bottom w:sz="7.48000001907348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8" w:right="6" w:firstLine="0"/>
              <w:jc w:val="both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数，统计了已施工完成四皂盾构区间类似地层中刀具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磨损时的掘进参数，结果见表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。其中，除了第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267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环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刀盘转速为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 7 r/min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，其他环刀盘转速均为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1. 5 r/min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。</w:t>
            </w:r>
          </w:p>
          <w:p>
            <w:pPr>
              <w:autoSpaceDN w:val="0"/>
              <w:tabs>
                <w:tab w:pos="1208" w:val="left"/>
              </w:tabs>
              <w:autoSpaceDE w:val="0"/>
              <w:widowControl/>
              <w:spacing w:line="246" w:lineRule="exact" w:before="0" w:after="0"/>
              <w:ind w:left="736" w:right="0" w:firstLine="0"/>
              <w:jc w:val="left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表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四皂区间刀具磨损时的盾构掘进参数</w:t>
            </w:r>
          </w:p>
        </w:tc>
      </w:tr>
      <w:tr>
        <w:trPr>
          <w:trHeight w:hRule="exact" w:val="566"/>
        </w:trPr>
        <w:tc>
          <w:tcPr>
            <w:tcW w:type="dxa" w:w="564"/>
            <w:gridSpan w:val="2"/>
            <w:tcBorders>
              <w:top w:sz="7.480000019073486" w:val="single" w:color="#221F1F"/>
              <w:bottom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4" w:after="0"/>
              <w:ind w:left="0" w:right="0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环数</w:t>
            </w:r>
          </w:p>
        </w:tc>
        <w:tc>
          <w:tcPr>
            <w:tcW w:type="dxa" w:w="1110"/>
            <w:vMerge w:val="restart"/>
            <w:tcBorders>
              <w:top w:sz="7.48000001907348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6" w:after="0"/>
              <w:ind w:left="0" w:right="0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刀盘扭矩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/</w:t>
            </w:r>
            <w:r>
              <w:br/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（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10</w:t>
            </w:r>
            <w:r>
              <w:rPr>
                <w:w w:val="102.78889338175456"/>
                <w:rFonts w:ascii="NEU" w:hAnsi="NEU" w:eastAsia="NEU"/>
                <w:b w:val="0"/>
                <w:i w:val="0"/>
                <w:color w:val="221F1F"/>
                <w:sz w:val="9"/>
              </w:rPr>
              <w:t>3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kN·m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）</w:t>
            </w:r>
          </w:p>
          <w:p>
            <w:pPr>
              <w:autoSpaceDN w:val="0"/>
              <w:autoSpaceDE w:val="0"/>
              <w:widowControl/>
              <w:spacing w:line="370" w:lineRule="exact" w:before="0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2. 20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2. 60</w:t>
            </w:r>
          </w:p>
        </w:tc>
        <w:tc>
          <w:tcPr>
            <w:tcW w:type="dxa" w:w="960"/>
            <w:tcBorders>
              <w:top w:sz="7.480000019073486" w:val="single" w:color="#221F1F"/>
              <w:bottom w:sz="2.94400000572204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6" w:after="0"/>
              <w:ind w:left="144" w:right="144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总推力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/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(10</w:t>
            </w:r>
            <w:r>
              <w:rPr>
                <w:w w:val="102.78889338175456"/>
                <w:rFonts w:ascii="NEU" w:hAnsi="NEU" w:eastAsia="NEU"/>
                <w:b w:val="0"/>
                <w:i w:val="0"/>
                <w:color w:val="221F1F"/>
                <w:sz w:val="9"/>
              </w:rPr>
              <w:t>3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kN)</w:t>
            </w:r>
          </w:p>
        </w:tc>
        <w:tc>
          <w:tcPr>
            <w:tcW w:type="dxa" w:w="1000"/>
            <w:vMerge w:val="restart"/>
            <w:tcBorders>
              <w:top w:sz="7.48000001907348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6" w:after="0"/>
              <w:ind w:left="0" w:right="0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推进速度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/</w:t>
            </w:r>
            <w:r>
              <w:br/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（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mm·min</w:t>
            </w:r>
            <w:r>
              <w:rPr>
                <w:w w:val="102.78889338175456"/>
                <w:rFonts w:ascii="NEU" w:hAnsi="NEU" w:eastAsia="NEU"/>
                <w:b w:val="0"/>
                <w:i w:val="0"/>
                <w:color w:val="221F1F"/>
                <w:sz w:val="9"/>
              </w:rPr>
              <w:t>-1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）</w:t>
            </w:r>
          </w:p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7</w:t>
            </w:r>
          </w:p>
        </w:tc>
        <w:tc>
          <w:tcPr>
            <w:tcW w:type="dxa" w:w="1186"/>
            <w:tcBorders>
              <w:top w:sz="7.480000019073486" w:val="single" w:color="#221F1F"/>
              <w:bottom w:sz="2.94400000572204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4" w:after="0"/>
              <w:ind w:left="0" w:right="0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进仓检查情况</w:t>
            </w:r>
          </w:p>
        </w:tc>
      </w:tr>
      <w:tr>
        <w:trPr>
          <w:trHeight w:hRule="exact" w:val="360"/>
        </w:trPr>
        <w:tc>
          <w:tcPr>
            <w:tcW w:type="dxa" w:w="564"/>
            <w:gridSpan w:val="2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267</w:t>
            </w:r>
          </w:p>
        </w:tc>
        <w:tc>
          <w:tcPr>
            <w:tcW w:type="dxa" w:w="1811"/>
            <w:vMerge/>
            <w:tcBorders>
              <w:top w:sz="7.480000019073486" w:val="single" w:color="#221F1F"/>
            </w:tcBorders>
          </w:tcPr>
          <w:p/>
        </w:tc>
        <w:tc>
          <w:tcPr>
            <w:tcW w:type="dxa" w:w="960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12. 9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13. 8</w:t>
            </w:r>
          </w:p>
        </w:tc>
        <w:tc>
          <w:tcPr>
            <w:tcW w:type="dxa" w:w="1811"/>
            <w:vMerge/>
            <w:tcBorders>
              <w:top w:sz="7.480000019073486" w:val="single" w:color="#221F1F"/>
            </w:tcBorders>
          </w:tcPr>
          <w:p/>
        </w:tc>
        <w:tc>
          <w:tcPr>
            <w:tcW w:type="dxa" w:w="1186"/>
            <w:tcBorders>
              <w:top w:sz="2.94400000572204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刀具磨损、崩刃</w:t>
            </w:r>
          </w:p>
        </w:tc>
      </w:tr>
      <w:tr>
        <w:trPr>
          <w:trHeight w:hRule="exact" w:val="200"/>
        </w:trPr>
        <w:tc>
          <w:tcPr>
            <w:tcW w:type="dxa" w:w="4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0" w:right="2" w:firstLine="0"/>
              <w:jc w:val="righ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334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56" w:after="0"/>
              <w:ind w:left="312" w:right="0" w:firstLine="0"/>
              <w:jc w:val="left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2. 10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2. 65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56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12. 5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13. 8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6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10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螺栓松动、</w:t>
            </w:r>
          </w:p>
        </w:tc>
      </w:tr>
      <w:tr>
        <w:trPr>
          <w:trHeight w:hRule="exact" w:val="240"/>
        </w:trPr>
        <w:tc>
          <w:tcPr>
            <w:tcW w:type="dxa" w:w="1811"/>
            <w:vMerge/>
            <w:tcBorders/>
          </w:tcPr>
          <w:p/>
        </w:tc>
        <w:tc>
          <w:tcPr>
            <w:tcW w:type="dxa" w:w="3622"/>
            <w:gridSpan w:val="2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刀具崩刃</w:t>
            </w:r>
          </w:p>
        </w:tc>
      </w:tr>
      <w:tr>
        <w:trPr>
          <w:trHeight w:hRule="exact" w:val="340"/>
        </w:trPr>
        <w:tc>
          <w:tcPr>
            <w:tcW w:type="dxa" w:w="4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74" w:right="2" w:firstLine="0"/>
              <w:jc w:val="both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386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432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486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528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557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28" w:after="0"/>
              <w:ind w:left="310" w:right="150" w:firstLine="0"/>
              <w:jc w:val="both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2. 30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2. 85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2. 10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2. 90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2. 20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3. 10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2. 00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3. 00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2. 10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2. 75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28" w:after="0"/>
              <w:ind w:left="0" w:right="0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11. 0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11. 8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13. 2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14. 0 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7. 0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8. 0 </w:t>
            </w:r>
            <w:r>
              <w:br/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8. 6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9. 8 </w:t>
            </w:r>
            <w:r>
              <w:br/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11. 0</w:t>
            </w: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～</w:t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12. 0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432" w:right="288" w:firstLine="0"/>
              <w:jc w:val="center"/>
            </w:pP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13 </w:t>
            </w:r>
            <w:r>
              <w:br/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12 </w:t>
            </w:r>
            <w:r>
              <w:br/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16 </w:t>
            </w:r>
            <w:r>
              <w:br/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 xml:space="preserve">7 </w:t>
            </w:r>
            <w:r>
              <w:br/>
            </w:r>
            <w:r>
              <w:rPr>
                <w:w w:val="97.99875020980835"/>
                <w:rFonts w:ascii="NEU" w:hAnsi="NEU" w:eastAsia="NEU"/>
                <w:b w:val="0"/>
                <w:i w:val="0"/>
                <w:color w:val="221F1F"/>
                <w:sz w:val="16"/>
              </w:rPr>
              <w:t>20</w:t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" w:after="0"/>
              <w:ind w:left="0" w:right="0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刀具磨损</w:t>
            </w:r>
          </w:p>
        </w:tc>
      </w:tr>
      <w:tr>
        <w:trPr>
          <w:trHeight w:hRule="exact" w:val="280"/>
        </w:trPr>
        <w:tc>
          <w:tcPr>
            <w:tcW w:type="dxa" w:w="1811"/>
            <w:vMerge/>
            <w:tcBorders/>
          </w:tcPr>
          <w:p/>
        </w:tc>
        <w:tc>
          <w:tcPr>
            <w:tcW w:type="dxa" w:w="3622"/>
            <w:gridSpan w:val="2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刀具磨损</w:t>
            </w:r>
          </w:p>
        </w:tc>
      </w:tr>
      <w:tr>
        <w:trPr>
          <w:trHeight w:hRule="exact" w:val="280"/>
        </w:trPr>
        <w:tc>
          <w:tcPr>
            <w:tcW w:type="dxa" w:w="1811"/>
            <w:vMerge/>
            <w:tcBorders/>
          </w:tcPr>
          <w:p/>
        </w:tc>
        <w:tc>
          <w:tcPr>
            <w:tcW w:type="dxa" w:w="3622"/>
            <w:gridSpan w:val="2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刀盘糊泥</w:t>
            </w:r>
          </w:p>
        </w:tc>
      </w:tr>
      <w:tr>
        <w:trPr>
          <w:trHeight w:hRule="exact" w:val="280"/>
        </w:trPr>
        <w:tc>
          <w:tcPr>
            <w:tcW w:type="dxa" w:w="1811"/>
            <w:vMerge/>
            <w:tcBorders/>
          </w:tcPr>
          <w:p/>
        </w:tc>
        <w:tc>
          <w:tcPr>
            <w:tcW w:type="dxa" w:w="3622"/>
            <w:gridSpan w:val="2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刀盘糊泥</w:t>
            </w:r>
          </w:p>
        </w:tc>
      </w:tr>
      <w:tr>
        <w:trPr>
          <w:trHeight w:hRule="exact" w:val="346"/>
        </w:trPr>
        <w:tc>
          <w:tcPr>
            <w:tcW w:type="dxa" w:w="1811"/>
            <w:vMerge/>
            <w:tcBorders/>
          </w:tcPr>
          <w:p/>
        </w:tc>
        <w:tc>
          <w:tcPr>
            <w:tcW w:type="dxa" w:w="3622"/>
            <w:gridSpan w:val="2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0" w:firstLine="0"/>
              <w:jc w:val="center"/>
            </w:pPr>
            <w:r>
              <w:rPr>
                <w:w w:val="97.99875020980835"/>
                <w:rFonts w:ascii="FZSSK--GBK1-0" w:hAnsi="FZSSK--GBK1-0" w:eastAsia="FZSSK--GBK1-0"/>
                <w:b w:val="0"/>
                <w:i w:val="0"/>
                <w:color w:val="221F1F"/>
                <w:sz w:val="16"/>
              </w:rPr>
              <w:t>螺栓松动</w:t>
            </w:r>
          </w:p>
        </w:tc>
      </w:tr>
    </w:tbl>
    <w:p>
      <w:pPr>
        <w:autoSpaceDN w:val="0"/>
        <w:autoSpaceDE w:val="0"/>
        <w:widowControl/>
        <w:spacing w:line="14" w:lineRule="exact" w:before="0" w:after="86"/>
        <w:ind w:left="0" w:right="0"/>
      </w:pPr>
    </w:p>
    <w:p>
      <w:pPr>
        <w:sectPr>
          <w:type w:val="nextColumn"/>
          <w:pgSz w:w="12246" w:h="17178"/>
          <w:pgMar w:top="626" w:right="982" w:bottom="168" w:left="400" w:header="720" w:footer="720" w:gutter="0"/>
          <w:cols w:num="2" w:equalWidth="0">
            <w:col w:w="5754" w:space="0"/>
            <w:col w:w="51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716"/>
        <w:gridCol w:w="2716"/>
        <w:gridCol w:w="2716"/>
        <w:gridCol w:w="2716"/>
      </w:tblGrid>
      <w:tr>
        <w:trPr>
          <w:trHeight w:hRule="exact" w:val="112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74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1(#G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/mm</w:t>
            </w:r>
          </w:p>
        </w:tc>
        <w:tc>
          <w:tcPr>
            <w:tcW w:type="dxa" w:w="448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4" w:after="0"/>
              <w:ind w:left="8" w:right="9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244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247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250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253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256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259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262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265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268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271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274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277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280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283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286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289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292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295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298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301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304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307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310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 xml:space="preserve">313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4"/>
              </w:rPr>
              <w:t>316</w:t>
            </w:r>
          </w:p>
        </w:tc>
        <w:tc>
          <w:tcPr>
            <w:tcW w:type="dxa" w:w="5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8" w:after="0"/>
              <w:ind w:left="294" w:right="0" w:firstLine="42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由表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可以看出：推进油缸总推力在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11 × 10</w:t>
            </w:r>
            <w:r>
              <w:rPr>
                <w:rFonts w:ascii="NEU" w:hAnsi="NEU" w:eastAsia="NEU"/>
                <w:b w:val="0"/>
                <w:i w:val="0"/>
                <w:color w:val="221F1F"/>
                <w:sz w:val="11"/>
              </w:rPr>
              <w:t>3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～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15 × 10</w:t>
            </w:r>
            <w:r>
              <w:rPr>
                <w:rFonts w:ascii="NEU" w:hAnsi="NEU" w:eastAsia="NEU"/>
                <w:b w:val="0"/>
                <w:i w:val="0"/>
                <w:color w:val="221F1F"/>
                <w:sz w:val="11"/>
              </w:rPr>
              <w:t>3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kN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变化，刀盘扭矩最大值超过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2. 5 × 10</w:t>
            </w:r>
            <w:r>
              <w:rPr>
                <w:rFonts w:ascii="NEU" w:hAnsi="NEU" w:eastAsia="NEU"/>
                <w:b w:val="0"/>
                <w:i w:val="0"/>
                <w:color w:val="221F1F"/>
                <w:sz w:val="11"/>
              </w:rPr>
              <w:t>3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kN·m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，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推进速度在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15 mm/min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以下时单刃或双刃滚刀出现磨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损、崩刃等情况；推进油缸总推力在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10 × 10</w:t>
            </w:r>
            <w:r>
              <w:rPr>
                <w:rFonts w:ascii="NEU" w:hAnsi="NEU" w:eastAsia="NEU"/>
                <w:b w:val="0"/>
                <w:i w:val="0"/>
                <w:color w:val="221F1F"/>
                <w:sz w:val="11"/>
              </w:rPr>
              <w:t>3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kN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 xml:space="preserve"> 以下，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刀盘扭矩最大值大于等于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3 × 10</w:t>
            </w:r>
            <w:r>
              <w:rPr>
                <w:rFonts w:ascii="NEU" w:hAnsi="NEU" w:eastAsia="NEU"/>
                <w:b w:val="0"/>
                <w:i w:val="0"/>
                <w:color w:val="221F1F"/>
                <w:sz w:val="11"/>
              </w:rPr>
              <w:t>3</w:t>
            </w:r>
            <w:r>
              <w:rPr>
                <w:w w:val="97.9990459623791"/>
                <w:rFonts w:ascii="NEU" w:hAnsi="NEU" w:eastAsia="NEU"/>
                <w:b w:val="0"/>
                <w:i w:val="0"/>
                <w:color w:val="221F1F"/>
                <w:sz w:val="21"/>
              </w:rPr>
              <w:t>kN·m</w:t>
            </w: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时中心滚刀区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294" w:right="0" w:firstLine="0"/>
              <w:jc w:val="left"/>
            </w:pPr>
            <w:r>
              <w:rPr>
                <w:w w:val="97.9990459623791"/>
                <w:rFonts w:ascii="FZSSK--GBK1-0" w:hAnsi="FZSSK--GBK1-0" w:eastAsia="FZSSK--GBK1-0"/>
                <w:b w:val="0"/>
                <w:i w:val="0"/>
                <w:color w:val="221F1F"/>
                <w:sz w:val="21"/>
              </w:rPr>
              <w:t>出现刀盘糊泥等情况。</w:t>
            </w:r>
          </w:p>
        </w:tc>
      </w:tr>
      <w:tr>
        <w:trPr>
          <w:trHeight w:hRule="exact" w:val="180"/>
        </w:trPr>
        <w:tc>
          <w:tcPr>
            <w:tcW w:type="dxa" w:w="2716"/>
            <w:vMerge/>
            <w:tcBorders/>
          </w:tcPr>
          <w:p/>
        </w:tc>
        <w:tc>
          <w:tcPr>
            <w:tcW w:type="dxa" w:w="4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0" w:right="214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 xml:space="preserve">&gt;.) </w:t>
            </w:r>
          </w:p>
        </w:tc>
        <w:tc>
          <w:tcPr>
            <w:tcW w:type="dxa" w:w="271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716"/>
            <w:vMerge/>
            <w:tcBorders/>
          </w:tcPr>
          <w:p/>
        </w:tc>
        <w:tc>
          <w:tcPr>
            <w:tcW w:type="dxa" w:w="4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5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 xml:space="preserve">(b) 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>+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5"/>
              </w:rPr>
              <w:t>AB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5"/>
              </w:rPr>
              <w:t xml:space="preserve"> ###35## 1(#G</w:t>
            </w:r>
          </w:p>
        </w:tc>
        <w:tc>
          <w:tcPr>
            <w:tcW w:type="dxa" w:w="271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2716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24" w:after="0"/>
              <w:ind w:left="0" w:right="76" w:firstLine="0"/>
              <w:jc w:val="righ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图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6" w:after="0"/>
              <w:ind w:left="106" w:right="0" w:firstLine="0"/>
              <w:jc w:val="lef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管片上浮风险防控效果</w:t>
            </w:r>
          </w:p>
        </w:tc>
        <w:tc>
          <w:tcPr>
            <w:tcW w:type="dxa" w:w="271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type w:val="continuous"/>
          <w:pgSz w:w="12246" w:h="17178"/>
          <w:pgMar w:top="626" w:right="98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232" w:val="left"/>
        </w:tabs>
        <w:autoSpaceDE w:val="0"/>
        <w:widowControl/>
        <w:spacing w:line="288" w:lineRule="exact" w:before="0" w:after="0"/>
        <w:ind w:left="706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3. 7</w:t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盾构选型不当和适应性不足风险防控措施</w:t>
      </w:r>
    </w:p>
    <w:p>
      <w:pPr>
        <w:autoSpaceDN w:val="0"/>
        <w:autoSpaceDE w:val="0"/>
        <w:widowControl/>
        <w:spacing w:line="488" w:lineRule="exact" w:before="0" w:after="0"/>
        <w:ind w:left="1126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①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盾构的选型要求。根据贵阳岩溶区特点和施工</w:t>
      </w:r>
    </w:p>
    <w:p>
      <w:pPr>
        <w:autoSpaceDN w:val="0"/>
        <w:autoSpaceDE w:val="0"/>
        <w:widowControl/>
        <w:spacing w:line="288" w:lineRule="exact" w:before="0" w:after="0"/>
        <w:ind w:left="706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经验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［</w:t>
      </w:r>
      <w:r>
        <w:rPr>
          <w:rFonts w:ascii="NEU" w:hAnsi="NEU" w:eastAsia="NEU"/>
          <w:b w:val="0"/>
          <w:i w:val="0"/>
          <w:color w:val="221F1F"/>
          <w:sz w:val="11"/>
        </w:rPr>
        <w:t>5-7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］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，盾构选用复合式土压平衡盾构，盾构总推力不</w:t>
      </w:r>
    </w:p>
    <w:p>
      <w:pPr>
        <w:autoSpaceDN w:val="0"/>
        <w:autoSpaceDE w:val="0"/>
        <w:widowControl/>
        <w:spacing w:line="318" w:lineRule="exact" w:before="170" w:after="0"/>
        <w:ind w:left="708" w:right="212" w:firstLine="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小于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 × 10</w:t>
      </w:r>
      <w:r>
        <w:rPr>
          <w:rFonts w:ascii="NEU" w:hAnsi="NEU" w:eastAsia="NEU"/>
          <w:b w:val="0"/>
          <w:i w:val="0"/>
          <w:color w:val="221F1F"/>
          <w:sz w:val="11"/>
        </w:rPr>
        <w:t>4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kN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，主驱动采用液压马达驱动，主驱动额定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扭矩不小于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6 000 kN·m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，脱困扭矩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7 200 kN·m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，最大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转速不低于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 r/min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。盾构采用主动铰接系统，并配置</w:t>
      </w:r>
    </w:p>
    <w:p>
      <w:pPr>
        <w:autoSpaceDN w:val="0"/>
        <w:autoSpaceDE w:val="0"/>
        <w:widowControl/>
        <w:spacing w:line="238" w:lineRule="exact" w:before="0" w:after="0"/>
        <w:ind w:left="708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换刀撑靴。该盾构具有可靠性强、驱动推力大、不容</w:t>
      </w:r>
    </w:p>
    <w:p>
      <w:pPr>
        <w:autoSpaceDN w:val="0"/>
        <w:autoSpaceDE w:val="0"/>
        <w:widowControl/>
        <w:spacing w:line="316" w:lineRule="exact" w:before="170" w:after="0"/>
        <w:ind w:left="708" w:right="210" w:firstLine="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易卡盾等优点。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②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刀盘和刀具的选择。针对贵阳地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区地质特点和其他地区施工经验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［</w:t>
      </w:r>
      <w:r>
        <w:rPr>
          <w:rFonts w:ascii="NEU" w:hAnsi="NEU" w:eastAsia="NEU"/>
          <w:b w:val="0"/>
          <w:i w:val="0"/>
          <w:color w:val="221F1F"/>
          <w:sz w:val="11"/>
        </w:rPr>
        <w:t>8-10</w:t>
      </w:r>
      <w:r>
        <w:rPr>
          <w:rFonts w:ascii="FZSSK--GBK1-0" w:hAnsi="FZSSK--GBK1-0" w:eastAsia="FZSSK--GBK1-0"/>
          <w:b w:val="0"/>
          <w:i w:val="0"/>
          <w:color w:val="221F1F"/>
          <w:sz w:val="11"/>
        </w:rPr>
        <w:t>］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，盾构刀盘采用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6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主梁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6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副梁结构复合式刀盘，刀具选用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18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寸滚刀，正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面刀间距不大于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80 mm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。刀盘整体开口率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34%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。刀盘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配备：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18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寸中心双刃滚刀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6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把，刀间距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90 mm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18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寸单</w:t>
      </w:r>
    </w:p>
    <w:p>
      <w:pPr>
        <w:sectPr>
          <w:type w:val="continuous"/>
          <w:pgSz w:w="12246" w:h="17178"/>
          <w:pgMar w:top="626" w:right="982" w:bottom="168" w:left="400" w:header="720" w:footer="720" w:gutter="0"/>
          <w:cols w:num="2" w:equalWidth="0">
            <w:col w:w="5722" w:space="0"/>
            <w:col w:w="5142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0"/>
        <w:ind w:left="212" w:right="0" w:firstLine="422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通过对已施工完成四皂区间掘进参数的分析可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得：刀盘转速控制在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1. 5 r/min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，扭矩控制在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2. 0 × 10</w:t>
      </w:r>
      <w:r>
        <w:rPr>
          <w:rFonts w:ascii="NEU" w:hAnsi="NEU" w:eastAsia="NEU"/>
          <w:b w:val="0"/>
          <w:i w:val="0"/>
          <w:color w:val="221F1F"/>
          <w:sz w:val="1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2. 5 × 10</w:t>
      </w:r>
      <w:r>
        <w:rPr>
          <w:rFonts w:ascii="NEU" w:hAnsi="NEU" w:eastAsia="NEU"/>
          <w:b w:val="0"/>
          <w:i w:val="0"/>
          <w:color w:val="221F1F"/>
          <w:sz w:val="11"/>
        </w:rPr>
        <w:t>3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kN·m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，总推力控制在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11 × 10</w:t>
      </w:r>
      <w:r>
        <w:rPr>
          <w:rFonts w:ascii="NEU" w:hAnsi="NEU" w:eastAsia="NEU"/>
          <w:b w:val="0"/>
          <w:i w:val="0"/>
          <w:color w:val="221F1F"/>
          <w:sz w:val="1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13 × 10</w:t>
      </w:r>
      <w:r>
        <w:rPr>
          <w:rFonts w:ascii="NEU" w:hAnsi="NEU" w:eastAsia="NEU"/>
          <w:b w:val="0"/>
          <w:i w:val="0"/>
          <w:color w:val="221F1F"/>
          <w:sz w:val="11"/>
        </w:rPr>
        <w:t>3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kN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推进速度控制在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15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～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20 mm/min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时刀具损坏程度最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小，经济效益最高。</w:t>
      </w:r>
    </w:p>
    <w:p>
      <w:pPr>
        <w:autoSpaceDN w:val="0"/>
        <w:tabs>
          <w:tab w:pos="632" w:val="left"/>
          <w:tab w:pos="738" w:val="left"/>
        </w:tabs>
        <w:autoSpaceDE w:val="0"/>
        <w:widowControl/>
        <w:spacing w:line="322" w:lineRule="exact" w:before="2" w:after="604"/>
        <w:ind w:left="212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4. 2</w:t>
      </w:r>
      <w:r>
        <w:tab/>
      </w:r>
      <w:r>
        <w:tab/>
      </w:r>
      <w:r>
        <w:rPr>
          <w:w w:val="97.9990459623791"/>
          <w:rFonts w:ascii="FZHTK--GBK1-0" w:hAnsi="FZHTK--GBK1-0" w:eastAsia="FZHTK--GBK1-0"/>
          <w:b w:val="0"/>
          <w:i w:val="0"/>
          <w:color w:val="221F1F"/>
          <w:sz w:val="21"/>
        </w:rPr>
        <w:t>盾构信息化施工</w:t>
      </w:r>
      <w:r>
        <w:br/>
      </w:r>
      <w:r>
        <w:tab/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盾构通过数据线将施工动态信息实时反馈给地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面控制中心，从而实现对施工的动态管理。地面控制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中心配置大数据系统或盾构云系统。盾构始发前在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大数据系统内录入区间轴线、高程、地面建（构）筑物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位置、风险源等详细信息。在盾构掘进过程中实时监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控盾构掘进参数，辨别风险源，提出合理化建议。</w:t>
      </w:r>
    </w:p>
    <w:p>
      <w:pPr>
        <w:sectPr>
          <w:type w:val="nextColumn"/>
          <w:pgSz w:w="12246" w:h="17178"/>
          <w:pgMar w:top="626" w:right="982" w:bottom="168" w:left="400" w:header="720" w:footer="720" w:gutter="0"/>
          <w:cols w:num="2" w:equalWidth="0">
            <w:col w:w="5722" w:space="0"/>
            <w:col w:w="514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7178"/>
          <w:pgMar w:top="626" w:right="98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rHeight w:hRule="exact" w:val="452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396" w:right="0" w:firstLine="0"/>
              <w:jc w:val="left"/>
            </w:pP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70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88" w:firstLine="0"/>
              <w:jc w:val="righ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铁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0" w:firstLine="0"/>
              <w:jc w:val="center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道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0" w:right="0" w:firstLine="0"/>
              <w:jc w:val="center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建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4" w:after="0"/>
              <w:ind w:left="94" w:right="0" w:firstLine="0"/>
              <w:jc w:val="lef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筑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0" w:firstLine="0"/>
              <w:jc w:val="right"/>
            </w:pP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>第</w:t>
            </w:r>
            <w:r>
              <w:rPr>
                <w:w w:val="97.99888398912218"/>
                <w:rFonts w:ascii="NEU" w:hAnsi="NEU" w:eastAsia="NEU"/>
                <w:b w:val="0"/>
                <w:i w:val="0"/>
                <w:color w:val="221F1F"/>
                <w:sz w:val="18"/>
              </w:rPr>
              <w:t>61</w:t>
            </w:r>
            <w:r>
              <w:rPr>
                <w:w w:val="97.99888398912218"/>
                <w:rFonts w:ascii="FZSSK--GBK1-0" w:hAnsi="FZSSK--GBK1-0" w:eastAsia="FZSSK--GBK1-0"/>
                <w:b w:val="0"/>
                <w:i w:val="0"/>
                <w:color w:val="221F1F"/>
                <w:sz w:val="18"/>
              </w:rPr>
              <w:t xml:space="preserve"> 卷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0"/>
        <w:ind w:left="0" w:right="0"/>
      </w:pPr>
    </w:p>
    <w:p>
      <w:pPr>
        <w:sectPr>
          <w:pgSz w:w="12246" w:h="17178"/>
          <w:pgMar w:top="626" w:right="1076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128" w:val="left"/>
        </w:tabs>
        <w:autoSpaceDE w:val="0"/>
        <w:widowControl/>
        <w:spacing w:line="384" w:lineRule="exact" w:before="0" w:after="0"/>
        <w:ind w:left="708" w:right="0" w:firstLine="0"/>
        <w:jc w:val="left"/>
      </w:pPr>
      <w:r>
        <w:rPr>
          <w:w w:val="101.62740636754918"/>
          <w:rFonts w:ascii="NEU" w:hAnsi="NEU" w:eastAsia="NEU"/>
          <w:b w:val="0"/>
          <w:i w:val="0"/>
          <w:color w:val="221F1F"/>
          <w:sz w:val="27"/>
        </w:rPr>
        <w:t>5</w:t>
      </w:r>
      <w:r>
        <w:tab/>
      </w:r>
      <w:r>
        <w:rPr>
          <w:w w:val="101.62740636754918"/>
          <w:rFonts w:ascii="FZHTK--GBK1-0" w:hAnsi="FZHTK--GBK1-0" w:eastAsia="FZHTK--GBK1-0"/>
          <w:b w:val="0"/>
          <w:i w:val="0"/>
          <w:color w:val="221F1F"/>
          <w:sz w:val="27"/>
        </w:rPr>
        <w:t>结语</w:t>
      </w:r>
    </w:p>
    <w:p>
      <w:pPr>
        <w:autoSpaceDN w:val="0"/>
        <w:autoSpaceDE w:val="0"/>
        <w:widowControl/>
        <w:spacing w:line="300" w:lineRule="exact" w:before="308" w:after="0"/>
        <w:ind w:left="708" w:right="180" w:firstLine="42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本文以贵阳轨道交通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3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号线皂角井站—太慈桥站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区间盾构施工为例，详细介绍了岩溶发育地层中或破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碎带施工、下穿铁路桥、盾构小半径曲线掘进下穿密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集建筑物、硬岩中长距离掘进、下穿河流施工、富水岩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溶区施工、盾构选型不当和适应性不足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8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 xml:space="preserve"> 种喀斯特岩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溶区盾构施工存在的风险，并针对施工中可能出现的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质量和安全问题提出了相应的防控措施。</w:t>
      </w:r>
    </w:p>
    <w:p>
      <w:pPr>
        <w:autoSpaceDN w:val="0"/>
        <w:autoSpaceDE w:val="0"/>
        <w:widowControl/>
        <w:spacing w:line="324" w:lineRule="exact" w:before="0" w:after="74"/>
        <w:ind w:left="708" w:right="180" w:firstLine="420"/>
        <w:jc w:val="both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通过分析已完成盾构区间及类似地层中的掘进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参数，给出了适合中风化白云岩和石灰岩岩溶地层的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掘进参数。通过信息化施工可实现对掘进过程的实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时监测和动态管理，进一步提升施工质量和安全管理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水平。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2692"/>
        <w:gridCol w:w="2692"/>
        <w:gridCol w:w="2692"/>
        <w:gridCol w:w="2692"/>
      </w:tblGrid>
      <w:tr>
        <w:trPr>
          <w:trHeight w:hRule="exact" w:val="294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88" w:firstLine="0"/>
              <w:jc w:val="right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参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考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0" w:firstLine="0"/>
              <w:jc w:val="center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文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126" w:right="0" w:firstLine="0"/>
              <w:jc w:val="left"/>
            </w:pPr>
            <w:r>
              <w:rPr>
                <w:w w:val="97.99888398912218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献</w:t>
            </w:r>
          </w:p>
        </w:tc>
      </w:tr>
    </w:tbl>
    <w:p>
      <w:pPr>
        <w:autoSpaceDN w:val="0"/>
        <w:tabs>
          <w:tab w:pos="1076" w:val="left"/>
        </w:tabs>
        <w:autoSpaceDE w:val="0"/>
        <w:widowControl/>
        <w:spacing w:line="296" w:lineRule="exact" w:before="158" w:after="0"/>
        <w:ind w:left="644" w:right="144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］易金舫，卢松柏，饶军应，等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贵阳地铁多溶腔隧道安全施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工技术［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施工技术，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2016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46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13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101</w:t>
      </w:r>
      <w:r>
        <w:rPr>
          <w:w w:val="97.99888398912218"/>
          <w:rFonts w:ascii="TimesNewRomanPSMT" w:hAnsi="TimesNewRomanPSMT" w:eastAsia="TimesNewRomanPSMT"/>
          <w:b w:val="0"/>
          <w:i w:val="0"/>
          <w:color w:val="221F1F"/>
          <w:sz w:val="18"/>
        </w:rPr>
        <w:t>-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104.</w:t>
      </w:r>
    </w:p>
    <w:p>
      <w:pPr>
        <w:sectPr>
          <w:type w:val="continuous"/>
          <w:pgSz w:w="12246" w:h="17178"/>
          <w:pgMar w:top="626" w:right="1076" w:bottom="168" w:left="400" w:header="720" w:footer="720" w:gutter="0"/>
          <w:cols w:num="2" w:equalWidth="0">
            <w:col w:w="5692" w:space="0"/>
            <w:col w:w="5078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134" w:after="0"/>
        <w:ind w:left="612" w:right="32" w:hanging="432"/>
        <w:jc w:val="both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］贵州省住房和城乡建设厅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贵州城市轨道交通岩土工程勘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察规范：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DBJ 52/T 099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—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2020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S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北京：中国建筑工业出版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社，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2020.</w:t>
      </w:r>
    </w:p>
    <w:p>
      <w:pPr>
        <w:autoSpaceDN w:val="0"/>
        <w:tabs>
          <w:tab w:pos="548" w:val="left"/>
        </w:tabs>
        <w:autoSpaceDE w:val="0"/>
        <w:widowControl/>
        <w:spacing w:line="286" w:lineRule="exact" w:before="132" w:after="0"/>
        <w:ind w:left="180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］裴树林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深埋大断面隧道穿越大型隐伏溶洞施工工法比选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铁道建筑，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2017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57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9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74</w:t>
      </w:r>
      <w:r>
        <w:rPr>
          <w:w w:val="97.99888398912218"/>
          <w:rFonts w:ascii="TimesNewRomanPSMT" w:hAnsi="TimesNewRomanPSMT" w:eastAsia="TimesNewRomanPSMT"/>
          <w:b w:val="0"/>
          <w:i w:val="0"/>
          <w:color w:val="221F1F"/>
          <w:sz w:val="18"/>
        </w:rPr>
        <w:t>-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77.</w:t>
      </w:r>
    </w:p>
    <w:p>
      <w:pPr>
        <w:autoSpaceDN w:val="0"/>
        <w:tabs>
          <w:tab w:pos="550" w:val="left"/>
        </w:tabs>
        <w:autoSpaceDE w:val="0"/>
        <w:widowControl/>
        <w:spacing w:line="286" w:lineRule="exact" w:before="132" w:after="0"/>
        <w:ind w:left="180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4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］汪海波，刘文解，马成，等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大断面隧道溶洞处理技术研究</w:t>
      </w:r>
      <w:r>
        <w:tab/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铁道建筑，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2014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54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11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75</w:t>
      </w:r>
      <w:r>
        <w:rPr>
          <w:w w:val="97.99888398912218"/>
          <w:rFonts w:ascii="TimesNewRomanPSMT" w:hAnsi="TimesNewRomanPSMT" w:eastAsia="TimesNewRomanPSMT"/>
          <w:b w:val="0"/>
          <w:i w:val="0"/>
          <w:color w:val="221F1F"/>
          <w:sz w:val="18"/>
        </w:rPr>
        <w:t>-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77.</w:t>
      </w:r>
    </w:p>
    <w:p>
      <w:pPr>
        <w:autoSpaceDN w:val="0"/>
        <w:tabs>
          <w:tab w:pos="550" w:val="left"/>
        </w:tabs>
        <w:autoSpaceDE w:val="0"/>
        <w:widowControl/>
        <w:spacing w:line="286" w:lineRule="exact" w:before="130" w:after="0"/>
        <w:ind w:left="180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5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］谢大文，黄卫华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贵阳轨道交通三号线盾构机选型的思考</w:t>
      </w:r>
      <w:r>
        <w:tab/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山西建筑，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2019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45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139</w:t>
      </w:r>
      <w:r>
        <w:rPr>
          <w:w w:val="97.99888398912218"/>
          <w:rFonts w:ascii="TimesNewRomanPSMT" w:hAnsi="TimesNewRomanPSMT" w:eastAsia="TimesNewRomanPSMT"/>
          <w:b w:val="0"/>
          <w:i w:val="0"/>
          <w:color w:val="221F1F"/>
          <w:sz w:val="18"/>
        </w:rPr>
        <w:t>-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141.</w:t>
      </w:r>
    </w:p>
    <w:p>
      <w:pPr>
        <w:autoSpaceDN w:val="0"/>
        <w:tabs>
          <w:tab w:pos="612" w:val="left"/>
        </w:tabs>
        <w:autoSpaceDE w:val="0"/>
        <w:widowControl/>
        <w:spacing w:line="286" w:lineRule="exact" w:before="130" w:after="0"/>
        <w:ind w:left="182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6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］谭庆洲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贵阳岩溶地层盾构机选型分析与风险控制［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市</w:t>
      </w:r>
      <w:r>
        <w:tab/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政技术，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2019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37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117</w:t>
      </w:r>
      <w:r>
        <w:rPr>
          <w:w w:val="97.99888398912218"/>
          <w:rFonts w:ascii="TimesNewRomanPSMT" w:hAnsi="TimesNewRomanPSMT" w:eastAsia="TimesNewRomanPSMT"/>
          <w:b w:val="0"/>
          <w:i w:val="0"/>
          <w:color w:val="221F1F"/>
          <w:sz w:val="18"/>
        </w:rPr>
        <w:t>-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121.</w:t>
      </w:r>
    </w:p>
    <w:p>
      <w:pPr>
        <w:autoSpaceDN w:val="0"/>
        <w:tabs>
          <w:tab w:pos="612" w:val="left"/>
        </w:tabs>
        <w:autoSpaceDE w:val="0"/>
        <w:widowControl/>
        <w:spacing w:line="286" w:lineRule="exact" w:before="130" w:after="0"/>
        <w:ind w:left="182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7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］王春凯，张增峰，杨波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贵阳岩溶地区盾构机配置的几点思</w:t>
      </w:r>
      <w:r>
        <w:tab/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考［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城市道桥与防洪，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2018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7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244</w:t>
      </w:r>
      <w:r>
        <w:rPr>
          <w:w w:val="97.99888398912218"/>
          <w:rFonts w:ascii="TimesNewRomanPSMT" w:hAnsi="TimesNewRomanPSMT" w:eastAsia="TimesNewRomanPSMT"/>
          <w:b w:val="0"/>
          <w:i w:val="0"/>
          <w:color w:val="221F1F"/>
          <w:sz w:val="18"/>
        </w:rPr>
        <w:t>-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247.</w:t>
      </w:r>
    </w:p>
    <w:p>
      <w:pPr>
        <w:autoSpaceDN w:val="0"/>
        <w:tabs>
          <w:tab w:pos="612" w:val="left"/>
        </w:tabs>
        <w:autoSpaceDE w:val="0"/>
        <w:widowControl/>
        <w:spacing w:line="286" w:lineRule="exact" w:before="130" w:after="0"/>
        <w:ind w:left="182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8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］王洪新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土压平衡盾构刀盘开口率选型及其对地层适应性</w:t>
      </w:r>
      <w:r>
        <w:tab/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研究［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土木工程学报，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2010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43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88</w:t>
      </w:r>
      <w:r>
        <w:rPr>
          <w:w w:val="97.99888398912218"/>
          <w:rFonts w:ascii="TimesNewRomanPSMT" w:hAnsi="TimesNewRomanPSMT" w:eastAsia="TimesNewRomanPSMT"/>
          <w:b w:val="0"/>
          <w:i w:val="0"/>
          <w:color w:val="221F1F"/>
          <w:sz w:val="18"/>
        </w:rPr>
        <w:t>-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92.</w:t>
      </w:r>
    </w:p>
    <w:p>
      <w:pPr>
        <w:autoSpaceDN w:val="0"/>
        <w:tabs>
          <w:tab w:pos="612" w:val="left"/>
        </w:tabs>
        <w:autoSpaceDE w:val="0"/>
        <w:widowControl/>
        <w:spacing w:line="286" w:lineRule="exact" w:before="130" w:after="0"/>
        <w:ind w:left="182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9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］高墅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地铁工程盾构区间岩溶地层处理对比及探讨［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国</w:t>
      </w:r>
      <w:r>
        <w:tab/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防交通工程与技术，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2018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16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72</w:t>
      </w:r>
      <w:r>
        <w:rPr>
          <w:w w:val="97.99888398912218"/>
          <w:rFonts w:ascii="TimesNewRomanPSMT" w:hAnsi="TimesNewRomanPSMT" w:eastAsia="TimesNewRomanPSMT"/>
          <w:b w:val="0"/>
          <w:i w:val="0"/>
          <w:color w:val="221F1F"/>
          <w:sz w:val="18"/>
        </w:rPr>
        <w:t>-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76.</w:t>
      </w:r>
    </w:p>
    <w:p>
      <w:pPr>
        <w:autoSpaceDN w:val="0"/>
        <w:tabs>
          <w:tab w:pos="612" w:val="left"/>
        </w:tabs>
        <w:autoSpaceDE w:val="0"/>
        <w:widowControl/>
        <w:spacing w:line="284" w:lineRule="exact" w:before="134" w:after="458"/>
        <w:ind w:left="182" w:right="0" w:firstLine="0"/>
        <w:jc w:val="left"/>
      </w:pP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10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］刘晨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盾构法在贵阳岩溶地区应用风险及措施［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J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］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 xml:space="preserve"> 上海建</w:t>
      </w:r>
      <w:r>
        <w:tab/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设科技，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2017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38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6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）：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31</w:t>
      </w:r>
      <w:r>
        <w:rPr>
          <w:w w:val="97.99888398912218"/>
          <w:rFonts w:ascii="TimesNewRomanPSMT" w:hAnsi="TimesNewRomanPSMT" w:eastAsia="TimesNewRomanPSMT"/>
          <w:b w:val="0"/>
          <w:i w:val="0"/>
          <w:color w:val="221F1F"/>
          <w:sz w:val="18"/>
        </w:rPr>
        <w:t>-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33.</w:t>
      </w:r>
    </w:p>
    <w:p>
      <w:pPr>
        <w:sectPr>
          <w:type w:val="nextColumn"/>
          <w:pgSz w:w="12246" w:h="17178"/>
          <w:pgMar w:top="626" w:right="1076" w:bottom="168" w:left="400" w:header="720" w:footer="720" w:gutter="0"/>
          <w:cols w:num="2" w:equalWidth="0">
            <w:col w:w="5692" w:space="0"/>
            <w:col w:w="5078" w:space="0"/>
          </w:cols>
          <w:docGrid w:linePitch="360"/>
        </w:sectPr>
      </w:pPr>
    </w:p>
    <w:p>
      <w:pPr>
        <w:autoSpaceDN w:val="0"/>
        <w:autoSpaceDE w:val="0"/>
        <w:widowControl/>
        <w:spacing w:line="108" w:lineRule="auto" w:before="0" w:after="0"/>
        <w:ind w:left="1490" w:right="0" w:firstLine="0"/>
        <w:jc w:val="left"/>
      </w:pPr>
      <w:r>
        <w:rPr>
          <w:w w:val="101.3772438312399"/>
          <w:rFonts w:ascii="NEU" w:hAnsi="NEU" w:eastAsia="NEU"/>
          <w:b w:val="0"/>
          <w:i w:val="0"/>
          <w:color w:val="221F1F"/>
          <w:sz w:val="29"/>
        </w:rPr>
        <w:t>Construction Risk and Preventive Measures for Subway Shield in</w:t>
      </w:r>
    </w:p>
    <w:p>
      <w:pPr>
        <w:autoSpaceDN w:val="0"/>
        <w:autoSpaceDE w:val="0"/>
        <w:widowControl/>
        <w:spacing w:line="410" w:lineRule="exact" w:before="0" w:after="0"/>
        <w:ind w:left="0" w:right="3624" w:firstLine="0"/>
        <w:jc w:val="right"/>
      </w:pPr>
      <w:r>
        <w:rPr>
          <w:w w:val="101.3772438312399"/>
          <w:rFonts w:ascii="NEU" w:hAnsi="NEU" w:eastAsia="NEU"/>
          <w:b w:val="0"/>
          <w:i w:val="0"/>
          <w:color w:val="221F1F"/>
          <w:sz w:val="29"/>
        </w:rPr>
        <w:t>Guiyang</w:t>
      </w:r>
      <w:r>
        <w:rPr>
          <w:w w:val="101.3772438312399"/>
          <w:rFonts w:ascii="FZHTK--GBK1-0" w:hAnsi="FZHTK--GBK1-0" w:eastAsia="FZHTK--GBK1-0"/>
          <w:b w:val="0"/>
          <w:i w:val="0"/>
          <w:color w:val="221F1F"/>
          <w:sz w:val="29"/>
        </w:rPr>
        <w:t>’</w:t>
      </w:r>
      <w:r>
        <w:rPr>
          <w:w w:val="101.3772438312399"/>
          <w:rFonts w:ascii="NEU" w:hAnsi="NEU" w:eastAsia="NEU"/>
          <w:b w:val="0"/>
          <w:i w:val="0"/>
          <w:color w:val="221F1F"/>
          <w:sz w:val="29"/>
        </w:rPr>
        <w:t>s Karst Area</w:t>
      </w:r>
    </w:p>
    <w:p>
      <w:pPr>
        <w:autoSpaceDN w:val="0"/>
        <w:autoSpaceDE w:val="0"/>
        <w:widowControl/>
        <w:spacing w:line="234" w:lineRule="exact" w:before="456" w:after="0"/>
        <w:ind w:left="3024" w:right="2304" w:firstLine="0"/>
        <w:jc w:val="center"/>
      </w:pPr>
      <w:r>
        <w:rPr>
          <w:w w:val="97.99916744232178"/>
          <w:rFonts w:ascii="NEU" w:hAnsi="NEU" w:eastAsia="NEU"/>
          <w:b w:val="0"/>
          <w:i w:val="0"/>
          <w:color w:val="221F1F"/>
          <w:sz w:val="24"/>
        </w:rPr>
        <w:t>MO Weiping</w:t>
      </w:r>
      <w:r>
        <w:br/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Guiyang Urban Rail Transit Group Co. Ltd.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Guiyang 550081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88398912218"/>
          <w:rFonts w:ascii="NEU" w:hAnsi="NEU" w:eastAsia="NEU"/>
          <w:b w:val="0"/>
          <w:i w:val="0"/>
          <w:color w:val="221F1F"/>
          <w:sz w:val="18"/>
        </w:rPr>
        <w:t>China</w:t>
      </w:r>
      <w:r>
        <w:rPr>
          <w:w w:val="97.99888398912218"/>
          <w:rFonts w:ascii="FZSSK--GBK1-0" w:hAnsi="FZSSK--GBK1-0" w:eastAsia="FZSSK--GBK1-0"/>
          <w:b w:val="0"/>
          <w:i w:val="0"/>
          <w:color w:val="221F1F"/>
          <w:sz w:val="18"/>
        </w:rPr>
        <w:t>）</w:t>
      </w:r>
    </w:p>
    <w:p>
      <w:pPr>
        <w:autoSpaceDN w:val="0"/>
        <w:tabs>
          <w:tab w:pos="1708" w:val="left"/>
        </w:tabs>
        <w:autoSpaceDE w:val="0"/>
        <w:widowControl/>
        <w:spacing w:line="344" w:lineRule="exact" w:before="112" w:after="0"/>
        <w:ind w:left="708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 xml:space="preserve">Abstract </w:t>
      </w:r>
      <w:r>
        <w:tab/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Taking the shield construction between Zaojiaojing station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-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 xml:space="preserve">Taiciqiao station of Guiyang rail transit line 3 as 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an example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 xml:space="preserve">seven kinds of risks existing in shield construction in moderately weathered dolomite and limestone stratum 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in Karst area of Guiyang were introduced in detail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 xml:space="preserve">and corresponding preventive measures for possible quality and 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 xml:space="preserve">safety problems in construction were put forward. Based on the analysis of the tunneling parameters of the abnormal 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conditions such as tool wear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edge collapse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 xml:space="preserve">bolt loosening and cutterhead paste in the similar stratum of the constructed 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Sifanghelu station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-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Zaojiaojing station shield interval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 xml:space="preserve">the tunneling parameters suitable for the stratum were given. It is 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pointed out that the information construction can realize the real</w:t>
      </w:r>
      <w:r>
        <w:rPr>
          <w:w w:val="97.9990459623791"/>
          <w:rFonts w:ascii="TimesNewRomanPSMT" w:hAnsi="TimesNewRomanPSMT" w:eastAsia="TimesNewRomanPSMT"/>
          <w:b w:val="0"/>
          <w:i w:val="0"/>
          <w:color w:val="221F1F"/>
          <w:sz w:val="21"/>
        </w:rPr>
        <w:t>-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 xml:space="preserve">time monitoring and dynamic management of the shield 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tunneling process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and optimize the construction quality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，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safety and economic benefits.</w:t>
      </w:r>
    </w:p>
    <w:p>
      <w:pPr>
        <w:autoSpaceDN w:val="0"/>
        <w:tabs>
          <w:tab w:pos="1908" w:val="left"/>
        </w:tabs>
        <w:autoSpaceDE w:val="0"/>
        <w:widowControl/>
        <w:spacing w:line="402" w:lineRule="exact" w:before="0" w:after="0"/>
        <w:ind w:left="708" w:right="0" w:firstLine="0"/>
        <w:jc w:val="left"/>
      </w:pP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 xml:space="preserve">Key words </w:t>
      </w:r>
      <w:r>
        <w:tab/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subway shield construction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karst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qualitative analysis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construction risk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preventive measure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 xml:space="preserve">tunneling 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parameter</w:t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；</w:t>
      </w:r>
      <w:r>
        <w:rPr>
          <w:w w:val="97.9990459623791"/>
          <w:rFonts w:ascii="NEU" w:hAnsi="NEU" w:eastAsia="NEU"/>
          <w:b w:val="0"/>
          <w:i w:val="0"/>
          <w:color w:val="221F1F"/>
          <w:sz w:val="21"/>
        </w:rPr>
        <w:t>information construction</w:t>
      </w:r>
    </w:p>
    <w:p>
      <w:pPr>
        <w:autoSpaceDN w:val="0"/>
        <w:tabs>
          <w:tab w:pos="9272" w:val="left"/>
        </w:tabs>
        <w:autoSpaceDE w:val="0"/>
        <w:widowControl/>
        <w:spacing w:line="236" w:lineRule="exact" w:before="30" w:after="0"/>
        <w:ind w:left="7520" w:right="0" w:firstLine="0"/>
        <w:jc w:val="left"/>
      </w:pP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（编辑：葛全红</w:t>
      </w:r>
      <w:r>
        <w:tab/>
      </w:r>
      <w:r>
        <w:rPr>
          <w:w w:val="97.9990459623791"/>
          <w:rFonts w:ascii="FZSSK--GBK1-0" w:hAnsi="FZSSK--GBK1-0" w:eastAsia="FZSSK--GBK1-0"/>
          <w:b w:val="0"/>
          <w:i w:val="0"/>
          <w:color w:val="221F1F"/>
          <w:sz w:val="21"/>
        </w:rPr>
        <w:t>校对：郑冰）</w:t>
      </w:r>
    </w:p>
    <w:p>
      <w:pPr>
        <w:autoSpaceDN w:val="0"/>
        <w:autoSpaceDE w:val="0"/>
        <w:widowControl/>
        <w:spacing w:line="240" w:lineRule="auto" w:before="32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6" w:h="17178"/>
      <w:pgMar w:top="626" w:right="1076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