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3543"/>
        <w:gridCol w:w="3543"/>
        <w:gridCol w:w="3543"/>
      </w:tblGrid>
      <w:tr>
        <w:trPr>
          <w:trHeight w:hRule="exact" w:val="236"/>
        </w:trPr>
        <w:tc>
          <w:tcPr>
            <w:tcW w:type="dxa" w:w="3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221815"/>
                <w:sz w:val="20"/>
              </w:rPr>
              <w:t>建   筑   技   术   开   发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" w:after="0"/>
              <w:ind w:left="0" w:right="1830" w:firstLine="0"/>
              <w:jc w:val="right"/>
            </w:pPr>
            <w:r>
              <w:rPr>
                <w:rFonts w:ascii="FZDHTK" w:hAnsi="FZDHTK" w:eastAsia="FZDHTK"/>
                <w:b w:val="0"/>
                <w:i w:val="0"/>
                <w:color w:val="221815"/>
                <w:sz w:val="20"/>
              </w:rPr>
              <w:t>安全质量</w:t>
            </w:r>
          </w:p>
        </w:tc>
        <w:tc>
          <w:tcPr>
            <w:tcW w:type="dxa" w:w="2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10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815"/>
                <w:sz w:val="20"/>
              </w:rPr>
              <w:t>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0"/>
              </w:rPr>
              <w:t>50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20"/>
              </w:rPr>
              <w:t>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0"/>
              </w:rPr>
              <w:t>3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20"/>
              </w:rPr>
              <w:t>期</w:t>
            </w:r>
          </w:p>
        </w:tc>
      </w:tr>
      <w:tr>
        <w:trPr>
          <w:trHeight w:hRule="exact" w:val="232"/>
        </w:trPr>
        <w:tc>
          <w:tcPr>
            <w:tcW w:type="dxa" w:w="3210"/>
            <w:tcBorders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" w:right="0" w:firstLine="0"/>
              <w:jc w:val="left"/>
            </w:pPr>
            <w:r>
              <w:rPr>
                <w:w w:val="101.19288126627603"/>
                <w:rFonts w:ascii="TimesNewRomanPSMT" w:hAnsi="TimesNewRomanPSMT" w:eastAsia="TimesNewRomanPSMT"/>
                <w:b w:val="0"/>
                <w:i w:val="0"/>
                <w:color w:val="221815"/>
                <w:sz w:val="15"/>
              </w:rPr>
              <w:t>Building Technology Development</w:t>
            </w:r>
          </w:p>
        </w:tc>
        <w:tc>
          <w:tcPr>
            <w:tcW w:type="dxa" w:w="4020"/>
            <w:tcBorders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Safety and Quality</w:t>
            </w:r>
          </w:p>
        </w:tc>
        <w:tc>
          <w:tcPr>
            <w:tcW w:type="dxa" w:w="2768"/>
            <w:tcBorders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2023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6"/>
              </w:rPr>
              <w:t>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6"/>
              </w:rPr>
              <w:t>月</w:t>
            </w:r>
          </w:p>
        </w:tc>
      </w:tr>
    </w:tbl>
    <w:p>
      <w:pPr>
        <w:autoSpaceDN w:val="0"/>
        <w:tabs>
          <w:tab w:pos="3720" w:val="left"/>
        </w:tabs>
        <w:autoSpaceDE w:val="0"/>
        <w:widowControl/>
        <w:spacing w:line="245" w:lineRule="auto" w:before="218" w:after="0"/>
        <w:ind w:left="2250" w:right="1440" w:firstLine="0"/>
        <w:jc w:val="left"/>
      </w:pPr>
      <w:r>
        <w:rPr>
          <w:rFonts w:ascii="FZHTJW" w:hAnsi="FZHTJW" w:eastAsia="FZHTJW"/>
          <w:b w:val="0"/>
          <w:i w:val="0"/>
          <w:color w:val="221815"/>
          <w:sz w:val="42"/>
        </w:rPr>
        <w:t xml:space="preserve">盾构隧道穿越城市立交桥桩基群施工 </w:t>
      </w:r>
      <w:r>
        <w:tab/>
      </w:r>
      <w:r>
        <w:rPr>
          <w:rFonts w:ascii="FZHTJW" w:hAnsi="FZHTJW" w:eastAsia="FZHTJW"/>
          <w:b w:val="0"/>
          <w:i w:val="0"/>
          <w:color w:val="221815"/>
          <w:sz w:val="42"/>
        </w:rPr>
        <w:t>风险分析方法及应用</w:t>
      </w:r>
    </w:p>
    <w:p>
      <w:pPr>
        <w:autoSpaceDN w:val="0"/>
        <w:autoSpaceDE w:val="0"/>
        <w:widowControl/>
        <w:spacing w:line="185" w:lineRule="auto" w:before="198" w:after="0"/>
        <w:ind w:left="0" w:right="4568" w:firstLine="0"/>
        <w:jc w:val="right"/>
      </w:pPr>
      <w:r>
        <w:rPr>
          <w:rFonts w:ascii="FZFSJW" w:hAnsi="FZFSJW" w:eastAsia="FZFSJW"/>
          <w:b w:val="0"/>
          <w:i w:val="0"/>
          <w:color w:val="221815"/>
          <w:sz w:val="30"/>
        </w:rPr>
        <w:t>雷沙沙</w:t>
      </w:r>
    </w:p>
    <w:p>
      <w:pPr>
        <w:autoSpaceDN w:val="0"/>
        <w:autoSpaceDE w:val="0"/>
        <w:widowControl/>
        <w:spacing w:line="190" w:lineRule="auto" w:before="86" w:after="0"/>
        <w:ind w:left="0" w:right="3018" w:firstLine="0"/>
        <w:jc w:val="right"/>
      </w:pPr>
      <w:r>
        <w:rPr>
          <w:rFonts w:ascii="FZBSJW" w:hAnsi="FZBSJW" w:eastAsia="FZBSJW"/>
          <w:b w:val="0"/>
          <w:i w:val="0"/>
          <w:color w:val="221815"/>
          <w:sz w:val="16"/>
        </w:rPr>
        <w:t>（中铁四局集团第二工程有限公司，江苏苏州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 215131</w:t>
      </w:r>
      <w:r>
        <w:rPr>
          <w:rFonts w:ascii="FZBSJW" w:hAnsi="FZBSJW" w:eastAsia="FZBSJW"/>
          <w:b w:val="0"/>
          <w:i w:val="0"/>
          <w:color w:val="221815"/>
          <w:sz w:val="16"/>
        </w:rPr>
        <w:t>）</w:t>
      </w:r>
    </w:p>
    <w:p>
      <w:pPr>
        <w:autoSpaceDN w:val="0"/>
        <w:autoSpaceDE w:val="0"/>
        <w:widowControl/>
        <w:spacing w:line="187" w:lineRule="auto" w:before="226" w:after="0"/>
        <w:ind w:left="1350" w:right="0" w:firstLine="0"/>
        <w:jc w:val="left"/>
      </w:pPr>
      <w:r>
        <w:rPr>
          <w:rFonts w:ascii="FZHTK" w:hAnsi="FZHTK" w:eastAsia="FZHTK"/>
          <w:b w:val="0"/>
          <w:i w:val="0"/>
          <w:color w:val="221815"/>
          <w:sz w:val="18"/>
        </w:rPr>
        <w:t>［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摘 要</w:t>
      </w:r>
      <w:r>
        <w:rPr>
          <w:rFonts w:ascii="FZHTK" w:hAnsi="FZHTK" w:eastAsia="FZHTK"/>
          <w:b w:val="0"/>
          <w:i w:val="0"/>
          <w:color w:val="221815"/>
          <w:sz w:val="18"/>
        </w:rPr>
        <w:t xml:space="preserve">］ </w:t>
      </w: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依托成都地铁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13</w:t>
      </w: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号线娇子立交盾构隧道穿越立交桥桩基群施工项目，首先对盾构隧道施工过</w:t>
      </w:r>
    </w:p>
    <w:p>
      <w:pPr>
        <w:autoSpaceDN w:val="0"/>
        <w:autoSpaceDE w:val="0"/>
        <w:widowControl/>
        <w:spacing w:line="185" w:lineRule="auto" w:before="96" w:after="0"/>
        <w:ind w:left="1046" w:right="0" w:firstLine="0"/>
        <w:jc w:val="left"/>
      </w:pP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程中的典型高风险事件进行了识别分析，随后基于模糊数学理论和层次分析法，对该盾构隧道全过程穿越</w:t>
      </w:r>
    </w:p>
    <w:p>
      <w:pPr>
        <w:autoSpaceDN w:val="0"/>
        <w:autoSpaceDE w:val="0"/>
        <w:widowControl/>
        <w:spacing w:line="185" w:lineRule="auto" w:before="96" w:after="0"/>
        <w:ind w:left="1046" w:right="0" w:firstLine="0"/>
        <w:jc w:val="left"/>
      </w:pP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施工开展了风险分析，明确了施工过程中各风险事件的风险等级。该研究可作为盾构隧道穿越桩基群施工</w:t>
      </w:r>
    </w:p>
    <w:p>
      <w:pPr>
        <w:autoSpaceDN w:val="0"/>
        <w:autoSpaceDE w:val="0"/>
        <w:widowControl/>
        <w:spacing w:line="185" w:lineRule="auto" w:before="96" w:after="0"/>
        <w:ind w:left="1046" w:right="0" w:firstLine="0"/>
        <w:jc w:val="left"/>
      </w:pP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的预防措施和评估提供参考依据。</w:t>
      </w:r>
    </w:p>
    <w:p>
      <w:pPr>
        <w:autoSpaceDN w:val="0"/>
        <w:autoSpaceDE w:val="0"/>
        <w:widowControl/>
        <w:spacing w:line="187" w:lineRule="auto" w:before="88" w:after="0"/>
        <w:ind w:left="1346" w:right="0" w:firstLine="0"/>
        <w:jc w:val="left"/>
      </w:pPr>
      <w:r>
        <w:rPr>
          <w:rFonts w:ascii="FZHTK" w:hAnsi="FZHTK" w:eastAsia="FZHTK"/>
          <w:b w:val="0"/>
          <w:i w:val="0"/>
          <w:color w:val="221815"/>
          <w:sz w:val="18"/>
        </w:rPr>
        <w:t>［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关键词</w:t>
      </w:r>
      <w:r>
        <w:rPr>
          <w:rFonts w:ascii="FZHTK" w:hAnsi="FZHTK" w:eastAsia="FZHTK"/>
          <w:b w:val="0"/>
          <w:i w:val="0"/>
          <w:color w:val="221815"/>
          <w:sz w:val="18"/>
        </w:rPr>
        <w:t xml:space="preserve">］ </w:t>
      </w:r>
      <w:r>
        <w:rPr>
          <w:w w:val="97.5"/>
          <w:rFonts w:ascii="FZBSJW" w:hAnsi="FZBSJW" w:eastAsia="FZBSJW"/>
          <w:b w:val="0"/>
          <w:i w:val="0"/>
          <w:color w:val="221815"/>
          <w:sz w:val="20"/>
        </w:rPr>
        <w:t>盾构隧道；桩基托换；模糊层次分析法；施工风险</w:t>
      </w:r>
    </w:p>
    <w:p>
      <w:pPr>
        <w:autoSpaceDN w:val="0"/>
        <w:autoSpaceDE w:val="0"/>
        <w:widowControl/>
        <w:spacing w:line="187" w:lineRule="auto" w:before="86" w:after="0"/>
        <w:ind w:left="1338" w:right="0" w:firstLine="0"/>
        <w:jc w:val="left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［中图分类号］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U 455.43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 xml:space="preserve">    ［文献标志码］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A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 xml:space="preserve">     ［文章编号］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1001</w:t>
      </w:r>
      <w:r>
        <w:rPr>
          <w:w w:val="97.5"/>
          <w:rFonts w:ascii="SimSun" w:hAnsi="SimSun" w:eastAsia="SimSun"/>
          <w:b w:val="0"/>
          <w:i w:val="0"/>
          <w:color w:val="221815"/>
          <w:sz w:val="20"/>
        </w:rPr>
        <w:t>-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523X</w:t>
      </w:r>
      <w:r>
        <w:rPr>
          <w:w w:val="97.5"/>
          <w:rFonts w:ascii="SimSun" w:hAnsi="SimSun" w:eastAsia="SimSun"/>
          <w:b w:val="0"/>
          <w:i w:val="0"/>
          <w:color w:val="221815"/>
          <w:sz w:val="20"/>
        </w:rPr>
        <w:t>（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2023</w:t>
      </w:r>
      <w:r>
        <w:rPr>
          <w:w w:val="97.5"/>
          <w:rFonts w:ascii="SimSun" w:hAnsi="SimSun" w:eastAsia="SimSun"/>
          <w:b w:val="0"/>
          <w:i w:val="0"/>
          <w:color w:val="221815"/>
          <w:sz w:val="20"/>
        </w:rPr>
        <w:t>）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03</w:t>
      </w:r>
      <w:r>
        <w:rPr>
          <w:w w:val="97.5"/>
          <w:rFonts w:ascii="SimSun" w:hAnsi="SimSun" w:eastAsia="SimSun"/>
          <w:b w:val="0"/>
          <w:i w:val="0"/>
          <w:color w:val="221815"/>
          <w:sz w:val="20"/>
        </w:rPr>
        <w:t>-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0141</w:t>
      </w:r>
      <w:r>
        <w:rPr>
          <w:w w:val="97.5"/>
          <w:rFonts w:ascii="SimSun" w:hAnsi="SimSun" w:eastAsia="SimSun"/>
          <w:b w:val="0"/>
          <w:i w:val="0"/>
          <w:color w:val="221815"/>
          <w:sz w:val="20"/>
        </w:rPr>
        <w:t>-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04</w:t>
      </w:r>
    </w:p>
    <w:p>
      <w:pPr>
        <w:autoSpaceDN w:val="0"/>
        <w:autoSpaceDE w:val="0"/>
        <w:widowControl/>
        <w:spacing w:line="245" w:lineRule="auto" w:before="198" w:after="0"/>
        <w:ind w:left="1584" w:right="1008" w:firstLine="0"/>
        <w:jc w:val="center"/>
      </w:pP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 xml:space="preserve">RISK ANALYSIS METHOD AND APPLICATION OF SHIELD TUNNEL CONSTRUCTION </w:t>
      </w: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>CROSSING URBAN OVERPASS PILE GROUP</w:t>
      </w:r>
    </w:p>
    <w:p>
      <w:pPr>
        <w:autoSpaceDN w:val="0"/>
        <w:tabs>
          <w:tab w:pos="1352" w:val="left"/>
          <w:tab w:pos="5090" w:val="left"/>
        </w:tabs>
        <w:autoSpaceDE w:val="0"/>
        <w:widowControl/>
        <w:spacing w:line="278" w:lineRule="auto" w:before="140" w:after="0"/>
        <w:ind w:left="1046" w:right="288" w:firstLine="0"/>
        <w:jc w:val="left"/>
      </w:pPr>
      <w:r>
        <w:tab/>
      </w:r>
      <w:r>
        <w:tab/>
      </w:r>
      <w:r>
        <w:rPr>
          <w:w w:val="97.5"/>
          <w:rFonts w:ascii="ArialMT" w:hAnsi="ArialMT" w:eastAsia="ArialMT"/>
          <w:b w:val="0"/>
          <w:i w:val="0"/>
          <w:color w:val="221815"/>
          <w:sz w:val="20"/>
        </w:rPr>
        <w:t>Lei Sha-sha</w:t>
      </w:r>
      <w:r>
        <w:br/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［</w:t>
      </w: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>Abstract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］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Based on the construction project of Jiaozi overpass shield tunnel crossing overpass pile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foundation group of Chengdu Metro Line 13, this paper first identified and analyzed typical high-risk events in the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process of shield tunnel construction, then carried out risk analysis on the whole process of shield tunnel crossing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construction based on fuzzy mathematics theory and analytic hierarchy process, and determined the risk level of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each risk event in the construction process. This study can be used as a reference for the preventive measures and 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 xml:space="preserve">evaluation of shield tunneling through pile groups. </w:t>
      </w:r>
    </w:p>
    <w:p>
      <w:pPr>
        <w:autoSpaceDN w:val="0"/>
        <w:autoSpaceDE w:val="0"/>
        <w:widowControl/>
        <w:spacing w:line="190" w:lineRule="auto" w:before="58" w:after="224"/>
        <w:ind w:left="0" w:right="0" w:firstLine="0"/>
        <w:jc w:val="center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［</w:t>
      </w:r>
      <w:r>
        <w:rPr>
          <w:w w:val="97.5"/>
          <w:rFonts w:ascii="TimesNewRomanPS" w:hAnsi="TimesNewRomanPS" w:eastAsia="TimesNewRomanPS"/>
          <w:b/>
          <w:i w:val="0"/>
          <w:color w:val="221815"/>
          <w:sz w:val="20"/>
        </w:rPr>
        <w:t>Keywords</w:t>
      </w: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］</w:t>
      </w:r>
      <w:r>
        <w:rPr>
          <w:w w:val="97.5"/>
          <w:rFonts w:ascii="TimesNewRomanPSMT" w:hAnsi="TimesNewRomanPSMT" w:eastAsia="TimesNewRomanPSMT"/>
          <w:b w:val="0"/>
          <w:i w:val="0"/>
          <w:color w:val="221815"/>
          <w:sz w:val="20"/>
        </w:rPr>
        <w:t>shield tunnel; pile underpinning; fuzzy analytical hierarchy process; construction risk</w:t>
      </w:r>
    </w:p>
    <w:p>
      <w:pPr>
        <w:sectPr>
          <w:pgSz w:w="11906" w:h="16838"/>
          <w:pgMar w:top="526" w:right="8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20" w:right="142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随着城市发展和人们生活质量的提升，城市交通</w:t>
      </w:r>
      <w:r>
        <w:rPr>
          <w:rFonts w:ascii="FZBSJW" w:hAnsi="FZBSJW" w:eastAsia="FZBSJW"/>
          <w:b w:val="0"/>
          <w:i w:val="0"/>
          <w:color w:val="221815"/>
          <w:sz w:val="21"/>
        </w:rPr>
        <w:t>量不断增加。城市中修建地铁已经成为改善人们交通</w:t>
      </w:r>
      <w:r>
        <w:rPr>
          <w:rFonts w:ascii="FZBSJW" w:hAnsi="FZBSJW" w:eastAsia="FZBSJW"/>
          <w:b w:val="0"/>
          <w:i w:val="0"/>
          <w:color w:val="221815"/>
          <w:sz w:val="21"/>
        </w:rPr>
        <w:t>需求的重要途径，但地铁隧道修建过程中免不了会穿</w:t>
      </w:r>
      <w:r>
        <w:rPr>
          <w:rFonts w:ascii="FZBSJW" w:hAnsi="FZBSJW" w:eastAsia="FZBSJW"/>
          <w:b w:val="0"/>
          <w:i w:val="0"/>
          <w:color w:val="221815"/>
          <w:sz w:val="21"/>
        </w:rPr>
        <w:t>越既有地下建（构）筑物，这会给施工造成较大的安</w:t>
      </w:r>
    </w:p>
    <w:p>
      <w:pPr>
        <w:sectPr>
          <w:type w:val="continuous"/>
          <w:pgSz w:w="11906" w:h="16838"/>
          <w:pgMar w:top="526" w:right="878" w:bottom="168" w:left="400" w:header="720" w:footer="720" w:gutter="0"/>
          <w:cols w:num="2" w:equalWidth="0">
            <w:col w:w="5610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0"/>
        <w:ind w:left="142" w:right="28" w:firstLine="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综上，对于隧道施工风险分析目前已有许多方法，对</w:t>
      </w:r>
      <w:r>
        <w:rPr>
          <w:rFonts w:ascii="FZBSJW" w:hAnsi="FZBSJW" w:eastAsia="FZBSJW"/>
          <w:b w:val="0"/>
          <w:i w:val="0"/>
          <w:color w:val="221815"/>
          <w:sz w:val="21"/>
        </w:rPr>
        <w:t>盾构隧道穿越桥梁桩基群的桩基托换施工风险分析也</w:t>
      </w:r>
      <w:r>
        <w:rPr>
          <w:rFonts w:ascii="FZBSJW" w:hAnsi="FZBSJW" w:eastAsia="FZBSJW"/>
          <w:b w:val="0"/>
          <w:i w:val="0"/>
          <w:color w:val="221815"/>
          <w:sz w:val="21"/>
        </w:rPr>
        <w:t>有众多学者进行了研究，但针对盾构隧道穿越城市立</w:t>
      </w:r>
      <w:r>
        <w:rPr>
          <w:rFonts w:ascii="FZBSJW" w:hAnsi="FZBSJW" w:eastAsia="FZBSJW"/>
          <w:b w:val="0"/>
          <w:i w:val="0"/>
          <w:color w:val="221815"/>
          <w:sz w:val="21"/>
        </w:rPr>
        <w:t>交桥桩基群施工的综合风险评价研究还有待于进一步</w:t>
      </w:r>
    </w:p>
    <w:p>
      <w:pPr>
        <w:sectPr>
          <w:type w:val="nextColumn"/>
          <w:pgSz w:w="11906" w:h="16838"/>
          <w:pgMar w:top="526" w:right="878" w:bottom="168" w:left="400" w:header="720" w:footer="720" w:gutter="0"/>
          <w:cols w:num="2" w:equalWidth="0">
            <w:col w:w="5610" w:space="0"/>
            <w:col w:w="5018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185" w:lineRule="auto" w:before="0" w:after="90"/>
        <w:ind w:left="62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全风险。为了减少施工风险带来的经济损失和人员伤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研究。</w:t>
      </w:r>
    </w:p>
    <w:p>
      <w:pPr>
        <w:sectPr>
          <w:type w:val="continuous"/>
          <w:pgSz w:w="11906" w:h="16838"/>
          <w:pgMar w:top="526" w:right="87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040" w:val="left"/>
        </w:tabs>
        <w:autoSpaceDE w:val="0"/>
        <w:widowControl/>
        <w:spacing w:line="245" w:lineRule="auto" w:before="0" w:after="0"/>
        <w:ind w:left="620" w:right="144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亡，在施工过程进行风险分析变得尤为重要。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近年来，对于隧道施工风险，国内许多专家学</w:t>
      </w:r>
    </w:p>
    <w:p>
      <w:pPr>
        <w:sectPr>
          <w:type w:val="continuous"/>
          <w:pgSz w:w="11906" w:h="16838"/>
          <w:pgMar w:top="526" w:right="878" w:bottom="168" w:left="400" w:header="720" w:footer="720" w:gutter="0"/>
          <w:cols w:num="2" w:equalWidth="0">
            <w:col w:w="5610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2"/>
        <w:ind w:left="142" w:right="0" w:firstLine="418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依托成都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13</w:t>
      </w:r>
      <w:r>
        <w:rPr>
          <w:rFonts w:ascii="FZBSJW" w:hAnsi="FZBSJW" w:eastAsia="FZBSJW"/>
          <w:b w:val="0"/>
          <w:i w:val="0"/>
          <w:color w:val="221815"/>
          <w:sz w:val="21"/>
        </w:rPr>
        <w:t>号线地铁盾构隧道穿越城市立交桥桩</w:t>
      </w:r>
      <w:r>
        <w:rPr>
          <w:rFonts w:ascii="FZBSJW" w:hAnsi="FZBSJW" w:eastAsia="FZBSJW"/>
          <w:b w:val="0"/>
          <w:i w:val="0"/>
          <w:color w:val="221815"/>
          <w:sz w:val="21"/>
        </w:rPr>
        <w:t>基群施工工程，对隧道施工的风险因素辨识及施工风</w:t>
      </w:r>
    </w:p>
    <w:p>
      <w:pPr>
        <w:sectPr>
          <w:type w:val="nextColumn"/>
          <w:pgSz w:w="11906" w:h="16838"/>
          <w:pgMar w:top="526" w:right="878" w:bottom="168" w:left="400" w:header="720" w:footer="720" w:gutter="0"/>
          <w:cols w:num="2" w:equalWidth="0">
            <w:col w:w="5610" w:space="0"/>
            <w:col w:w="5018" w:space="0"/>
          </w:cols>
          <w:docGrid w:linePitch="360"/>
        </w:sectPr>
      </w:pPr>
    </w:p>
    <w:p>
      <w:pPr>
        <w:autoSpaceDN w:val="0"/>
        <w:tabs>
          <w:tab w:pos="4254" w:val="left"/>
          <w:tab w:pos="5752" w:val="left"/>
        </w:tabs>
        <w:autoSpaceDE w:val="0"/>
        <w:widowControl/>
        <w:spacing w:line="206" w:lineRule="auto" w:before="0" w:after="0"/>
        <w:ind w:left="62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者对这方面进行了深入研究。路军富等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[1]</w:t>
      </w:r>
      <w:r>
        <w:rPr>
          <w:rFonts w:ascii="FZBSJW" w:hAnsi="FZBSJW" w:eastAsia="FZBSJW"/>
          <w:b w:val="0"/>
          <w:i w:val="0"/>
          <w:color w:val="221815"/>
          <w:sz w:val="21"/>
        </w:rPr>
        <w:t>提出了依据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险评价开展了研究。首先，对该隧道施工风险事件进</w:t>
      </w:r>
    </w:p>
    <w:p>
      <w:pPr>
        <w:autoSpaceDN w:val="0"/>
        <w:tabs>
          <w:tab w:pos="5752" w:val="left"/>
        </w:tabs>
        <w:autoSpaceDE w:val="0"/>
        <w:widowControl/>
        <w:spacing w:line="185" w:lineRule="auto" w:before="90" w:after="0"/>
        <w:ind w:left="62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隧道发生风险概率指数与风险后果指数，建立铁路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行了识别，明确了盾构隧道施工中的关键风险因素；</w:t>
      </w:r>
    </w:p>
    <w:p>
      <w:pPr>
        <w:autoSpaceDN w:val="0"/>
        <w:tabs>
          <w:tab w:pos="4682" w:val="left"/>
          <w:tab w:pos="5752" w:val="left"/>
          <w:tab w:pos="8132" w:val="left"/>
          <w:tab w:pos="9586" w:val="left"/>
        </w:tabs>
        <w:autoSpaceDE w:val="0"/>
        <w:widowControl/>
        <w:spacing w:line="206" w:lineRule="auto" w:before="62" w:after="90"/>
        <w:ind w:left="62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隧道施工阶段监测等级及划分方法；何志军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[2]</w:t>
      </w:r>
      <w:r>
        <w:rPr>
          <w:rFonts w:ascii="FZBSJW" w:hAnsi="FZBSJW" w:eastAsia="FZBSJW"/>
          <w:b w:val="0"/>
          <w:i w:val="0"/>
          <w:color w:val="221815"/>
          <w:sz w:val="21"/>
        </w:rPr>
        <w:t>利用三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随后，利用模糊数学理论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[6]</w:t>
      </w:r>
      <w:r>
        <w:rPr>
          <w:rFonts w:ascii="FZBSJW" w:hAnsi="FZBSJW" w:eastAsia="FZBSJW"/>
          <w:b w:val="0"/>
          <w:i w:val="0"/>
          <w:color w:val="221815"/>
          <w:sz w:val="21"/>
        </w:rPr>
        <w:t>和层次分析法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[7]</w:t>
      </w:r>
      <w:r>
        <w:rPr>
          <w:rFonts w:ascii="FZBSJW" w:hAnsi="FZBSJW" w:eastAsia="FZBSJW"/>
          <w:b w:val="0"/>
          <w:i w:val="0"/>
          <w:color w:val="221815"/>
          <w:sz w:val="21"/>
        </w:rPr>
        <w:t>，对施工</w:t>
      </w:r>
    </w:p>
    <w:p>
      <w:pPr>
        <w:sectPr>
          <w:type w:val="continuous"/>
          <w:pgSz w:w="11906" w:h="16838"/>
          <w:pgMar w:top="526" w:right="8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2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维有限元分析区间隧道下穿福厦铁路路基重大风险源</w:t>
      </w:r>
      <w:r>
        <w:rPr>
          <w:rFonts w:ascii="FZBSJW" w:hAnsi="FZBSJW" w:eastAsia="FZBSJW"/>
          <w:b w:val="0"/>
          <w:i w:val="0"/>
          <w:color w:val="221815"/>
          <w:sz w:val="21"/>
        </w:rPr>
        <w:t>施工过程，有效降低了隧道施工风险等级；吴贤国</w:t>
      </w:r>
    </w:p>
    <w:p>
      <w:pPr>
        <w:sectPr>
          <w:type w:val="continuous"/>
          <w:pgSz w:w="11906" w:h="16838"/>
          <w:pgMar w:top="526" w:right="878" w:bottom="168" w:left="400" w:header="720" w:footer="720" w:gutter="0"/>
          <w:cols w:num="2" w:equalWidth="0">
            <w:col w:w="5612" w:space="0"/>
            <w:col w:w="501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2"/>
        <w:ind w:left="14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风险进行了定量评估，并以此提出了一种盾构隧道施</w:t>
      </w:r>
      <w:r>
        <w:rPr>
          <w:rFonts w:ascii="FZBSJW" w:hAnsi="FZBSJW" w:eastAsia="FZBSJW"/>
          <w:b w:val="0"/>
          <w:i w:val="0"/>
          <w:color w:val="221815"/>
          <w:sz w:val="21"/>
        </w:rPr>
        <w:t>工风险分析方法。研究成果可为盾构隧道施工的安全</w:t>
      </w:r>
    </w:p>
    <w:p>
      <w:pPr>
        <w:sectPr>
          <w:type w:val="nextColumn"/>
          <w:pgSz w:w="11906" w:h="16838"/>
          <w:pgMar w:top="526" w:right="878" w:bottom="168" w:left="400" w:header="720" w:footer="720" w:gutter="0"/>
          <w:cols w:num="2" w:equalWidth="0">
            <w:col w:w="5612" w:space="0"/>
            <w:col w:w="50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26"/>
        <w:gridCol w:w="2126"/>
        <w:gridCol w:w="2126"/>
        <w:gridCol w:w="2126"/>
        <w:gridCol w:w="2126"/>
      </w:tblGrid>
      <w:tr>
        <w:trPr>
          <w:trHeight w:hRule="exact" w:val="30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等</w:t>
            </w:r>
          </w:p>
        </w:tc>
        <w:tc>
          <w:tcPr>
            <w:tcW w:type="dxa" w:w="4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14" w:right="0" w:firstLine="0"/>
              <w:jc w:val="left"/>
            </w:pP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[3]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在地铁隧道施工对相邻建筑物造成影响后，利用</w:t>
            </w:r>
          </w:p>
        </w:tc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52" w:right="0" w:firstLine="0"/>
              <w:jc w:val="both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风险评价提供评估方法，对地铁盾构隧道穿越城市立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交桥桩基群施工过程中各风险事件的风险等级判定提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供依据，从而有效减少、避免类似隧道施工安全风险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事故的发生。</w:t>
            </w:r>
          </w:p>
          <w:p>
            <w:pPr>
              <w:autoSpaceDN w:val="0"/>
              <w:autoSpaceDE w:val="0"/>
              <w:widowControl/>
              <w:spacing w:line="185" w:lineRule="auto" w:before="252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221815"/>
                <w:sz w:val="24"/>
              </w:rPr>
              <w:t xml:space="preserve">1 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24"/>
              </w:rPr>
              <w:t>工程概况</w:t>
            </w:r>
          </w:p>
        </w:tc>
      </w:tr>
      <w:tr>
        <w:trPr>
          <w:trHeight w:hRule="exact" w:val="300"/>
        </w:trPr>
        <w:tc>
          <w:tcPr>
            <w:tcW w:type="dxa" w:w="5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320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模糊的贝叶斯网络进行安全分线分析，并建立相关</w:t>
            </w:r>
          </w:p>
        </w:tc>
        <w:tc>
          <w:tcPr>
            <w:tcW w:type="dxa" w:w="212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320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决策模型；张立茂等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" w:after="0"/>
              <w:ind w:left="8" w:right="0" w:firstLine="0"/>
              <w:jc w:val="left"/>
            </w:pP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[4]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提出了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T–S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模糊故障树分析方</w:t>
            </w:r>
          </w:p>
        </w:tc>
        <w:tc>
          <w:tcPr>
            <w:tcW w:type="dxa" w:w="2126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5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20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法，解决了盾构刀盘故障数据缺乏和故障状态不确定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等问题，同时建立了盾构刀盘失效分析的模型；陈子</w:t>
            </w:r>
          </w:p>
        </w:tc>
        <w:tc>
          <w:tcPr>
            <w:tcW w:type="dxa" w:w="2126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全等</w:t>
            </w:r>
          </w:p>
        </w:tc>
        <w:tc>
          <w:tcPr>
            <w:tcW w:type="dxa" w:w="4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" w:after="0"/>
              <w:ind w:left="10" w:right="0" w:firstLine="0"/>
              <w:jc w:val="left"/>
            </w:pP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[5]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采用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FLAC3D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对地铁隧道桩基托换与隧道施工</w:t>
            </w:r>
          </w:p>
        </w:tc>
        <w:tc>
          <w:tcPr>
            <w:tcW w:type="dxa" w:w="212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11906" w:h="16838"/>
          <w:pgMar w:top="526" w:right="8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6" w:lineRule="auto" w:before="0" w:after="0"/>
        <w:ind w:left="624" w:right="0" w:hanging="4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进行了数值模拟，分析了该施工过程中的安全风险。</w:t>
      </w:r>
      <w:r>
        <w:rPr>
          <w:rFonts w:ascii="FZHTJW" w:hAnsi="FZHTJW" w:eastAsia="FZHTJW"/>
          <w:b w:val="0"/>
          <w:i w:val="0"/>
          <w:color w:val="221815"/>
          <w:sz w:val="16"/>
        </w:rPr>
        <w:t>收稿日期：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2022–11–20</w:t>
      </w:r>
    </w:p>
    <w:p>
      <w:pPr>
        <w:autoSpaceDN w:val="0"/>
        <w:autoSpaceDE w:val="0"/>
        <w:widowControl/>
        <w:spacing w:line="187" w:lineRule="auto" w:before="60" w:after="0"/>
        <w:ind w:left="624" w:right="0" w:firstLine="0"/>
        <w:jc w:val="left"/>
      </w:pPr>
      <w:r>
        <w:rPr>
          <w:rFonts w:ascii="FZHTJW" w:hAnsi="FZHTJW" w:eastAsia="FZHTJW"/>
          <w:b w:val="0"/>
          <w:i w:val="0"/>
          <w:color w:val="221815"/>
          <w:sz w:val="16"/>
        </w:rPr>
        <w:t>作者简介：</w:t>
      </w:r>
      <w:r>
        <w:rPr>
          <w:rFonts w:ascii="FZBSJW" w:hAnsi="FZBSJW" w:eastAsia="FZBSJW"/>
          <w:b w:val="0"/>
          <w:i w:val="0"/>
          <w:color w:val="221815"/>
          <w:sz w:val="16"/>
        </w:rPr>
        <w:t>雷沙沙（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1985</w:t>
      </w:r>
      <w:r>
        <w:rPr>
          <w:rFonts w:ascii="FZBSJW" w:hAnsi="FZBSJW" w:eastAsia="FZBSJW"/>
          <w:b w:val="0"/>
          <w:i w:val="0"/>
          <w:color w:val="221815"/>
          <w:sz w:val="16"/>
        </w:rPr>
        <w:t>—），男，陕西渭南人，工程师，主要研</w:t>
      </w:r>
    </w:p>
    <w:p>
      <w:pPr>
        <w:autoSpaceDN w:val="0"/>
        <w:autoSpaceDE w:val="0"/>
        <w:widowControl/>
        <w:spacing w:line="185" w:lineRule="auto" w:before="64" w:after="0"/>
        <w:ind w:left="850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16"/>
        </w:rPr>
        <w:t>究方向为隧道及地下工程施工技术。</w:t>
      </w:r>
    </w:p>
    <w:p>
      <w:pPr>
        <w:sectPr>
          <w:type w:val="continuous"/>
          <w:pgSz w:w="11906" w:h="16838"/>
          <w:pgMar w:top="526" w:right="878" w:bottom="168" w:left="400" w:header="720" w:footer="720" w:gutter="0"/>
          <w:cols w:num="2" w:equalWidth="0">
            <w:col w:w="5610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2" w:right="28" w:firstLine="418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该项目位于成都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13</w:t>
      </w:r>
      <w:r>
        <w:rPr>
          <w:rFonts w:ascii="FZBSJW" w:hAnsi="FZBSJW" w:eastAsia="FZBSJW"/>
          <w:b w:val="0"/>
          <w:i w:val="0"/>
          <w:color w:val="221815"/>
          <w:sz w:val="21"/>
        </w:rPr>
        <w:t>号线四川师大站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~</w:t>
      </w:r>
      <w:r>
        <w:rPr>
          <w:rFonts w:ascii="FZBSJW" w:hAnsi="FZBSJW" w:eastAsia="FZBSJW"/>
          <w:b w:val="0"/>
          <w:i w:val="0"/>
          <w:color w:val="221815"/>
          <w:sz w:val="21"/>
        </w:rPr>
        <w:t>娇子立交</w:t>
      </w:r>
      <w:r>
        <w:rPr>
          <w:rFonts w:ascii="FZBSJW" w:hAnsi="FZBSJW" w:eastAsia="FZBSJW"/>
          <w:b w:val="0"/>
          <w:i w:val="0"/>
          <w:color w:val="221815"/>
          <w:sz w:val="21"/>
        </w:rPr>
        <w:t>站。区间段岩层为富水卵石地层，岩层稳定性差。区</w:t>
      </w:r>
      <w:r>
        <w:rPr>
          <w:rFonts w:ascii="FZBSJW" w:hAnsi="FZBSJW" w:eastAsia="FZBSJW"/>
          <w:b w:val="0"/>
          <w:i w:val="0"/>
          <w:color w:val="221815"/>
          <w:sz w:val="21"/>
        </w:rPr>
        <w:t>间线路最小曲线半径为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450 m</w:t>
      </w:r>
      <w:r>
        <w:rPr>
          <w:rFonts w:ascii="FZBSJW" w:hAnsi="FZBSJW" w:eastAsia="FZBSJW"/>
          <w:b w:val="0"/>
          <w:i w:val="0"/>
          <w:color w:val="221815"/>
          <w:sz w:val="21"/>
        </w:rPr>
        <w:t>，最大纵坡为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28</w:t>
      </w:r>
      <w:r>
        <w:rPr>
          <w:rFonts w:ascii="FZBSJW" w:hAnsi="FZBSJW" w:eastAsia="FZBSJW"/>
          <w:b w:val="0"/>
          <w:i w:val="0"/>
          <w:color w:val="221815"/>
          <w:sz w:val="21"/>
        </w:rPr>
        <w:t>‰，最</w:t>
      </w:r>
      <w:r>
        <w:rPr>
          <w:rFonts w:ascii="FZBSJW" w:hAnsi="FZBSJW" w:eastAsia="FZBSJW"/>
          <w:b w:val="0"/>
          <w:i w:val="0"/>
          <w:color w:val="221815"/>
          <w:sz w:val="21"/>
        </w:rPr>
        <w:t>小纵坡为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4.972</w:t>
      </w:r>
      <w:r>
        <w:rPr>
          <w:rFonts w:ascii="FZBSJW" w:hAnsi="FZBSJW" w:eastAsia="FZBSJW"/>
          <w:b w:val="0"/>
          <w:i w:val="0"/>
          <w:color w:val="221815"/>
          <w:sz w:val="21"/>
        </w:rPr>
        <w:t>‰。线间距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14.1~20.8 m</w:t>
      </w:r>
      <w:r>
        <w:rPr>
          <w:rFonts w:ascii="FZBSJW" w:hAnsi="FZBSJW" w:eastAsia="FZBSJW"/>
          <w:b w:val="0"/>
          <w:i w:val="0"/>
          <w:color w:val="221815"/>
          <w:sz w:val="21"/>
        </w:rPr>
        <w:t>，结构最小覆</w:t>
      </w:r>
    </w:p>
    <w:p>
      <w:pPr>
        <w:autoSpaceDN w:val="0"/>
        <w:autoSpaceDE w:val="0"/>
        <w:widowControl/>
        <w:spacing w:line="204" w:lineRule="auto" w:before="164" w:after="196"/>
        <w:ind w:left="0" w:right="30" w:firstLine="0"/>
        <w:jc w:val="right"/>
      </w:pPr>
      <w:r>
        <w:rPr>
          <w:rFonts w:ascii="SimSun" w:hAnsi="SimSun" w:eastAsia="SimSun"/>
          <w:b w:val="0"/>
          <w:i w:val="0"/>
          <w:color w:val="221815"/>
          <w:sz w:val="20"/>
        </w:rPr>
        <w:t xml:space="preserve"> ·</w:t>
      </w:r>
      <w:r>
        <w:rPr>
          <w:rFonts w:ascii="TimesNewRomanPSMT" w:hAnsi="TimesNewRomanPSMT" w:eastAsia="TimesNewRomanPSMT"/>
          <w:b w:val="0"/>
          <w:i w:val="0"/>
          <w:color w:val="221815"/>
          <w:sz w:val="20"/>
        </w:rPr>
        <w:t>141</w:t>
      </w:r>
      <w:r>
        <w:rPr>
          <w:rFonts w:ascii="SimSun" w:hAnsi="SimSun" w:eastAsia="SimSun"/>
          <w:b w:val="0"/>
          <w:i w:val="0"/>
          <w:color w:val="221815"/>
          <w:sz w:val="20"/>
        </w:rPr>
        <w:t>·</w:t>
      </w:r>
    </w:p>
    <w:p>
      <w:pPr>
        <w:sectPr>
          <w:type w:val="nextColumn"/>
          <w:pgSz w:w="11906" w:h="16838"/>
          <w:pgMar w:top="526" w:right="878" w:bottom="168" w:left="400" w:header="720" w:footer="720" w:gutter="0"/>
          <w:cols w:num="2" w:equalWidth="0">
            <w:col w:w="5610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26" w:right="8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7124700</wp:posOffset>
            </wp:positionV>
            <wp:extent cx="2159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8.0" w:type="dxa"/>
      </w:tblPr>
      <w:tblGrid>
        <w:gridCol w:w="3505"/>
        <w:gridCol w:w="3505"/>
        <w:gridCol w:w="3505"/>
      </w:tblGrid>
      <w:tr>
        <w:trPr>
          <w:trHeight w:hRule="exact" w:val="236"/>
        </w:trPr>
        <w:tc>
          <w:tcPr>
            <w:tcW w:type="dxa" w:w="2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0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221815"/>
                <w:sz w:val="20"/>
              </w:rPr>
              <w:t>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0"/>
              </w:rPr>
              <w:t>50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20"/>
              </w:rPr>
              <w:t>卷第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0"/>
              </w:rPr>
              <w:t>3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20"/>
              </w:rPr>
              <w:t>期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" w:after="0"/>
              <w:ind w:left="0" w:right="1364" w:firstLine="0"/>
              <w:jc w:val="right"/>
            </w:pPr>
            <w:r>
              <w:rPr>
                <w:rFonts w:ascii="FZDHTK" w:hAnsi="FZDHTK" w:eastAsia="FZDHTK"/>
                <w:b w:val="0"/>
                <w:i w:val="0"/>
                <w:color w:val="221815"/>
                <w:sz w:val="20"/>
              </w:rPr>
              <w:t>安全质量</w:t>
            </w:r>
          </w:p>
        </w:tc>
        <w:tc>
          <w:tcPr>
            <w:tcW w:type="dxa" w:w="3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2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815"/>
                <w:sz w:val="20"/>
              </w:rPr>
              <w:t>建   筑   技   术   开   发</w:t>
            </w:r>
          </w:p>
        </w:tc>
      </w:tr>
      <w:tr>
        <w:trPr>
          <w:trHeight w:hRule="exact" w:val="212"/>
        </w:trPr>
        <w:tc>
          <w:tcPr>
            <w:tcW w:type="dxa" w:w="2742"/>
            <w:tcBorders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2023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6"/>
              </w:rPr>
              <w:t>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221815"/>
                <w:sz w:val="16"/>
              </w:rPr>
              <w:t>月</w:t>
            </w:r>
          </w:p>
        </w:tc>
        <w:tc>
          <w:tcPr>
            <w:tcW w:type="dxa" w:w="4020"/>
            <w:tcBorders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Safety and Quality</w:t>
            </w:r>
          </w:p>
        </w:tc>
        <w:tc>
          <w:tcPr>
            <w:tcW w:type="dxa" w:w="3236"/>
            <w:tcBorders>
              <w:bottom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0" w:firstLine="0"/>
              <w:jc w:val="right"/>
            </w:pPr>
            <w:r>
              <w:rPr>
                <w:w w:val="101.19288126627603"/>
                <w:rFonts w:ascii="TimesNewRomanPSMT" w:hAnsi="TimesNewRomanPSMT" w:eastAsia="TimesNewRomanPSMT"/>
                <w:b w:val="0"/>
                <w:i w:val="0"/>
                <w:color w:val="221815"/>
                <w:sz w:val="15"/>
              </w:rPr>
              <w:t>Building Technology Development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0"/>
        <w:ind w:left="0" w:right="0"/>
      </w:pPr>
    </w:p>
    <w:p>
      <w:pPr>
        <w:sectPr>
          <w:pgSz w:w="11906" w:h="16838"/>
          <w:pgMar w:top="526" w:right="99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auto" w:before="0" w:after="0"/>
        <w:ind w:left="508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土埋深约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12 m</w:t>
      </w:r>
      <w:r>
        <w:rPr>
          <w:rFonts w:ascii="FZBSJW" w:hAnsi="FZBSJW" w:eastAsia="FZBSJW"/>
          <w:b w:val="0"/>
          <w:i w:val="0"/>
          <w:color w:val="221815"/>
          <w:sz w:val="21"/>
        </w:rPr>
        <w:t>，最大覆土埋深约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20.9 m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</w:p>
    <w:p>
      <w:pPr>
        <w:autoSpaceDN w:val="0"/>
        <w:autoSpaceDE w:val="0"/>
        <w:widowControl/>
        <w:spacing w:line="245" w:lineRule="auto" w:before="90" w:after="0"/>
        <w:ind w:left="508" w:right="0" w:firstLine="418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该项目施工区间采用盾构法施工，区间设计</w:t>
      </w:r>
      <w:r>
        <w:rPr>
          <w:rFonts w:ascii="FZBSJW" w:hAnsi="FZBSJW" w:eastAsia="FZBSJW"/>
          <w:b w:val="0"/>
          <w:i w:val="0"/>
          <w:color w:val="221815"/>
          <w:sz w:val="21"/>
        </w:rPr>
        <w:t>起止里程为：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YDK36+727.481/ZDK36+724.991~ 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ZDK38+101.083/YDK38+121.723</w:t>
      </w:r>
      <w:r>
        <w:rPr>
          <w:rFonts w:ascii="FZBSJW" w:hAnsi="FZBSJW" w:eastAsia="FZBSJW"/>
          <w:b w:val="0"/>
          <w:i w:val="0"/>
          <w:color w:val="221815"/>
          <w:sz w:val="21"/>
        </w:rPr>
        <w:t>，右线盾构区间长度</w:t>
      </w:r>
      <w:r>
        <w:rPr>
          <w:rFonts w:ascii="FZBSJW" w:hAnsi="FZBSJW" w:eastAsia="FZBSJW"/>
          <w:b w:val="0"/>
          <w:i w:val="0"/>
          <w:color w:val="221815"/>
          <w:sz w:val="21"/>
        </w:rPr>
        <w:t>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1 394.242 m</w:t>
      </w:r>
      <w:r>
        <w:rPr>
          <w:rFonts w:ascii="FZBSJW" w:hAnsi="FZBSJW" w:eastAsia="FZBSJW"/>
          <w:b w:val="0"/>
          <w:i w:val="0"/>
          <w:color w:val="221815"/>
          <w:sz w:val="21"/>
        </w:rPr>
        <w:t>，左线盾构区间长度为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1 376.092 m</w:t>
      </w:r>
      <w:r>
        <w:rPr>
          <w:rFonts w:ascii="FZBSJW" w:hAnsi="FZBSJW" w:eastAsia="FZBSJW"/>
          <w:b w:val="0"/>
          <w:i w:val="0"/>
          <w:color w:val="221815"/>
          <w:sz w:val="21"/>
        </w:rPr>
        <w:t>，短</w:t>
      </w:r>
    </w:p>
    <w:p>
      <w:pPr>
        <w:sectPr>
          <w:type w:val="continuous"/>
          <w:pgSz w:w="11906" w:h="16838"/>
          <w:pgMar w:top="526" w:right="990" w:bottom="168" w:left="400" w:header="720" w:footer="720" w:gutter="0"/>
          <w:cols w:num="2" w:equalWidth="0">
            <w:col w:w="5522" w:space="0"/>
            <w:col w:w="4993" w:space="0"/>
          </w:cols>
          <w:docGrid w:linePitch="360"/>
        </w:sectPr>
      </w:pPr>
    </w:p>
    <w:p>
      <w:pPr>
        <w:autoSpaceDN w:val="0"/>
        <w:tabs>
          <w:tab w:pos="536" w:val="left"/>
        </w:tabs>
        <w:autoSpaceDE w:val="0"/>
        <w:widowControl/>
        <w:spacing w:line="245" w:lineRule="auto" w:before="0" w:after="60"/>
        <w:ind w:left="116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2.2 </w:t>
      </w:r>
      <w:r>
        <w:rPr>
          <w:rFonts w:ascii="FZHTJW" w:hAnsi="FZHTJW" w:eastAsia="FZHTJW"/>
          <w:b w:val="0"/>
          <w:i w:val="0"/>
          <w:color w:val="221815"/>
          <w:sz w:val="21"/>
        </w:rPr>
        <w:t>层次分析法指示权重的确定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盾构隧道施工发生安全事故是各种原因与不确定</w:t>
      </w:r>
      <w:r>
        <w:rPr>
          <w:rFonts w:ascii="FZBSJW" w:hAnsi="FZBSJW" w:eastAsia="FZBSJW"/>
          <w:b w:val="0"/>
          <w:i w:val="0"/>
          <w:color w:val="221815"/>
          <w:sz w:val="21"/>
        </w:rPr>
        <w:t>事件共同作用的结果，这些因素影响程度不同，同时</w:t>
      </w:r>
      <w:r>
        <w:rPr>
          <w:rFonts w:ascii="FZBSJW" w:hAnsi="FZBSJW" w:eastAsia="FZBSJW"/>
          <w:b w:val="0"/>
          <w:i w:val="0"/>
          <w:color w:val="221815"/>
          <w:sz w:val="21"/>
        </w:rPr>
        <w:t>各个事件也具有模糊性。对于这些不确定具有模糊性</w:t>
      </w:r>
      <w:r>
        <w:rPr>
          <w:rFonts w:ascii="FZBSJW" w:hAnsi="FZBSJW" w:eastAsia="FZBSJW"/>
          <w:b w:val="0"/>
          <w:i w:val="0"/>
          <w:color w:val="221815"/>
          <w:sz w:val="21"/>
        </w:rPr>
        <w:t>的事件，可采用层次分析法来进行对各个事件的权重</w:t>
      </w:r>
    </w:p>
    <w:p>
      <w:pPr>
        <w:sectPr>
          <w:type w:val="nextColumn"/>
          <w:pgSz w:w="11906" w:h="16838"/>
          <w:pgMar w:top="526" w:right="990" w:bottom="168" w:left="400" w:header="720" w:footer="720" w:gutter="0"/>
          <w:cols w:num="2" w:equalWidth="0">
            <w:col w:w="5522" w:space="0"/>
            <w:col w:w="499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505"/>
        <w:gridCol w:w="3505"/>
        <w:gridCol w:w="3505"/>
      </w:tblGrid>
      <w:tr>
        <w:trPr>
          <w:trHeight w:hRule="exact" w:val="252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4" w:after="0"/>
              <w:ind w:left="268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3.125 m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。该隧道穿越桩基群，左线穿越桩基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11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根，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判断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[9]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。确定判断矩阵，以准则层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C</w:t>
            </w:r>
            <w:r>
              <w:rPr>
                <w:w w:val="101.82999769846599"/>
                <w:rFonts w:ascii="TimesNewRomanPS" w:hAnsi="TimesNewRomanPS" w:eastAsia="TimesNewRomanPS"/>
                <w:b w:val="0"/>
                <w:i/>
                <w:color w:val="221815"/>
                <w:sz w:val="12"/>
              </w:rPr>
              <w:t>i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为准则，其对应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1906" w:h="16838"/>
          <w:pgMar w:top="526" w:right="99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auto" w:before="0" w:after="0"/>
        <w:ind w:left="508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右线穿越桩基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17</w:t>
      </w:r>
      <w:r>
        <w:rPr>
          <w:rFonts w:ascii="FZBSJW" w:hAnsi="FZBSJW" w:eastAsia="FZBSJW"/>
          <w:b w:val="0"/>
          <w:i w:val="0"/>
          <w:color w:val="221815"/>
          <w:sz w:val="21"/>
        </w:rPr>
        <w:t>根，共需穿越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28</w:t>
      </w:r>
      <w:r>
        <w:rPr>
          <w:rFonts w:ascii="FZBSJW" w:hAnsi="FZBSJW" w:eastAsia="FZBSJW"/>
          <w:b w:val="0"/>
          <w:i w:val="0"/>
          <w:color w:val="221815"/>
          <w:sz w:val="21"/>
        </w:rPr>
        <w:t>根桩基。</w:t>
      </w:r>
    </w:p>
    <w:p>
      <w:pPr>
        <w:autoSpaceDN w:val="0"/>
        <w:autoSpaceDE w:val="0"/>
        <w:widowControl/>
        <w:spacing w:line="185" w:lineRule="auto" w:before="25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4"/>
        </w:rPr>
        <w:t xml:space="preserve">2 </w:t>
      </w:r>
      <w:r>
        <w:rPr>
          <w:rFonts w:ascii="FZHTJW" w:hAnsi="FZHTJW" w:eastAsia="FZHTJW"/>
          <w:b w:val="0"/>
          <w:i w:val="0"/>
          <w:color w:val="221815"/>
          <w:sz w:val="24"/>
        </w:rPr>
        <w:t>隧道施工安全风险分析方法</w:t>
      </w:r>
    </w:p>
    <w:p>
      <w:pPr>
        <w:autoSpaceDN w:val="0"/>
        <w:tabs>
          <w:tab w:pos="926" w:val="left"/>
          <w:tab w:pos="1346" w:val="left"/>
        </w:tabs>
        <w:autoSpaceDE w:val="0"/>
        <w:widowControl/>
        <w:spacing w:line="245" w:lineRule="auto" w:before="22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2.1 </w:t>
      </w:r>
      <w:r>
        <w:rPr>
          <w:rFonts w:ascii="FZHTJW" w:hAnsi="FZHTJW" w:eastAsia="FZHTJW"/>
          <w:b w:val="0"/>
          <w:i w:val="0"/>
          <w:color w:val="221815"/>
          <w:sz w:val="21"/>
        </w:rPr>
        <w:t>模糊综合评价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模糊综合评价是一种基于模糊数学的综合评价的</w:t>
      </w:r>
      <w:r>
        <w:rPr>
          <w:rFonts w:ascii="FZBSJW" w:hAnsi="FZBSJW" w:eastAsia="FZBSJW"/>
          <w:b w:val="0"/>
          <w:i w:val="0"/>
          <w:color w:val="221815"/>
          <w:sz w:val="21"/>
        </w:rPr>
        <w:t>方法，是一种将定性评价转换为一种定量评价的综合</w:t>
      </w:r>
      <w:r>
        <w:rPr>
          <w:rFonts w:ascii="FZBSJW" w:hAnsi="FZBSJW" w:eastAsia="FZBSJW"/>
          <w:b w:val="0"/>
          <w:i w:val="0"/>
          <w:color w:val="221815"/>
          <w:sz w:val="21"/>
        </w:rPr>
        <w:t>评价方法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[8]</w:t>
      </w:r>
      <w:r>
        <w:rPr>
          <w:rFonts w:ascii="FZBSJW" w:hAnsi="FZBSJW" w:eastAsia="FZBSJW"/>
          <w:b w:val="0"/>
          <w:i w:val="0"/>
          <w:color w:val="221815"/>
          <w:sz w:val="21"/>
        </w:rPr>
        <w:t>。评价时应综合考虑所有风险因素。</w:t>
      </w:r>
    </w:p>
    <w:p>
      <w:pPr>
        <w:autoSpaceDN w:val="0"/>
        <w:autoSpaceDE w:val="0"/>
        <w:widowControl/>
        <w:spacing w:line="245" w:lineRule="auto" w:before="90" w:after="0"/>
        <w:ind w:left="508" w:right="138" w:firstLine="418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在评价某一对象时，可以将评价结果分成一定的</w:t>
      </w:r>
      <w:r>
        <w:rPr>
          <w:rFonts w:ascii="FZBSJW" w:hAnsi="FZBSJW" w:eastAsia="FZBSJW"/>
          <w:b w:val="0"/>
          <w:i w:val="0"/>
          <w:color w:val="221815"/>
          <w:sz w:val="21"/>
        </w:rPr>
        <w:t>等级，如评价等级分为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</w:t>
      </w:r>
      <w:r>
        <w:rPr>
          <w:rFonts w:ascii="FZBSJW" w:hAnsi="FZBSJW" w:eastAsia="FZBSJW"/>
          <w:b w:val="0"/>
          <w:i w:val="0"/>
          <w:color w:val="221815"/>
          <w:sz w:val="21"/>
        </w:rPr>
        <w:t>个等级：优、较好、良、不</w:t>
      </w:r>
      <w:r>
        <w:rPr>
          <w:rFonts w:ascii="FZBSJW" w:hAnsi="FZBSJW" w:eastAsia="FZBSJW"/>
          <w:b w:val="0"/>
          <w:i w:val="0"/>
          <w:color w:val="221815"/>
          <w:sz w:val="21"/>
        </w:rPr>
        <w:t>及格。</w:t>
      </w:r>
    </w:p>
    <w:p>
      <w:pPr>
        <w:autoSpaceDN w:val="0"/>
        <w:tabs>
          <w:tab w:pos="926" w:val="left"/>
          <w:tab w:pos="2290" w:val="left"/>
          <w:tab w:pos="4830" w:val="left"/>
        </w:tabs>
        <w:autoSpaceDE w:val="0"/>
        <w:widowControl/>
        <w:spacing w:line="250" w:lineRule="auto" w:before="90" w:after="36"/>
        <w:ind w:left="508" w:right="0" w:firstLine="0"/>
        <w:jc w:val="left"/>
      </w:pP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设定着眼因素集合：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 xml:space="preserve"> U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 = {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,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2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,</w:t>
      </w:r>
      <w:r>
        <w:rPr>
          <w:rFonts w:ascii="FZBSJW" w:hAnsi="FZBSJW" w:eastAsia="FZBSJW"/>
          <w:b w:val="0"/>
          <w:i w:val="0"/>
          <w:color w:val="221815"/>
          <w:sz w:val="21"/>
        </w:rPr>
        <w:t>…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n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} 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）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得到抉择评语集合为：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 xml:space="preserve"> V 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= {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v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,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v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2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,</w:t>
      </w:r>
      <w:r>
        <w:rPr>
          <w:rFonts w:ascii="FZBSJW" w:hAnsi="FZBSJW" w:eastAsia="FZBSJW"/>
          <w:b w:val="0"/>
          <w:i w:val="0"/>
          <w:color w:val="221815"/>
          <w:sz w:val="21"/>
        </w:rPr>
        <w:t>…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v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n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} 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  <w:r>
        <w:rPr>
          <w:rFonts w:ascii="FZBSJW" w:hAnsi="FZBSJW" w:eastAsia="FZBSJW"/>
          <w:b w:val="0"/>
          <w:i w:val="0"/>
          <w:color w:val="221815"/>
          <w:sz w:val="21"/>
        </w:rPr>
        <w:t>）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通过对着眼因素集合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的单因素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 xml:space="preserve"> i</w:t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i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 = 1</w:t>
      </w:r>
      <w:r>
        <w:rPr>
          <w:rFonts w:ascii="FZBSJW" w:hAnsi="FZBSJW" w:eastAsia="FZBSJW"/>
          <w:b w:val="0"/>
          <w:i w:val="0"/>
          <w:color w:val="221815"/>
          <w:sz w:val="21"/>
        </w:rPr>
        <w:t xml:space="preserve"> ，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  <w:r>
        <w:rPr>
          <w:rFonts w:ascii="FZBSJW" w:hAnsi="FZBSJW" w:eastAsia="FZBSJW"/>
          <w:b w:val="0"/>
          <w:i w:val="0"/>
          <w:color w:val="221815"/>
          <w:sz w:val="21"/>
        </w:rPr>
        <w:t>，…，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m</w:t>
      </w:r>
      <w:r>
        <w:rPr>
          <w:rFonts w:ascii="FZBSJW" w:hAnsi="FZBSJW" w:eastAsia="FZBSJW"/>
          <w:b w:val="0"/>
          <w:i w:val="0"/>
          <w:color w:val="221815"/>
          <w:sz w:val="21"/>
        </w:rPr>
        <w:t>）作单因素评价，从因素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着眼确定该事物</w:t>
      </w:r>
      <w:r>
        <w:rPr>
          <w:rFonts w:ascii="FZBSJW" w:hAnsi="FZBSJW" w:eastAsia="FZBSJW"/>
          <w:b w:val="0"/>
          <w:i w:val="0"/>
          <w:color w:val="221815"/>
          <w:sz w:val="21"/>
        </w:rPr>
        <w:t>对选择等级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v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i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=1</w:t>
      </w:r>
      <w:r>
        <w:rPr>
          <w:rFonts w:ascii="FZBSJW" w:hAnsi="FZBSJW" w:eastAsia="FZBSJW"/>
          <w:b w:val="0"/>
          <w:i w:val="0"/>
          <w:color w:val="221815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  <w:r>
        <w:rPr>
          <w:rFonts w:ascii="FZBSJW" w:hAnsi="FZBSJW" w:eastAsia="FZBSJW"/>
          <w:b w:val="0"/>
          <w:i w:val="0"/>
          <w:color w:val="221815"/>
          <w:sz w:val="21"/>
        </w:rPr>
        <w:t>，…，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n</w:t>
      </w:r>
      <w:r>
        <w:rPr>
          <w:rFonts w:ascii="FZBSJW" w:hAnsi="FZBSJW" w:eastAsia="FZBSJW"/>
          <w:b w:val="0"/>
          <w:i w:val="0"/>
          <w:color w:val="221815"/>
          <w:sz w:val="21"/>
        </w:rPr>
        <w:t>）的隶属度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ij</w:t>
      </w:r>
      <w:r>
        <w:rPr>
          <w:rFonts w:ascii="FZBSJW" w:hAnsi="FZBSJW" w:eastAsia="FZBSJW"/>
          <w:b w:val="0"/>
          <w:i w:val="0"/>
          <w:color w:val="221815"/>
          <w:sz w:val="21"/>
        </w:rPr>
        <w:t>，从而得</w:t>
      </w:r>
      <w:r>
        <w:rPr>
          <w:rFonts w:ascii="FZBSJW" w:hAnsi="FZBSJW" w:eastAsia="FZBSJW"/>
          <w:b w:val="0"/>
          <w:i w:val="0"/>
          <w:color w:val="221815"/>
          <w:sz w:val="21"/>
        </w:rPr>
        <w:t>出第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个因素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的单因素评判集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ij</w:t>
      </w:r>
      <w:r>
        <w:rPr>
          <w:rFonts w:ascii="FZBSJW" w:hAnsi="FZBSJW" w:eastAsia="FZBSJW"/>
          <w:b w:val="0"/>
          <w:i w:val="0"/>
          <w:color w:val="221815"/>
          <w:sz w:val="21"/>
        </w:rPr>
        <w:t>，即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ij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={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i1</w:t>
      </w:r>
      <w:r>
        <w:rPr>
          <w:rFonts w:ascii="FZBSJW" w:hAnsi="FZBSJW" w:eastAsia="FZBSJW"/>
          <w:b w:val="0"/>
          <w:i w:val="0"/>
          <w:color w:val="221815"/>
          <w:sz w:val="21"/>
        </w:rPr>
        <w:t>，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i2</w:t>
      </w:r>
      <w:r>
        <w:rPr>
          <w:rFonts w:ascii="FZBSJW" w:hAnsi="FZBSJW" w:eastAsia="FZBSJW"/>
          <w:b w:val="0"/>
          <w:i w:val="0"/>
          <w:color w:val="221815"/>
          <w:sz w:val="21"/>
        </w:rPr>
        <w:t>，…，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in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ij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}</w:t>
      </w:r>
      <w:r>
        <w:rPr>
          <w:rFonts w:ascii="FZBSJW" w:hAnsi="FZBSJW" w:eastAsia="FZBSJW"/>
          <w:b w:val="0"/>
          <w:i w:val="0"/>
          <w:color w:val="221815"/>
          <w:sz w:val="21"/>
        </w:rPr>
        <w:t>是选择评语集合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V</w:t>
      </w:r>
      <w:r>
        <w:rPr>
          <w:rFonts w:ascii="FZBSJW" w:hAnsi="FZBSJW" w:eastAsia="FZBSJW"/>
          <w:b w:val="0"/>
          <w:i w:val="0"/>
          <w:color w:val="221815"/>
          <w:sz w:val="21"/>
        </w:rPr>
        <w:t>上的一个模糊子集。基于此</w:t>
      </w:r>
      <w:r>
        <w:rPr>
          <w:rFonts w:ascii="FZBSJW" w:hAnsi="FZBSJW" w:eastAsia="FZBSJW"/>
          <w:b w:val="0"/>
          <w:i w:val="0"/>
          <w:color w:val="221815"/>
          <w:sz w:val="21"/>
        </w:rPr>
        <w:t>得到由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m</w:t>
      </w:r>
      <w:r>
        <w:rPr>
          <w:rFonts w:ascii="FZBSJW" w:hAnsi="FZBSJW" w:eastAsia="FZBSJW"/>
          <w:b w:val="0"/>
          <w:i w:val="0"/>
          <w:color w:val="221815"/>
          <w:sz w:val="21"/>
        </w:rPr>
        <w:t>个聚焦因素的评价集构建而成的总评价矩阵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rFonts w:ascii="FZBSJW" w:hAnsi="FZBSJW" w:eastAsia="FZBSJW"/>
          <w:b w:val="0"/>
          <w:i w:val="0"/>
          <w:color w:val="221815"/>
          <w:sz w:val="21"/>
        </w:rPr>
        <w:t>如下所示：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753"/>
        <w:gridCol w:w="1753"/>
        <w:gridCol w:w="1753"/>
        <w:gridCol w:w="1753"/>
        <w:gridCol w:w="1753"/>
        <w:gridCol w:w="1753"/>
      </w:tblGrid>
      <w:tr>
        <w:trPr>
          <w:trHeight w:hRule="exact" w:val="458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8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 xml:space="preserve"> = 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33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4" w:after="0"/>
              <w:ind w:left="4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r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11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4" w:after="0"/>
              <w:ind w:left="0" w:right="7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r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1n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800" cy="533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54" w:after="0"/>
              <w:ind w:left="0" w:right="66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）</w:t>
            </w:r>
          </w:p>
        </w:tc>
      </w:tr>
      <w:tr>
        <w:trPr>
          <w:trHeight w:hRule="exact" w:val="43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56" w:after="0"/>
              <w:ind w:left="2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r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m1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56" w:after="0"/>
              <w:ind w:left="0" w:right="5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r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mn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4" w:after="0"/>
        <w:ind w:left="508" w:right="138" w:firstLine="418"/>
        <w:jc w:val="both"/>
      </w:pP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rFonts w:ascii="FZBSJW" w:hAnsi="FZBSJW" w:eastAsia="FZBSJW"/>
          <w:b w:val="0"/>
          <w:i w:val="0"/>
          <w:color w:val="221815"/>
          <w:sz w:val="21"/>
        </w:rPr>
        <w:t>即是着眼因素论域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rFonts w:ascii="FZBSJW" w:hAnsi="FZBSJW" w:eastAsia="FZBSJW"/>
          <w:b w:val="0"/>
          <w:i w:val="0"/>
          <w:color w:val="221815"/>
          <w:sz w:val="21"/>
        </w:rPr>
        <w:t>到抉择评语论域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V</w:t>
      </w:r>
      <w:r>
        <w:rPr>
          <w:rFonts w:ascii="FZBSJW" w:hAnsi="FZBSJW" w:eastAsia="FZBSJW"/>
          <w:b w:val="0"/>
          <w:i w:val="0"/>
          <w:color w:val="221815"/>
          <w:sz w:val="21"/>
        </w:rPr>
        <w:t>的一个模</w:t>
      </w:r>
      <w:r>
        <w:rPr>
          <w:rFonts w:ascii="FZBSJW" w:hAnsi="FZBSJW" w:eastAsia="FZBSJW"/>
          <w:b w:val="0"/>
          <w:i w:val="0"/>
          <w:color w:val="221815"/>
          <w:sz w:val="21"/>
        </w:rPr>
        <w:t>糊关系，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R</w:t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，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v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j</w:t>
      </w:r>
      <w:r>
        <w:rPr>
          <w:rFonts w:ascii="FZBSJW" w:hAnsi="FZBSJW" w:eastAsia="FZBSJW"/>
          <w:b w:val="0"/>
          <w:i w:val="0"/>
          <w:color w:val="221815"/>
          <w:sz w:val="21"/>
        </w:rPr>
        <w:t>）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=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ij</w:t>
      </w:r>
      <w:r>
        <w:rPr>
          <w:rFonts w:ascii="FZBSJW" w:hAnsi="FZBSJW" w:eastAsia="FZBSJW"/>
          <w:b w:val="0"/>
          <w:i w:val="0"/>
          <w:color w:val="221815"/>
          <w:sz w:val="21"/>
        </w:rPr>
        <w:t>表示因素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对抉择等级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v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j</w:t>
      </w:r>
      <w:r>
        <w:rPr>
          <w:rFonts w:ascii="FZBSJW" w:hAnsi="FZBSJW" w:eastAsia="FZBSJW"/>
          <w:b w:val="0"/>
          <w:i w:val="0"/>
          <w:color w:val="221815"/>
          <w:sz w:val="21"/>
        </w:rPr>
        <w:t>的隶</w:t>
      </w:r>
      <w:r>
        <w:rPr>
          <w:rFonts w:ascii="FZBSJW" w:hAnsi="FZBSJW" w:eastAsia="FZBSJW"/>
          <w:b w:val="0"/>
          <w:i w:val="0"/>
          <w:color w:val="221815"/>
          <w:sz w:val="21"/>
        </w:rPr>
        <w:t>属度。</w:t>
      </w:r>
    </w:p>
    <w:p>
      <w:pPr>
        <w:autoSpaceDN w:val="0"/>
        <w:tabs>
          <w:tab w:pos="926" w:val="left"/>
        </w:tabs>
        <w:autoSpaceDE w:val="0"/>
        <w:widowControl/>
        <w:spacing w:line="245" w:lineRule="auto" w:before="80" w:after="0"/>
        <w:ind w:left="508" w:right="0" w:firstLine="0"/>
        <w:jc w:val="left"/>
      </w:pP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评价的着眼点可以看作是一个模糊的子集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rFonts w:ascii="FZBSJW" w:hAnsi="FZBSJW" w:eastAsia="FZBSJW"/>
          <w:b w:val="0"/>
          <w:i w:val="0"/>
          <w:color w:val="221815"/>
          <w:sz w:val="21"/>
        </w:rPr>
        <w:t>，在</w:t>
      </w:r>
      <w:r>
        <w:rPr>
          <w:rFonts w:ascii="FZBSJW" w:hAnsi="FZBSJW" w:eastAsia="FZBSJW"/>
          <w:b w:val="0"/>
          <w:i w:val="0"/>
          <w:color w:val="221815"/>
          <w:sz w:val="21"/>
        </w:rPr>
        <w:t>聚焦因素论域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rFonts w:ascii="FZBSJW" w:hAnsi="FZBSJW" w:eastAsia="FZBSJW"/>
          <w:b w:val="0"/>
          <w:i w:val="0"/>
          <w:color w:val="221815"/>
          <w:sz w:val="21"/>
        </w:rPr>
        <w:t>上，记作</w:t>
      </w:r>
    </w:p>
    <w:p>
      <w:pPr>
        <w:autoSpaceDN w:val="0"/>
        <w:tabs>
          <w:tab w:pos="2546" w:val="left"/>
          <w:tab w:pos="2762" w:val="left"/>
          <w:tab w:pos="2912" w:val="left"/>
          <w:tab w:pos="3126" w:val="left"/>
          <w:tab w:pos="3278" w:val="left"/>
          <w:tab w:pos="3508" w:val="left"/>
          <w:tab w:pos="3656" w:val="left"/>
          <w:tab w:pos="4830" w:val="left"/>
        </w:tabs>
        <w:autoSpaceDE w:val="0"/>
        <w:widowControl/>
        <w:spacing w:line="398" w:lineRule="auto" w:before="80" w:after="0"/>
        <w:ind w:left="2190" w:right="0" w:firstLine="0"/>
        <w:jc w:val="left"/>
      </w:pP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 = 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 xml:space="preserve">1 </w:t>
      </w:r>
      <w:r>
        <w:tab/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  <w:u w:val="single"/>
        </w:rPr>
        <w:t xml:space="preserve">1 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+ 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  <w:u w:val="single"/>
        </w:rPr>
        <w:t xml:space="preserve">2 </w:t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221815"/>
          <w:sz w:val="21"/>
          <w:u w:val="single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 xml:space="preserve">2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+</w:t>
      </w:r>
      <w:r>
        <w:rPr>
          <w:rFonts w:ascii="FZBSJW" w:hAnsi="FZBSJW" w:eastAsia="FZBSJW"/>
          <w:b w:val="0"/>
          <w:i w:val="0"/>
          <w:color w:val="221815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+ 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  <w:u w:val="single"/>
        </w:rPr>
        <w:t xml:space="preserve">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221815"/>
          <w:sz w:val="21"/>
          <w:u w:val="single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</w:t>
      </w:r>
      <w:r>
        <w:rPr>
          <w:rFonts w:ascii="FZBSJW" w:hAnsi="FZBSJW" w:eastAsia="FZBSJW"/>
          <w:b w:val="0"/>
          <w:i w:val="0"/>
          <w:color w:val="221815"/>
          <w:sz w:val="21"/>
        </w:rPr>
        <w:t>）</w:t>
      </w:r>
    </w:p>
    <w:p>
      <w:pPr>
        <w:autoSpaceDN w:val="0"/>
        <w:tabs>
          <w:tab w:pos="926" w:val="left"/>
        </w:tabs>
        <w:autoSpaceDE w:val="0"/>
        <w:widowControl/>
        <w:spacing w:line="245" w:lineRule="auto" w:before="0" w:after="0"/>
        <w:ind w:left="508" w:right="0" w:firstLine="0"/>
        <w:jc w:val="left"/>
      </w:pP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其中，为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u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为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rFonts w:ascii="FZBSJW" w:hAnsi="FZBSJW" w:eastAsia="FZBSJW"/>
          <w:b w:val="0"/>
          <w:i w:val="0"/>
          <w:color w:val="221815"/>
          <w:sz w:val="21"/>
        </w:rPr>
        <w:t>的隶属度。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rFonts w:ascii="FZBSJW" w:hAnsi="FZBSJW" w:eastAsia="FZBSJW"/>
          <w:b w:val="0"/>
          <w:i w:val="0"/>
          <w:color w:val="221815"/>
          <w:sz w:val="21"/>
        </w:rPr>
        <w:t>值的确定可以通过层</w:t>
      </w:r>
      <w:r>
        <w:rPr>
          <w:rFonts w:ascii="FZBSJW" w:hAnsi="FZBSJW" w:eastAsia="FZBSJW"/>
          <w:b w:val="0"/>
          <w:i w:val="0"/>
          <w:color w:val="221815"/>
          <w:sz w:val="21"/>
        </w:rPr>
        <w:t>次分析法确定。</w:t>
      </w:r>
    </w:p>
    <w:p>
      <w:pPr>
        <w:autoSpaceDN w:val="0"/>
        <w:autoSpaceDE w:val="0"/>
        <w:widowControl/>
        <w:spacing w:line="245" w:lineRule="auto" w:before="80" w:after="0"/>
        <w:ind w:left="508" w:right="0" w:firstLine="418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在确定模糊向量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rFonts w:ascii="FZBSJW" w:hAnsi="FZBSJW" w:eastAsia="FZBSJW"/>
          <w:b w:val="0"/>
          <w:i w:val="0"/>
          <w:color w:val="221815"/>
          <w:sz w:val="21"/>
        </w:rPr>
        <w:t>和模糊关系矩阵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rFonts w:ascii="FZBSJW" w:hAnsi="FZBSJW" w:eastAsia="FZBSJW"/>
          <w:b w:val="0"/>
          <w:i w:val="0"/>
          <w:color w:val="221815"/>
          <w:sz w:val="21"/>
        </w:rPr>
        <w:t>后，可以对</w:t>
      </w:r>
      <w:r>
        <w:rPr>
          <w:rFonts w:ascii="FZBSJW" w:hAnsi="FZBSJW" w:eastAsia="FZBSJW"/>
          <w:b w:val="0"/>
          <w:i w:val="0"/>
          <w:color w:val="221815"/>
          <w:sz w:val="21"/>
        </w:rPr>
        <w:t>两者做模糊变换来进行综合评价，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N</w:t>
      </w:r>
      <w:r>
        <w:rPr>
          <w:rFonts w:ascii="FZBSJW" w:hAnsi="FZBSJW" w:eastAsia="FZBSJW"/>
          <w:b w:val="0"/>
          <w:i w:val="0"/>
          <w:color w:val="221815"/>
          <w:sz w:val="21"/>
        </w:rPr>
        <w:t>表示该项目最终</w:t>
      </w:r>
    </w:p>
    <w:p>
      <w:pPr>
        <w:sectPr>
          <w:type w:val="continuous"/>
          <w:pgSz w:w="11906" w:h="16838"/>
          <w:pgMar w:top="526" w:right="990" w:bottom="168" w:left="400" w:header="720" w:footer="720" w:gutter="0"/>
          <w:cols w:num="2" w:equalWidth="0">
            <w:col w:w="5492" w:space="0"/>
            <w:col w:w="5023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146" w:right="30" w:firstLine="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的下一层指标层风险因素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P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，…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P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n</w:t>
      </w:r>
      <w:r>
        <w:rPr>
          <w:rFonts w:ascii="FZBSJW" w:hAnsi="FZBSJW" w:eastAsia="FZBSJW"/>
          <w:b w:val="0"/>
          <w:i w:val="0"/>
          <w:color w:val="221815"/>
          <w:sz w:val="21"/>
        </w:rPr>
        <w:t>通过专家采用表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所示值对各风险因素进行两两比较赋予分值。其他的</w:t>
      </w:r>
      <w:r>
        <w:rPr>
          <w:rFonts w:ascii="FZBSJW" w:hAnsi="FZBSJW" w:eastAsia="FZBSJW"/>
          <w:b w:val="0"/>
          <w:i w:val="0"/>
          <w:color w:val="221815"/>
          <w:sz w:val="21"/>
        </w:rPr>
        <w:t>准则层元素采用同样的方法构造判断矩阵。在风险评</w:t>
      </w:r>
      <w:r>
        <w:rPr>
          <w:rFonts w:ascii="FZBSJW" w:hAnsi="FZBSJW" w:eastAsia="FZBSJW"/>
          <w:b w:val="0"/>
          <w:i w:val="0"/>
          <w:color w:val="221815"/>
          <w:sz w:val="21"/>
        </w:rPr>
        <w:t>价模型中采用以下基本假定：风险的分值为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1~9</w:t>
      </w:r>
      <w:r>
        <w:rPr>
          <w:rFonts w:ascii="FZBSJW" w:hAnsi="FZBSJW" w:eastAsia="FZBSJW"/>
          <w:b w:val="0"/>
          <w:i w:val="0"/>
          <w:color w:val="221815"/>
          <w:sz w:val="21"/>
        </w:rPr>
        <w:t>共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9</w:t>
      </w:r>
      <w:r>
        <w:rPr>
          <w:rFonts w:ascii="FZBSJW" w:hAnsi="FZBSJW" w:eastAsia="FZBSJW"/>
          <w:b w:val="0"/>
          <w:i w:val="0"/>
          <w:color w:val="221815"/>
          <w:sz w:val="21"/>
        </w:rPr>
        <w:t>个</w:t>
      </w:r>
      <w:r>
        <w:rPr>
          <w:rFonts w:ascii="FZBSJW" w:hAnsi="FZBSJW" w:eastAsia="FZBSJW"/>
          <w:b w:val="0"/>
          <w:i w:val="0"/>
          <w:color w:val="221815"/>
          <w:sz w:val="21"/>
        </w:rPr>
        <w:t>标度，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表示两个风险因素相对重要性程度相同，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9</w:t>
      </w:r>
      <w:r>
        <w:rPr>
          <w:rFonts w:ascii="FZBSJW" w:hAnsi="FZBSJW" w:eastAsia="FZBSJW"/>
          <w:b w:val="0"/>
          <w:i w:val="0"/>
          <w:color w:val="221815"/>
          <w:sz w:val="21"/>
        </w:rPr>
        <w:t>表</w:t>
      </w:r>
      <w:r>
        <w:rPr>
          <w:rFonts w:ascii="FZBSJW" w:hAnsi="FZBSJW" w:eastAsia="FZBSJW"/>
          <w:b w:val="0"/>
          <w:i w:val="0"/>
          <w:color w:val="221815"/>
          <w:sz w:val="21"/>
        </w:rPr>
        <w:t>示两者之间的相对重要性成都差异最大，其他值根据</w:t>
      </w:r>
      <w:r>
        <w:rPr>
          <w:rFonts w:ascii="FZBSJW" w:hAnsi="FZBSJW" w:eastAsia="FZBSJW"/>
          <w:b w:val="0"/>
          <w:i w:val="0"/>
          <w:color w:val="221815"/>
          <w:sz w:val="21"/>
        </w:rPr>
        <w:t>实际情况介于这两个值中间。这样经过专家评分可以</w:t>
      </w:r>
      <w:r>
        <w:rPr>
          <w:rFonts w:ascii="FZBSJW" w:hAnsi="FZBSJW" w:eastAsia="FZBSJW"/>
          <w:b w:val="0"/>
          <w:i w:val="0"/>
          <w:color w:val="221815"/>
          <w:sz w:val="21"/>
        </w:rPr>
        <w:t>构造得到若干判断矩阵。</w:t>
      </w:r>
    </w:p>
    <w:p>
      <w:pPr>
        <w:autoSpaceDN w:val="0"/>
        <w:autoSpaceDE w:val="0"/>
        <w:widowControl/>
        <w:spacing w:line="185" w:lineRule="auto" w:before="140" w:after="70"/>
        <w:ind w:left="0" w:right="1458" w:firstLine="0"/>
        <w:jc w:val="right"/>
      </w:pPr>
      <w:r>
        <w:rPr>
          <w:rFonts w:ascii="FZHTJW" w:hAnsi="FZHTJW" w:eastAsia="FZHTJW"/>
          <w:b w:val="0"/>
          <w:i w:val="0"/>
          <w:color w:val="221815"/>
          <w:sz w:val="19"/>
        </w:rPr>
        <w:t>表</w:t>
      </w:r>
      <w:r>
        <w:rPr>
          <w:rFonts w:ascii="TimesNewRomanPS" w:hAnsi="TimesNewRomanPS" w:eastAsia="TimesNewRomanPS"/>
          <w:b/>
          <w:i w:val="0"/>
          <w:color w:val="221815"/>
          <w:sz w:val="19"/>
        </w:rPr>
        <w:t xml:space="preserve">1 </w:t>
      </w:r>
      <w:r>
        <w:rPr>
          <w:rFonts w:ascii="FZHTJW" w:hAnsi="FZHTJW" w:eastAsia="FZHTJW"/>
          <w:b w:val="0"/>
          <w:i w:val="0"/>
          <w:color w:val="221815"/>
          <w:sz w:val="19"/>
        </w:rPr>
        <w:t>风险权重评价分值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1" w:type="dxa"/>
      </w:tblPr>
      <w:tblGrid>
        <w:gridCol w:w="5258"/>
        <w:gridCol w:w="5258"/>
      </w:tblGrid>
      <w:tr>
        <w:trPr>
          <w:trHeight w:hRule="exact" w:val="300"/>
        </w:trPr>
        <w:tc>
          <w:tcPr>
            <w:tcW w:type="dxa" w:w="742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标度</w:t>
            </w:r>
          </w:p>
        </w:tc>
        <w:tc>
          <w:tcPr>
            <w:tcW w:type="dxa" w:w="4124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含义</w:t>
            </w:r>
          </w:p>
        </w:tc>
      </w:tr>
      <w:tr>
        <w:trPr>
          <w:trHeight w:hRule="exact" w:val="1812"/>
        </w:trPr>
        <w:tc>
          <w:tcPr>
            <w:tcW w:type="dxa" w:w="742"/>
            <w:tcBorders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4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6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8</w:t>
            </w:r>
          </w:p>
        </w:tc>
        <w:tc>
          <w:tcPr>
            <w:tcW w:type="dxa" w:w="4124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6" w:after="0"/>
              <w:ind w:left="52" w:right="1152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表示两个元素相比，具有同样重要性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表示两个元素相比，前者比后者稍重要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表示两个元素相比，前者比后者强烈重要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表示两个元素相比，前者比后者强烈重要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表示两个元素相比，前者比后者极端重要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表示上述相邻判断的中间值</w:t>
            </w:r>
          </w:p>
        </w:tc>
      </w:tr>
      <w:tr>
        <w:trPr>
          <w:trHeight w:hRule="exact" w:val="466"/>
        </w:trPr>
        <w:tc>
          <w:tcPr>
            <w:tcW w:type="dxa" w:w="742"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倒数</w:t>
            </w:r>
          </w:p>
        </w:tc>
        <w:tc>
          <w:tcPr>
            <w:tcW w:type="dxa" w:w="4124"/>
            <w:tcBorders>
              <w:start w:sz="3.9679999351501465" w:val="single" w:color="#221815"/>
              <w:top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2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若元素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i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与元素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j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的重要性之比为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a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ij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，那么元素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j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与元素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i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的重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要性之比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1/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a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ij</w:t>
            </w:r>
          </w:p>
        </w:tc>
      </w:tr>
    </w:tbl>
    <w:p>
      <w:pPr>
        <w:autoSpaceDN w:val="0"/>
        <w:autoSpaceDE w:val="0"/>
        <w:widowControl/>
        <w:spacing w:line="245" w:lineRule="auto" w:before="140" w:after="22"/>
        <w:ind w:left="146" w:right="30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在确定判断矩阵后，需要对该矩阵的几何平均</w:t>
      </w:r>
      <w:r>
        <w:rPr>
          <w:rFonts w:ascii="FZBSJW" w:hAnsi="FZBSJW" w:eastAsia="FZBSJW"/>
          <w:b w:val="0"/>
          <w:i w:val="0"/>
          <w:color w:val="221815"/>
          <w:sz w:val="21"/>
        </w:rPr>
        <w:t>值、相对权重以及最大特征值进行求解。根据判断矩</w:t>
      </w:r>
      <w:r>
        <w:rPr>
          <w:rFonts w:ascii="FZBSJW" w:hAnsi="FZBSJW" w:eastAsia="FZBSJW"/>
          <w:b w:val="0"/>
          <w:i w:val="0"/>
          <w:color w:val="221815"/>
          <w:sz w:val="21"/>
        </w:rPr>
        <w:t>阵的特点，运用方根法，采用下列公式确定几何平均</w:t>
      </w:r>
      <w:r>
        <w:rPr>
          <w:rFonts w:ascii="FZBSJW" w:hAnsi="FZBSJW" w:eastAsia="FZBSJW"/>
          <w:b w:val="0"/>
          <w:i w:val="0"/>
          <w:color w:val="221815"/>
          <w:sz w:val="21"/>
        </w:rPr>
        <w:t>值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M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、相对权重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β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、对相对权重进行归一化处理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W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i</w:t>
      </w:r>
      <w:r>
        <w:rPr>
          <w:rFonts w:ascii="FZBSJW" w:hAnsi="FZBSJW" w:eastAsia="FZBSJW"/>
          <w:b w:val="0"/>
          <w:i w:val="0"/>
          <w:color w:val="221815"/>
          <w:sz w:val="21"/>
        </w:rPr>
        <w:t>及</w:t>
      </w:r>
      <w:r>
        <w:rPr>
          <w:rFonts w:ascii="FZBSJW" w:hAnsi="FZBSJW" w:eastAsia="FZBSJW"/>
          <w:b w:val="0"/>
          <w:i w:val="0"/>
          <w:color w:val="221815"/>
          <w:sz w:val="21"/>
        </w:rPr>
        <w:t>最大特征值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λ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max</w:t>
      </w:r>
      <w:r>
        <w:rPr>
          <w:rFonts w:ascii="FZBSJW" w:hAnsi="FZBSJW" w:eastAsia="FZBSJW"/>
          <w:b w:val="0"/>
          <w:i w:val="0"/>
          <w:color w:val="221815"/>
          <w:sz w:val="21"/>
        </w:rPr>
        <w:t>并进行一致性检验。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7.9999999999995" w:type="dxa"/>
      </w:tblPr>
      <w:tblGrid>
        <w:gridCol w:w="5258"/>
        <w:gridCol w:w="5258"/>
      </w:tblGrid>
      <w:tr>
        <w:trPr>
          <w:trHeight w:hRule="exact" w:val="119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2" w:val="left"/>
              </w:tabs>
              <w:autoSpaceDE w:val="0"/>
              <w:widowControl/>
              <w:spacing w:line="245" w:lineRule="auto" w:before="22" w:after="0"/>
              <w:ind w:left="1070" w:right="576" w:firstLine="0"/>
              <w:jc w:val="left"/>
            </w:pPr>
            <w:r>
              <w:tab/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n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 xml:space="preserve"> M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 xml:space="preserve"> =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Π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 xml:space="preserve">j 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a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 xml:space="preserve">ij 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0" w:right="1148" w:firstLine="0"/>
              <w:jc w:val="right"/>
            </w:pPr>
            <w:r>
              <w:rPr>
                <w:w w:val="101.82999769846599"/>
                <w:rFonts w:ascii="TimesNewRomanPS" w:hAnsi="TimesNewRomanPS" w:eastAsia="TimesNewRomanPS"/>
                <w:b w:val="0"/>
                <w:i/>
                <w:color w:val="221815"/>
                <w:sz w:val="12"/>
              </w:rPr>
              <w:t>n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0" w:right="87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 xml:space="preserve"> β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 xml:space="preserve"> = 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M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i</w:t>
            </w:r>
          </w:p>
          <w:p>
            <w:pPr>
              <w:autoSpaceDN w:val="0"/>
              <w:autoSpaceDE w:val="0"/>
              <w:widowControl/>
              <w:spacing w:line="401" w:lineRule="auto" w:before="6" w:after="0"/>
              <w:ind w:left="0" w:right="80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 xml:space="preserve"> W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i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 xml:space="preserve">= 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β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i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Σ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β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14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7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）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8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）</w:t>
            </w:r>
          </w:p>
          <w:p>
            <w:pPr>
              <w:autoSpaceDN w:val="0"/>
              <w:autoSpaceDE w:val="0"/>
              <w:widowControl/>
              <w:spacing w:line="190" w:lineRule="auto" w:before="180" w:after="0"/>
              <w:ind w:left="0" w:right="14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9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85" w:lineRule="auto" w:before="10" w:after="40"/>
        <w:ind w:left="566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最大特征根：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7.9999999999995" w:type="dxa"/>
      </w:tblPr>
      <w:tblGrid>
        <w:gridCol w:w="5258"/>
        <w:gridCol w:w="5258"/>
      </w:tblGrid>
      <w:tr>
        <w:trPr>
          <w:trHeight w:hRule="exact" w:val="584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" w:after="0"/>
              <w:ind w:left="0" w:right="420" w:firstLine="0"/>
              <w:jc w:val="right"/>
            </w:pP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(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AW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)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i</w:t>
            </w:r>
          </w:p>
          <w:p>
            <w:pPr>
              <w:autoSpaceDN w:val="0"/>
              <w:autoSpaceDE w:val="0"/>
              <w:widowControl/>
              <w:spacing w:line="319" w:lineRule="auto" w:before="0" w:after="0"/>
              <w:ind w:left="0" w:right="49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 xml:space="preserve"> λ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max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 xml:space="preserve"> =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Σ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1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 xml:space="preserve"> nW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i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6" w:after="0"/>
              <w:ind w:left="0" w:right="14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10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85" w:lineRule="auto" w:before="2" w:after="0"/>
        <w:ind w:left="566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一致性指标：</w:t>
      </w:r>
    </w:p>
    <w:p>
      <w:pPr>
        <w:autoSpaceDN w:val="0"/>
        <w:tabs>
          <w:tab w:pos="2602" w:val="left"/>
          <w:tab w:pos="4372" w:val="left"/>
        </w:tabs>
        <w:autoSpaceDE w:val="0"/>
        <w:widowControl/>
        <w:spacing w:line="394" w:lineRule="auto" w:before="78" w:after="0"/>
        <w:ind w:left="2138" w:right="0" w:firstLine="0"/>
        <w:jc w:val="left"/>
      </w:pPr>
      <w:r>
        <w:rPr>
          <w:rFonts w:ascii="TimesNewRomanPS" w:hAnsi="TimesNewRomanPS" w:eastAsia="TimesNewRomanPS"/>
          <w:b w:val="0"/>
          <w:i/>
          <w:color w:val="221815"/>
          <w:sz w:val="21"/>
        </w:rPr>
        <w:t xml:space="preserve"> CI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 =</w:t>
      </w:r>
      <w:r>
        <w:rPr>
          <w:rFonts w:ascii="TimesNewRomanPSMT" w:hAnsi="TimesNewRomanPSMT" w:eastAsia="TimesNewRomanPSMT"/>
          <w:b w:val="0"/>
          <w:i w:val="0"/>
          <w:strike/>
          <w:color w:val="221815"/>
          <w:sz w:val="21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221815"/>
          <w:sz w:val="21"/>
        </w:rPr>
        <w:t>n</w:t>
      </w:r>
      <w:r>
        <w:rPr>
          <w:rFonts w:ascii="TimesNewRomanPSMT" w:hAnsi="TimesNewRomanPSMT" w:eastAsia="TimesNewRomanPSMT"/>
          <w:b w:val="0"/>
          <w:i w:val="0"/>
          <w:strike/>
          <w:color w:val="221815"/>
          <w:sz w:val="21"/>
        </w:rPr>
        <w:t>-1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λ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  <w:u w:val="single"/>
        </w:rPr>
        <w:t>max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n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11</w:t>
      </w:r>
      <w:r>
        <w:rPr>
          <w:rFonts w:ascii="FZBSJW" w:hAnsi="FZBSJW" w:eastAsia="FZBSJW"/>
          <w:b w:val="0"/>
          <w:i w:val="0"/>
          <w:color w:val="221815"/>
          <w:sz w:val="21"/>
        </w:rPr>
        <w:t>）</w:t>
      </w:r>
    </w:p>
    <w:p>
      <w:pPr>
        <w:autoSpaceDN w:val="0"/>
        <w:autoSpaceDE w:val="0"/>
        <w:widowControl/>
        <w:spacing w:line="245" w:lineRule="auto" w:before="26" w:after="42"/>
        <w:ind w:left="146" w:right="30" w:firstLine="420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引入避免判断矩阵偏离一致性的平均随机一致性</w:t>
      </w:r>
      <w:r>
        <w:rPr>
          <w:rFonts w:ascii="FZBSJW" w:hAnsi="FZBSJW" w:eastAsia="FZBSJW"/>
          <w:b w:val="0"/>
          <w:i w:val="0"/>
          <w:color w:val="221815"/>
          <w:sz w:val="21"/>
        </w:rPr>
        <w:t>指标值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RI</w:t>
      </w:r>
      <w:r>
        <w:rPr>
          <w:rFonts w:ascii="FZBSJW" w:hAnsi="FZBSJW" w:eastAsia="FZBSJW"/>
          <w:b w:val="0"/>
          <w:i w:val="0"/>
          <w:color w:val="221815"/>
          <w:sz w:val="21"/>
        </w:rPr>
        <w:t>。根据表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  <w:r>
        <w:rPr>
          <w:rFonts w:ascii="FZBSJW" w:hAnsi="FZBSJW" w:eastAsia="FZBSJW"/>
          <w:b w:val="0"/>
          <w:i w:val="0"/>
          <w:color w:val="221815"/>
          <w:sz w:val="21"/>
        </w:rPr>
        <w:t>确定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RI</w:t>
      </w:r>
      <w:r>
        <w:rPr>
          <w:rFonts w:ascii="FZBSJW" w:hAnsi="FZBSJW" w:eastAsia="FZBSJW"/>
          <w:b w:val="0"/>
          <w:i w:val="0"/>
          <w:color w:val="221815"/>
          <w:sz w:val="21"/>
        </w:rPr>
        <w:t>值，随机一致性比率采用</w:t>
      </w:r>
      <w:r>
        <w:rPr>
          <w:rFonts w:ascii="FZBSJW" w:hAnsi="FZBSJW" w:eastAsia="FZBSJW"/>
          <w:b w:val="0"/>
          <w:i w:val="0"/>
          <w:color w:val="221815"/>
          <w:sz w:val="21"/>
        </w:rPr>
        <w:t>式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CR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=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CI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/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RI</w:t>
      </w:r>
      <w:r>
        <w:rPr>
          <w:rFonts w:ascii="FZBSJW" w:hAnsi="FZBSJW" w:eastAsia="FZBSJW"/>
          <w:b w:val="0"/>
          <w:i w:val="0"/>
          <w:color w:val="221815"/>
          <w:sz w:val="21"/>
        </w:rPr>
        <w:t>计算。</w:t>
      </w:r>
    </w:p>
    <w:p>
      <w:pPr>
        <w:sectPr>
          <w:type w:val="nextColumn"/>
          <w:pgSz w:w="11906" w:h="16838"/>
          <w:pgMar w:top="526" w:right="990" w:bottom="168" w:left="400" w:header="720" w:footer="720" w:gutter="0"/>
          <w:cols w:num="2" w:equalWidth="0">
            <w:col w:w="5492" w:space="0"/>
            <w:col w:w="50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629"/>
        <w:gridCol w:w="2629"/>
        <w:gridCol w:w="2629"/>
        <w:gridCol w:w="2629"/>
      </w:tblGrid>
      <w:tr>
        <w:trPr>
          <w:trHeight w:hRule="exact" w:val="312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得分。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10" w:after="0"/>
              <w:ind w:left="32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 xml:space="preserve"> 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=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A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×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=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（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b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,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b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,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…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b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>n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）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14" w:after="0"/>
              <w:ind w:left="0" w:right="126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5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）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578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在满足判断矩阵的一致性要求时，随机一致性比</w:t>
            </w:r>
          </w:p>
        </w:tc>
      </w:tr>
      <w:tr>
        <w:trPr>
          <w:trHeight w:hRule="exact" w:val="260"/>
        </w:trPr>
        <w:tc>
          <w:tcPr>
            <w:tcW w:type="dxa" w:w="2629"/>
            <w:vMerge/>
            <w:tcBorders/>
          </w:tcPr>
          <w:p/>
        </w:tc>
        <w:tc>
          <w:tcPr>
            <w:tcW w:type="dxa" w:w="2629"/>
            <w:vMerge/>
            <w:tcBorders/>
          </w:tcPr>
          <w:p/>
        </w:tc>
        <w:tc>
          <w:tcPr>
            <w:tcW w:type="dxa" w:w="2629"/>
            <w:vMerge/>
            <w:tcBorders/>
          </w:tcPr>
          <w:p/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158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率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CR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&lt;0.10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，否则判断矩阵需要重新调整，直到它的</w:t>
            </w:r>
          </w:p>
        </w:tc>
      </w:tr>
      <w:tr>
        <w:trPr>
          <w:trHeight w:hRule="exact" w:val="70"/>
        </w:trPr>
        <w:tc>
          <w:tcPr>
            <w:tcW w:type="dxa" w:w="2629"/>
            <w:vMerge/>
            <w:tcBorders/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0" w:after="0"/>
              <w:ind w:left="0" w:right="120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 xml:space="preserve"> 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=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·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21"/>
              </w:rPr>
              <w:t>V</w:t>
            </w:r>
            <w:r>
              <w:rPr>
                <w:w w:val="101.82999769846599"/>
                <w:rFonts w:ascii="TimesNewRomanPSMT" w:hAnsi="TimesNewRomanPSMT" w:eastAsia="TimesNewRomanPSMT"/>
                <w:b w:val="0"/>
                <w:i w:val="0"/>
                <w:color w:val="221815"/>
                <w:sz w:val="12"/>
              </w:rPr>
              <w:t xml:space="preserve">T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2" w:after="0"/>
              <w:ind w:left="0" w:right="126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21"/>
              </w:rPr>
              <w:t>6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）</w:t>
            </w:r>
          </w:p>
        </w:tc>
        <w:tc>
          <w:tcPr>
            <w:tcW w:type="dxa" w:w="2629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2629"/>
            <w:vMerge/>
            <w:tcBorders/>
          </w:tcPr>
          <w:p/>
        </w:tc>
        <w:tc>
          <w:tcPr>
            <w:tcW w:type="dxa" w:w="2629"/>
            <w:vMerge/>
            <w:tcBorders/>
          </w:tcPr>
          <w:p/>
        </w:tc>
        <w:tc>
          <w:tcPr>
            <w:tcW w:type="dxa" w:w="2629"/>
            <w:vMerge/>
            <w:tcBorders/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158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21"/>
              </w:rPr>
              <w:t>一致性满足为止。</w:t>
            </w:r>
          </w:p>
        </w:tc>
      </w:tr>
    </w:tbl>
    <w:p>
      <w:pPr>
        <w:autoSpaceDN w:val="0"/>
        <w:autoSpaceDE w:val="0"/>
        <w:widowControl/>
        <w:spacing w:line="204" w:lineRule="auto" w:before="236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221815"/>
          <w:sz w:val="20"/>
        </w:rPr>
        <w:t>·</w:t>
      </w:r>
      <w:r>
        <w:rPr>
          <w:rFonts w:ascii="TimesNewRomanPSMT" w:hAnsi="TimesNewRomanPSMT" w:eastAsia="TimesNewRomanPSMT"/>
          <w:b w:val="0"/>
          <w:i w:val="0"/>
          <w:color w:val="221815"/>
          <w:sz w:val="20"/>
        </w:rPr>
        <w:t>142</w:t>
      </w:r>
      <w:r>
        <w:rPr>
          <w:rFonts w:ascii="SimSun" w:hAnsi="SimSun" w:eastAsia="SimSun"/>
          <w:b w:val="0"/>
          <w:i w:val="0"/>
          <w:color w:val="221815"/>
          <w:sz w:val="20"/>
        </w:rPr>
        <w:t xml:space="preserve">· 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26" w:right="99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1475740</wp:posOffset>
            </wp:positionH>
            <wp:positionV relativeFrom="page">
              <wp:posOffset>8511540</wp:posOffset>
            </wp:positionV>
            <wp:extent cx="4408170" cy="152936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15293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9194800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9144000</wp:posOffset>
            </wp:positionV>
            <wp:extent cx="635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9144000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9715500</wp:posOffset>
            </wp:positionV>
            <wp:extent cx="254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9220200</wp:posOffset>
            </wp:positionV>
            <wp:extent cx="25400" cy="25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9220200</wp:posOffset>
            </wp:positionV>
            <wp:extent cx="254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9220200</wp:posOffset>
            </wp:positionV>
            <wp:extent cx="63500" cy="25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9283700</wp:posOffset>
            </wp:positionV>
            <wp:extent cx="25400" cy="508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9283700</wp:posOffset>
            </wp:positionV>
            <wp:extent cx="508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9220200</wp:posOffset>
            </wp:positionV>
            <wp:extent cx="50800" cy="25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8940800</wp:posOffset>
            </wp:positionV>
            <wp:extent cx="50800" cy="254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8991600</wp:posOffset>
            </wp:positionV>
            <wp:extent cx="254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8966200</wp:posOffset>
            </wp:positionV>
            <wp:extent cx="25400" cy="25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9080500</wp:posOffset>
            </wp:positionV>
            <wp:extent cx="25400" cy="25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5314"/>
        <w:gridCol w:w="5314"/>
      </w:tblGrid>
      <w:tr>
        <w:trPr>
          <w:trHeight w:hRule="exact" w:val="422"/>
        </w:trPr>
        <w:tc>
          <w:tcPr>
            <w:tcW w:type="dxa" w:w="4510"/>
            <w:tcBorders>
              <w:top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16" w:after="0"/>
              <w:ind w:left="0" w:right="1464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815"/>
                <w:sz w:val="19"/>
              </w:rPr>
              <w:t>表</w:t>
            </w:r>
            <w:r>
              <w:rPr>
                <w:rFonts w:ascii="TimesNewRomanPS" w:hAnsi="TimesNewRomanPS" w:eastAsia="TimesNewRomanPS"/>
                <w:b/>
                <w:i w:val="0"/>
                <w:color w:val="221815"/>
                <w:sz w:val="19"/>
              </w:rPr>
              <w:t xml:space="preserve">2 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19"/>
              </w:rPr>
              <w:t>样本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9"/>
              </w:rPr>
              <w:t>RI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19"/>
              </w:rPr>
              <w:t>值</w:t>
            </w:r>
          </w:p>
        </w:tc>
        <w:tc>
          <w:tcPr>
            <w:tcW w:type="dxa" w:w="5488"/>
            <w:tcBorders>
              <w:top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0" w:right="866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815"/>
                <w:sz w:val="19"/>
              </w:rPr>
              <w:t>表</w:t>
            </w:r>
            <w:r>
              <w:rPr>
                <w:rFonts w:ascii="TimesNewRomanPS" w:hAnsi="TimesNewRomanPS" w:eastAsia="TimesNewRomanPS"/>
                <w:b/>
                <w:i w:val="0"/>
                <w:color w:val="221815"/>
                <w:sz w:val="19"/>
              </w:rPr>
              <w:t xml:space="preserve">5 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19"/>
              </w:rPr>
              <w:t>既有地表建筑物情况方案层评价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pgSz w:w="11906" w:h="16838"/>
          <w:pgMar w:top="756" w:right="878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74"/>
        </w:trPr>
        <w:tc>
          <w:tcPr>
            <w:tcW w:type="dxa" w:w="548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</w:p>
        </w:tc>
        <w:tc>
          <w:tcPr>
            <w:tcW w:type="dxa" w:w="53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54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</w:p>
        </w:tc>
        <w:tc>
          <w:tcPr>
            <w:tcW w:type="dxa" w:w="54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4</w:t>
            </w:r>
          </w:p>
        </w:tc>
        <w:tc>
          <w:tcPr>
            <w:tcW w:type="dxa" w:w="536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5</w:t>
            </w:r>
          </w:p>
        </w:tc>
        <w:tc>
          <w:tcPr>
            <w:tcW w:type="dxa" w:w="54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6</w:t>
            </w:r>
          </w:p>
        </w:tc>
        <w:tc>
          <w:tcPr>
            <w:tcW w:type="dxa" w:w="54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7</w:t>
            </w:r>
          </w:p>
        </w:tc>
        <w:tc>
          <w:tcPr>
            <w:tcW w:type="dxa" w:w="53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8</w:t>
            </w:r>
          </w:p>
        </w:tc>
        <w:tc>
          <w:tcPr>
            <w:tcW w:type="dxa" w:w="548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9</w:t>
            </w:r>
          </w:p>
        </w:tc>
      </w:tr>
      <w:tr>
        <w:trPr>
          <w:trHeight w:hRule="exact" w:val="274"/>
        </w:trPr>
        <w:tc>
          <w:tcPr>
            <w:tcW w:type="dxa" w:w="548"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0.00</w:t>
            </w:r>
          </w:p>
        </w:tc>
        <w:tc>
          <w:tcPr>
            <w:tcW w:type="dxa" w:w="53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0.00</w:t>
            </w:r>
          </w:p>
        </w:tc>
        <w:tc>
          <w:tcPr>
            <w:tcW w:type="dxa" w:w="5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0.58</w:t>
            </w:r>
          </w:p>
        </w:tc>
        <w:tc>
          <w:tcPr>
            <w:tcW w:type="dxa" w:w="5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0.90</w:t>
            </w:r>
          </w:p>
        </w:tc>
        <w:tc>
          <w:tcPr>
            <w:tcW w:type="dxa" w:w="53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1.12</w:t>
            </w:r>
          </w:p>
        </w:tc>
        <w:tc>
          <w:tcPr>
            <w:tcW w:type="dxa" w:w="5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1.24</w:t>
            </w:r>
          </w:p>
        </w:tc>
        <w:tc>
          <w:tcPr>
            <w:tcW w:type="dxa" w:w="5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1.32</w:t>
            </w:r>
          </w:p>
        </w:tc>
        <w:tc>
          <w:tcPr>
            <w:tcW w:type="dxa" w:w="53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1.41</w:t>
            </w:r>
          </w:p>
        </w:tc>
        <w:tc>
          <w:tcPr>
            <w:tcW w:type="dxa" w:w="548"/>
            <w:tcBorders>
              <w:start w:sz="3.9679999351501465" w:val="single" w:color="#221815"/>
              <w:top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1.45</w:t>
            </w:r>
          </w:p>
        </w:tc>
      </w:tr>
    </w:tbl>
    <w:p>
      <w:pPr>
        <w:autoSpaceDN w:val="0"/>
        <w:autoSpaceDE w:val="0"/>
        <w:widowControl/>
        <w:spacing w:line="185" w:lineRule="auto" w:before="300" w:after="0"/>
        <w:ind w:left="620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4"/>
        </w:rPr>
        <w:t xml:space="preserve">3 </w:t>
      </w:r>
      <w:r>
        <w:rPr>
          <w:rFonts w:ascii="FZHTJW" w:hAnsi="FZHTJW" w:eastAsia="FZHTJW"/>
          <w:b w:val="0"/>
          <w:i w:val="0"/>
          <w:color w:val="221815"/>
          <w:sz w:val="24"/>
        </w:rPr>
        <w:t>应用实例</w:t>
      </w:r>
    </w:p>
    <w:p>
      <w:pPr>
        <w:autoSpaceDN w:val="0"/>
        <w:tabs>
          <w:tab w:pos="1040" w:val="left"/>
        </w:tabs>
        <w:autoSpaceDE w:val="0"/>
        <w:widowControl/>
        <w:spacing w:line="245" w:lineRule="auto" w:before="222" w:after="0"/>
        <w:ind w:left="620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3.1 </w:t>
      </w:r>
      <w:r>
        <w:rPr>
          <w:rFonts w:ascii="FZHTJW" w:hAnsi="FZHTJW" w:eastAsia="FZHTJW"/>
          <w:b w:val="0"/>
          <w:i w:val="0"/>
          <w:color w:val="221815"/>
          <w:sz w:val="21"/>
        </w:rPr>
        <w:t>风险事件识别及构造层次结构模型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通过查阅相关资料、现场调研、专家咨询等方</w:t>
      </w:r>
      <w:r>
        <w:rPr>
          <w:rFonts w:ascii="FZBSJW" w:hAnsi="FZBSJW" w:eastAsia="FZBSJW"/>
          <w:b w:val="0"/>
          <w:i w:val="0"/>
          <w:color w:val="221815"/>
          <w:sz w:val="21"/>
        </w:rPr>
        <w:t>法，逐级识别成都地铁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13</w:t>
      </w:r>
      <w:r>
        <w:rPr>
          <w:rFonts w:ascii="FZBSJW" w:hAnsi="FZBSJW" w:eastAsia="FZBSJW"/>
          <w:b w:val="0"/>
          <w:i w:val="0"/>
          <w:color w:val="221815"/>
          <w:sz w:val="21"/>
        </w:rPr>
        <w:t>号线盾构隧道施工发生安全</w:t>
      </w:r>
      <w:r>
        <w:rPr>
          <w:rFonts w:ascii="FZBSJW" w:hAnsi="FZBSJW" w:eastAsia="FZBSJW"/>
          <w:b w:val="0"/>
          <w:i w:val="0"/>
          <w:color w:val="221815"/>
          <w:sz w:val="21"/>
        </w:rPr>
        <w:t>事故的因素见表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</w:t>
      </w:r>
      <w:r>
        <w:rPr>
          <w:rFonts w:ascii="FZBSJW" w:hAnsi="FZBSJW" w:eastAsia="FZBSJW"/>
          <w:b w:val="0"/>
          <w:i w:val="0"/>
          <w:color w:val="221815"/>
          <w:sz w:val="21"/>
        </w:rPr>
        <w:t>和如图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</w:t>
      </w:r>
      <w:r>
        <w:rPr>
          <w:rFonts w:ascii="FZBSJW" w:hAnsi="FZBSJW" w:eastAsia="FZBSJW"/>
          <w:b w:val="0"/>
          <w:i w:val="0"/>
          <w:color w:val="221815"/>
          <w:sz w:val="21"/>
        </w:rPr>
        <w:t>所示。</w:t>
      </w:r>
    </w:p>
    <w:p>
      <w:pPr>
        <w:autoSpaceDN w:val="0"/>
        <w:autoSpaceDE w:val="0"/>
        <w:widowControl/>
        <w:spacing w:line="182" w:lineRule="auto" w:before="140" w:after="70"/>
        <w:ind w:left="0" w:right="1758" w:firstLine="0"/>
        <w:jc w:val="right"/>
      </w:pPr>
      <w:r>
        <w:rPr>
          <w:rFonts w:ascii="FZHTJW" w:hAnsi="FZHTJW" w:eastAsia="FZHTJW"/>
          <w:b w:val="0"/>
          <w:i w:val="0"/>
          <w:color w:val="221815"/>
          <w:sz w:val="19"/>
        </w:rPr>
        <w:t>表</w:t>
      </w:r>
      <w:r>
        <w:rPr>
          <w:rFonts w:ascii="TimesNewRomanPS" w:hAnsi="TimesNewRomanPS" w:eastAsia="TimesNewRomanPS"/>
          <w:b/>
          <w:i w:val="0"/>
          <w:color w:val="221815"/>
          <w:sz w:val="19"/>
        </w:rPr>
        <w:t xml:space="preserve">3 </w:t>
      </w:r>
      <w:r>
        <w:rPr>
          <w:rFonts w:ascii="FZHTJW" w:hAnsi="FZHTJW" w:eastAsia="FZHTJW"/>
          <w:b w:val="0"/>
          <w:i w:val="0"/>
          <w:color w:val="221815"/>
          <w:sz w:val="19"/>
        </w:rPr>
        <w:t>风险事件识别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3543"/>
        <w:gridCol w:w="3543"/>
        <w:gridCol w:w="3543"/>
      </w:tblGrid>
      <w:tr>
        <w:trPr>
          <w:trHeight w:hRule="exact" w:val="276"/>
        </w:trPr>
        <w:tc>
          <w:tcPr>
            <w:tcW w:type="dxa" w:w="1254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目标层</w:t>
            </w:r>
          </w:p>
        </w:tc>
        <w:tc>
          <w:tcPr>
            <w:tcW w:type="dxa" w:w="180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准则层</w:t>
            </w:r>
          </w:p>
        </w:tc>
        <w:tc>
          <w:tcPr>
            <w:tcW w:type="dxa" w:w="1796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方案层</w:t>
            </w:r>
          </w:p>
        </w:tc>
      </w:tr>
      <w:tr>
        <w:trPr>
          <w:trHeight w:hRule="exact" w:val="820"/>
        </w:trPr>
        <w:tc>
          <w:tcPr>
            <w:tcW w:type="dxa" w:w="1254"/>
            <w:vMerge w:val="restart"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4" w:after="0"/>
              <w:ind w:left="288" w:right="288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施工安全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事故发生</w:t>
            </w:r>
          </w:p>
        </w:tc>
        <w:tc>
          <w:tcPr>
            <w:tcW w:type="dxa" w:w="180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432" w:right="432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既有地表建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筑物情况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</w:t>
            </w:r>
          </w:p>
        </w:tc>
        <w:tc>
          <w:tcPr>
            <w:tcW w:type="dxa" w:w="1796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2" w:after="0"/>
              <w:ind w:left="498" w:right="510" w:firstLine="0"/>
              <w:jc w:val="both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周边房屋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桥梁情况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2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管线情况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3</w:t>
            </w:r>
          </w:p>
        </w:tc>
      </w:tr>
      <w:tr>
        <w:trPr>
          <w:trHeight w:hRule="exact" w:val="820"/>
        </w:trPr>
        <w:tc>
          <w:tcPr>
            <w:tcW w:type="dxa" w:w="3543"/>
            <w:vMerge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</w:tcPr>
          <w:p/>
        </w:tc>
        <w:tc>
          <w:tcPr>
            <w:tcW w:type="dxa" w:w="180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1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施工周围环境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2</w:t>
            </w:r>
          </w:p>
        </w:tc>
        <w:tc>
          <w:tcPr>
            <w:tcW w:type="dxa" w:w="1796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2" w:after="0"/>
              <w:ind w:left="288" w:right="288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围岩、土层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4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有害物质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5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周边道路情况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6</w:t>
            </w:r>
          </w:p>
        </w:tc>
      </w:tr>
      <w:tr>
        <w:trPr>
          <w:trHeight w:hRule="exact" w:val="1364"/>
        </w:trPr>
        <w:tc>
          <w:tcPr>
            <w:tcW w:type="dxa" w:w="3543"/>
            <w:vMerge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</w:tcPr>
          <w:p/>
        </w:tc>
        <w:tc>
          <w:tcPr>
            <w:tcW w:type="dxa" w:w="180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桩基托换施工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3</w:t>
            </w:r>
          </w:p>
        </w:tc>
        <w:tc>
          <w:tcPr>
            <w:tcW w:type="dxa" w:w="1796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2" w:after="0"/>
              <w:ind w:left="288" w:right="288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注浆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7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新桩制作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8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主次梁施工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9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千斤顶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10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截桩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11</w:t>
            </w:r>
          </w:p>
        </w:tc>
      </w:tr>
      <w:tr>
        <w:trPr>
          <w:trHeight w:hRule="exact" w:val="820"/>
        </w:trPr>
        <w:tc>
          <w:tcPr>
            <w:tcW w:type="dxa" w:w="3543"/>
            <w:vMerge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</w:tcPr>
          <w:p/>
        </w:tc>
        <w:tc>
          <w:tcPr>
            <w:tcW w:type="dxa" w:w="180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1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盾构施工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4</w:t>
            </w:r>
          </w:p>
        </w:tc>
        <w:tc>
          <w:tcPr>
            <w:tcW w:type="dxa" w:w="1796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" w:after="0"/>
              <w:ind w:left="288" w:right="288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盾构机质量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12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施工情况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13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土体情况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14</w:t>
            </w:r>
          </w:p>
        </w:tc>
      </w:tr>
      <w:tr>
        <w:trPr>
          <w:trHeight w:hRule="exact" w:val="548"/>
        </w:trPr>
        <w:tc>
          <w:tcPr>
            <w:tcW w:type="dxa" w:w="3543"/>
            <w:vMerge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</w:tcPr>
          <w:p/>
        </w:tc>
        <w:tc>
          <w:tcPr>
            <w:tcW w:type="dxa" w:w="180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82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管理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5</w:t>
            </w:r>
          </w:p>
        </w:tc>
        <w:tc>
          <w:tcPr>
            <w:tcW w:type="dxa" w:w="1796"/>
            <w:tcBorders>
              <w:start w:sz="3.9679999351501465" w:val="single" w:color="#221815"/>
              <w:top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432" w:right="432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工程情况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15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施工情况</w:t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16</w:t>
            </w:r>
          </w:p>
        </w:tc>
      </w:tr>
    </w:tbl>
    <w:p>
      <w:pPr>
        <w:autoSpaceDN w:val="0"/>
        <w:tabs>
          <w:tab w:pos="1040" w:val="left"/>
          <w:tab w:pos="1878" w:val="left"/>
        </w:tabs>
        <w:autoSpaceDE w:val="0"/>
        <w:widowControl/>
        <w:spacing w:line="245" w:lineRule="auto" w:before="132" w:after="0"/>
        <w:ind w:left="62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3.2 </w:t>
      </w:r>
      <w:r>
        <w:rPr>
          <w:rFonts w:ascii="FZHTJW" w:hAnsi="FZHTJW" w:eastAsia="FZHTJW"/>
          <w:b w:val="0"/>
          <w:i w:val="0"/>
          <w:color w:val="221815"/>
          <w:sz w:val="21"/>
        </w:rPr>
        <w:t>确定指标隶函数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查阅文献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[10–11]</w:t>
      </w:r>
      <w:r>
        <w:rPr>
          <w:rFonts w:ascii="FZBSJW" w:hAnsi="FZBSJW" w:eastAsia="FZBSJW"/>
          <w:b w:val="0"/>
          <w:i w:val="0"/>
          <w:color w:val="221815"/>
          <w:sz w:val="21"/>
        </w:rPr>
        <w:t>可知各级事件标准（表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4~</w:t>
      </w:r>
      <w:r>
        <w:rPr>
          <w:rFonts w:ascii="FZBSJW" w:hAnsi="FZBSJW" w:eastAsia="FZBSJW"/>
          <w:b w:val="0"/>
          <w:i w:val="0"/>
          <w:color w:val="221815"/>
          <w:sz w:val="21"/>
        </w:rPr>
        <w:t>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9</w:t>
      </w:r>
      <w:r>
        <w:rPr>
          <w:rFonts w:ascii="FZBSJW" w:hAnsi="FZBSJW" w:eastAsia="FZBSJW"/>
          <w:b w:val="0"/>
          <w:i w:val="0"/>
          <w:color w:val="221815"/>
          <w:sz w:val="21"/>
        </w:rPr>
        <w:t>）。</w:t>
      </w:r>
    </w:p>
    <w:p>
      <w:pPr>
        <w:autoSpaceDN w:val="0"/>
        <w:autoSpaceDE w:val="0"/>
        <w:widowControl/>
        <w:spacing w:line="185" w:lineRule="auto" w:before="140" w:after="70"/>
        <w:ind w:left="1382" w:right="0" w:firstLine="0"/>
        <w:jc w:val="left"/>
      </w:pPr>
      <w:r>
        <w:rPr>
          <w:rFonts w:ascii="FZHTJW" w:hAnsi="FZHTJW" w:eastAsia="FZHTJW"/>
          <w:b w:val="0"/>
          <w:i w:val="0"/>
          <w:color w:val="221815"/>
          <w:sz w:val="19"/>
        </w:rPr>
        <w:t>表</w:t>
      </w:r>
      <w:r>
        <w:rPr>
          <w:rFonts w:ascii="TimesNewRomanPS" w:hAnsi="TimesNewRomanPS" w:eastAsia="TimesNewRomanPS"/>
          <w:b/>
          <w:i w:val="0"/>
          <w:color w:val="221815"/>
          <w:sz w:val="19"/>
        </w:rPr>
        <w:t xml:space="preserve">4 </w:t>
      </w:r>
      <w:r>
        <w:rPr>
          <w:rFonts w:ascii="FZHTJW" w:hAnsi="FZHTJW" w:eastAsia="FZHTJW"/>
          <w:b w:val="0"/>
          <w:i w:val="0"/>
          <w:color w:val="221815"/>
          <w:sz w:val="19"/>
        </w:rPr>
        <w:t>隧道施工过程安全风险准则层评价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0.0" w:type="dxa"/>
      </w:tblPr>
      <w:tblGrid>
        <w:gridCol w:w="1328"/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rHeight w:hRule="exact" w:val="272"/>
        </w:trPr>
        <w:tc>
          <w:tcPr>
            <w:tcW w:type="dxa" w:w="714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评价指标</w:t>
            </w:r>
          </w:p>
        </w:tc>
        <w:tc>
          <w:tcPr>
            <w:tcW w:type="dxa" w:w="464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</w:t>
            </w:r>
          </w:p>
        </w:tc>
        <w:tc>
          <w:tcPr>
            <w:tcW w:type="dxa" w:w="58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2</w:t>
            </w:r>
          </w:p>
        </w:tc>
        <w:tc>
          <w:tcPr>
            <w:tcW w:type="dxa" w:w="584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3</w:t>
            </w:r>
          </w:p>
        </w:tc>
        <w:tc>
          <w:tcPr>
            <w:tcW w:type="dxa" w:w="584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4</w:t>
            </w:r>
          </w:p>
        </w:tc>
        <w:tc>
          <w:tcPr>
            <w:tcW w:type="dxa" w:w="58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5</w:t>
            </w:r>
          </w:p>
        </w:tc>
        <w:tc>
          <w:tcPr>
            <w:tcW w:type="dxa" w:w="706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M</w:t>
            </w:r>
          </w:p>
        </w:tc>
        <w:tc>
          <w:tcPr>
            <w:tcW w:type="dxa" w:w="656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β</w:t>
            </w:r>
          </w:p>
        </w:tc>
      </w:tr>
      <w:tr>
        <w:trPr>
          <w:trHeight w:hRule="exact" w:val="1914"/>
        </w:trPr>
        <w:tc>
          <w:tcPr>
            <w:tcW w:type="dxa" w:w="714"/>
            <w:tcBorders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2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3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4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C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5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单层权重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单排序</w:t>
            </w:r>
          </w:p>
        </w:tc>
        <w:tc>
          <w:tcPr>
            <w:tcW w:type="dxa" w:w="464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58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</w:p>
        </w:tc>
        <w:tc>
          <w:tcPr>
            <w:tcW w:type="dxa" w:w="584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</w:p>
        </w:tc>
        <w:tc>
          <w:tcPr>
            <w:tcW w:type="dxa" w:w="584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</w:p>
        </w:tc>
        <w:tc>
          <w:tcPr>
            <w:tcW w:type="dxa" w:w="58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</w:p>
        </w:tc>
        <w:tc>
          <w:tcPr>
            <w:tcW w:type="dxa" w:w="70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1.778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0.056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13.50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13.5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0.056</w:t>
            </w:r>
          </w:p>
        </w:tc>
        <w:tc>
          <w:tcPr>
            <w:tcW w:type="dxa" w:w="656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8" w:after="0"/>
              <w:ind w:left="182" w:right="19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0.62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1.54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1.54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0.62</w:t>
            </w:r>
          </w:p>
        </w:tc>
      </w:tr>
    </w:tbl>
    <w:p>
      <w:pPr>
        <w:autoSpaceDN w:val="0"/>
        <w:autoSpaceDE w:val="0"/>
        <w:widowControl/>
        <w:spacing w:line="206" w:lineRule="auto" w:before="62" w:after="0"/>
        <w:ind w:left="0" w:right="1162" w:firstLine="0"/>
        <w:jc w:val="right"/>
      </w:pPr>
      <w:r>
        <w:rPr>
          <w:rFonts w:ascii="TimesNewRomanPS" w:hAnsi="TimesNewRomanPS" w:eastAsia="TimesNewRomanPS"/>
          <w:b w:val="0"/>
          <w:i/>
          <w:color w:val="221815"/>
          <w:sz w:val="16"/>
        </w:rPr>
        <w:t>λ</w:t>
      </w:r>
      <w:r>
        <w:rPr>
          <w:w w:val="103.6444452073839"/>
          <w:rFonts w:ascii="TimesNewRomanPSMT" w:hAnsi="TimesNewRomanPSMT" w:eastAsia="TimesNewRomanPSMT"/>
          <w:b w:val="0"/>
          <w:i w:val="0"/>
          <w:color w:val="221815"/>
          <w:sz w:val="9"/>
        </w:rPr>
        <w:t xml:space="preserve">max 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 5.035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CI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=0.008 75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CR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=0.007 8</w:t>
      </w:r>
      <w:r>
        <w:rPr>
          <w:rFonts w:ascii="FZBSJW" w:hAnsi="FZBSJW" w:eastAsia="FZBSJW"/>
          <w:b w:val="0"/>
          <w:i w:val="0"/>
          <w:color w:val="221815"/>
          <w:sz w:val="16"/>
        </w:rPr>
        <w:t>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0.1</w:t>
      </w:r>
    </w:p>
    <w:p>
      <w:pPr>
        <w:sectPr>
          <w:type w:val="continuous"/>
          <w:pgSz w:w="11906" w:h="16838"/>
          <w:pgMar w:top="756" w:right="878" w:bottom="168" w:left="400" w:header="720" w:footer="720" w:gutter="0"/>
          <w:cols w:num="2" w:equalWidth="0">
            <w:col w:w="5610" w:space="0"/>
            <w:col w:w="50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45" w:type="dxa"/>
      </w:tblPr>
      <w:tblGrid>
        <w:gridCol w:w="1771"/>
        <w:gridCol w:w="1771"/>
        <w:gridCol w:w="1771"/>
        <w:gridCol w:w="1771"/>
        <w:gridCol w:w="1771"/>
        <w:gridCol w:w="1771"/>
      </w:tblGrid>
      <w:tr>
        <w:trPr>
          <w:trHeight w:hRule="exact" w:val="274"/>
        </w:trPr>
        <w:tc>
          <w:tcPr>
            <w:tcW w:type="dxa" w:w="678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评价指标</w:t>
            </w:r>
          </w:p>
        </w:tc>
        <w:tc>
          <w:tcPr>
            <w:tcW w:type="dxa" w:w="86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</w:t>
            </w:r>
          </w:p>
        </w:tc>
        <w:tc>
          <w:tcPr>
            <w:tcW w:type="dxa" w:w="78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2</w:t>
            </w:r>
          </w:p>
        </w:tc>
        <w:tc>
          <w:tcPr>
            <w:tcW w:type="dxa" w:w="866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3</w:t>
            </w:r>
          </w:p>
        </w:tc>
        <w:tc>
          <w:tcPr>
            <w:tcW w:type="dxa" w:w="86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M</w:t>
            </w:r>
          </w:p>
        </w:tc>
        <w:tc>
          <w:tcPr>
            <w:tcW w:type="dxa" w:w="798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β</w:t>
            </w:r>
          </w:p>
        </w:tc>
      </w:tr>
      <w:tr>
        <w:trPr>
          <w:trHeight w:hRule="exact" w:val="1366"/>
        </w:trPr>
        <w:tc>
          <w:tcPr>
            <w:tcW w:type="dxa" w:w="678"/>
            <w:tcBorders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4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2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3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单层权重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单排序</w:t>
            </w:r>
          </w:p>
        </w:tc>
        <w:tc>
          <w:tcPr>
            <w:tcW w:type="dxa" w:w="86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0.333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78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0.50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</w:p>
        </w:tc>
        <w:tc>
          <w:tcPr>
            <w:tcW w:type="dxa" w:w="86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0.167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</w:p>
        </w:tc>
        <w:tc>
          <w:tcPr>
            <w:tcW w:type="dxa" w:w="86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4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1.333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4.5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0.167</w:t>
            </w:r>
          </w:p>
        </w:tc>
        <w:tc>
          <w:tcPr>
            <w:tcW w:type="dxa" w:w="798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46" w:after="0"/>
              <w:ind w:left="252" w:right="26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1.65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0.55</w:t>
            </w:r>
          </w:p>
        </w:tc>
      </w:tr>
    </w:tbl>
    <w:p>
      <w:pPr>
        <w:autoSpaceDN w:val="0"/>
        <w:autoSpaceDE w:val="0"/>
        <w:widowControl/>
        <w:spacing w:line="206" w:lineRule="auto" w:before="102" w:after="0"/>
        <w:ind w:left="0" w:right="1590" w:firstLine="0"/>
        <w:jc w:val="right"/>
      </w:pPr>
      <w:r>
        <w:rPr>
          <w:rFonts w:ascii="TimesNewRomanPS" w:hAnsi="TimesNewRomanPS" w:eastAsia="TimesNewRomanPS"/>
          <w:b w:val="0"/>
          <w:i/>
          <w:color w:val="221815"/>
          <w:sz w:val="16"/>
        </w:rPr>
        <w:t>λ</w:t>
      </w:r>
      <w:r>
        <w:rPr>
          <w:w w:val="103.6444452073839"/>
          <w:rFonts w:ascii="TimesNewRomanPSMT" w:hAnsi="TimesNewRomanPSMT" w:eastAsia="TimesNewRomanPSMT"/>
          <w:b w:val="0"/>
          <w:i w:val="0"/>
          <w:color w:val="221815"/>
          <w:sz w:val="9"/>
        </w:rPr>
        <w:t xml:space="preserve">max 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 = 3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CI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CR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</w:t>
      </w:r>
      <w:r>
        <w:rPr>
          <w:rFonts w:ascii="FZBSJW" w:hAnsi="FZBSJW" w:eastAsia="FZBSJW"/>
          <w:b w:val="0"/>
          <w:i w:val="0"/>
          <w:color w:val="221815"/>
          <w:sz w:val="16"/>
        </w:rPr>
        <w:t>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0.1</w:t>
      </w:r>
    </w:p>
    <w:p>
      <w:pPr>
        <w:autoSpaceDN w:val="0"/>
        <w:autoSpaceDE w:val="0"/>
        <w:widowControl/>
        <w:spacing w:line="182" w:lineRule="auto" w:before="294" w:after="70"/>
        <w:ind w:left="0" w:right="1170" w:firstLine="0"/>
        <w:jc w:val="right"/>
      </w:pPr>
      <w:r>
        <w:rPr>
          <w:rFonts w:ascii="FZHTJW" w:hAnsi="FZHTJW" w:eastAsia="FZHTJW"/>
          <w:b w:val="0"/>
          <w:i w:val="0"/>
          <w:color w:val="221815"/>
          <w:sz w:val="19"/>
        </w:rPr>
        <w:t>表</w:t>
      </w:r>
      <w:r>
        <w:rPr>
          <w:rFonts w:ascii="TimesNewRomanPS" w:hAnsi="TimesNewRomanPS" w:eastAsia="TimesNewRomanPS"/>
          <w:b/>
          <w:i w:val="0"/>
          <w:color w:val="221815"/>
          <w:sz w:val="19"/>
        </w:rPr>
        <w:t xml:space="preserve">6 </w:t>
      </w:r>
      <w:r>
        <w:rPr>
          <w:rFonts w:ascii="FZHTJW" w:hAnsi="FZHTJW" w:eastAsia="FZHTJW"/>
          <w:b w:val="0"/>
          <w:i w:val="0"/>
          <w:color w:val="221815"/>
          <w:sz w:val="19"/>
        </w:rPr>
        <w:t>施工周围环境方案层评价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45" w:type="dxa"/>
      </w:tblPr>
      <w:tblGrid>
        <w:gridCol w:w="1771"/>
        <w:gridCol w:w="1771"/>
        <w:gridCol w:w="1771"/>
        <w:gridCol w:w="1771"/>
        <w:gridCol w:w="1771"/>
        <w:gridCol w:w="1771"/>
      </w:tblGrid>
      <w:tr>
        <w:trPr>
          <w:trHeight w:hRule="exact" w:val="274"/>
        </w:trPr>
        <w:tc>
          <w:tcPr>
            <w:tcW w:type="dxa" w:w="678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评价指标</w:t>
            </w:r>
          </w:p>
        </w:tc>
        <w:tc>
          <w:tcPr>
            <w:tcW w:type="dxa" w:w="78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4</w:t>
            </w:r>
          </w:p>
        </w:tc>
        <w:tc>
          <w:tcPr>
            <w:tcW w:type="dxa" w:w="86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5</w:t>
            </w:r>
          </w:p>
        </w:tc>
        <w:tc>
          <w:tcPr>
            <w:tcW w:type="dxa" w:w="866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6</w:t>
            </w:r>
          </w:p>
        </w:tc>
        <w:tc>
          <w:tcPr>
            <w:tcW w:type="dxa" w:w="86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M</w:t>
            </w:r>
          </w:p>
        </w:tc>
        <w:tc>
          <w:tcPr>
            <w:tcW w:type="dxa" w:w="798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β</w:t>
            </w:r>
          </w:p>
        </w:tc>
      </w:tr>
      <w:tr>
        <w:trPr>
          <w:trHeight w:hRule="exact" w:val="1368"/>
        </w:trPr>
        <w:tc>
          <w:tcPr>
            <w:tcW w:type="dxa" w:w="678"/>
            <w:tcBorders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4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5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6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单层权重</w:t>
            </w:r>
          </w:p>
          <w:p>
            <w:pPr>
              <w:autoSpaceDN w:val="0"/>
              <w:autoSpaceDE w:val="0"/>
              <w:widowControl/>
              <w:spacing w:line="185" w:lineRule="auto" w:before="9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单排序</w:t>
            </w:r>
          </w:p>
        </w:tc>
        <w:tc>
          <w:tcPr>
            <w:tcW w:type="dxa" w:w="78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0.50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</w:p>
        </w:tc>
        <w:tc>
          <w:tcPr>
            <w:tcW w:type="dxa" w:w="86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0.167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</w:p>
        </w:tc>
        <w:tc>
          <w:tcPr>
            <w:tcW w:type="dxa" w:w="86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0.333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86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4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4.5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0.167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1.333</w:t>
            </w:r>
          </w:p>
        </w:tc>
        <w:tc>
          <w:tcPr>
            <w:tcW w:type="dxa" w:w="798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46" w:after="0"/>
              <w:ind w:left="252" w:right="26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1.65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0.55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1.10</w:t>
            </w:r>
          </w:p>
        </w:tc>
      </w:tr>
    </w:tbl>
    <w:p>
      <w:pPr>
        <w:autoSpaceDN w:val="0"/>
        <w:autoSpaceDE w:val="0"/>
        <w:widowControl/>
        <w:spacing w:line="206" w:lineRule="auto" w:before="36" w:after="0"/>
        <w:ind w:left="0" w:right="1590" w:firstLine="0"/>
        <w:jc w:val="right"/>
      </w:pPr>
      <w:r>
        <w:rPr>
          <w:rFonts w:ascii="TimesNewRomanPS" w:hAnsi="TimesNewRomanPS" w:eastAsia="TimesNewRomanPS"/>
          <w:b w:val="0"/>
          <w:i/>
          <w:color w:val="221815"/>
          <w:sz w:val="16"/>
        </w:rPr>
        <w:t>λ</w:t>
      </w:r>
      <w:r>
        <w:rPr>
          <w:w w:val="103.6444452073839"/>
          <w:rFonts w:ascii="TimesNewRomanPSMT" w:hAnsi="TimesNewRomanPSMT" w:eastAsia="TimesNewRomanPSMT"/>
          <w:b w:val="0"/>
          <w:i w:val="0"/>
          <w:color w:val="221815"/>
          <w:sz w:val="9"/>
        </w:rPr>
        <w:t xml:space="preserve">max 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 = 3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CI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CR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</w:t>
      </w:r>
      <w:r>
        <w:rPr>
          <w:rFonts w:ascii="FZBSJW" w:hAnsi="FZBSJW" w:eastAsia="FZBSJW"/>
          <w:b w:val="0"/>
          <w:i w:val="0"/>
          <w:color w:val="221815"/>
          <w:sz w:val="16"/>
        </w:rPr>
        <w:t>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0.1</w:t>
      </w:r>
    </w:p>
    <w:p>
      <w:pPr>
        <w:autoSpaceDN w:val="0"/>
        <w:autoSpaceDE w:val="0"/>
        <w:widowControl/>
        <w:spacing w:line="185" w:lineRule="auto" w:before="230" w:after="70"/>
        <w:ind w:left="0" w:right="1170" w:firstLine="0"/>
        <w:jc w:val="right"/>
      </w:pPr>
      <w:r>
        <w:rPr>
          <w:rFonts w:ascii="FZHTJW" w:hAnsi="FZHTJW" w:eastAsia="FZHTJW"/>
          <w:b w:val="0"/>
          <w:i w:val="0"/>
          <w:color w:val="221815"/>
          <w:sz w:val="19"/>
        </w:rPr>
        <w:t>表</w:t>
      </w:r>
      <w:r>
        <w:rPr>
          <w:rFonts w:ascii="TimesNewRomanPS" w:hAnsi="TimesNewRomanPS" w:eastAsia="TimesNewRomanPS"/>
          <w:b/>
          <w:i w:val="0"/>
          <w:color w:val="221815"/>
          <w:sz w:val="19"/>
        </w:rPr>
        <w:t xml:space="preserve">7 </w:t>
      </w:r>
      <w:r>
        <w:rPr>
          <w:rFonts w:ascii="FZHTJW" w:hAnsi="FZHTJW" w:eastAsia="FZHTJW"/>
          <w:b w:val="0"/>
          <w:i w:val="0"/>
          <w:color w:val="221815"/>
          <w:sz w:val="19"/>
        </w:rPr>
        <w:t>桩基托换施工方案层评价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45" w:type="dxa"/>
      </w:tblPr>
      <w:tblGrid>
        <w:gridCol w:w="1328"/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rHeight w:hRule="exact" w:val="300"/>
        </w:trPr>
        <w:tc>
          <w:tcPr>
            <w:tcW w:type="dxa" w:w="940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评价指标</w:t>
            </w:r>
          </w:p>
        </w:tc>
        <w:tc>
          <w:tcPr>
            <w:tcW w:type="dxa" w:w="54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7</w:t>
            </w:r>
          </w:p>
        </w:tc>
        <w:tc>
          <w:tcPr>
            <w:tcW w:type="dxa" w:w="542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8</w:t>
            </w:r>
          </w:p>
        </w:tc>
        <w:tc>
          <w:tcPr>
            <w:tcW w:type="dxa" w:w="54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9</w:t>
            </w:r>
          </w:p>
        </w:tc>
        <w:tc>
          <w:tcPr>
            <w:tcW w:type="dxa" w:w="544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10</w:t>
            </w:r>
          </w:p>
        </w:tc>
        <w:tc>
          <w:tcPr>
            <w:tcW w:type="dxa" w:w="54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11</w:t>
            </w:r>
          </w:p>
        </w:tc>
        <w:tc>
          <w:tcPr>
            <w:tcW w:type="dxa" w:w="66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M</w:t>
            </w:r>
          </w:p>
        </w:tc>
        <w:tc>
          <w:tcPr>
            <w:tcW w:type="dxa" w:w="552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β</w:t>
            </w:r>
          </w:p>
        </w:tc>
      </w:tr>
      <w:tr>
        <w:trPr>
          <w:trHeight w:hRule="exact" w:val="2106"/>
        </w:trPr>
        <w:tc>
          <w:tcPr>
            <w:tcW w:type="dxa" w:w="940"/>
            <w:tcBorders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58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7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8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9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10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11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单层权重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单排序</w:t>
            </w:r>
          </w:p>
        </w:tc>
        <w:tc>
          <w:tcPr>
            <w:tcW w:type="dxa" w:w="5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0.154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</w:p>
        </w:tc>
        <w:tc>
          <w:tcPr>
            <w:tcW w:type="dxa" w:w="542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4/3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0.231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5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3/4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3/4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0.308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</w:p>
        </w:tc>
        <w:tc>
          <w:tcPr>
            <w:tcW w:type="dxa" w:w="544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0.077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4</w:t>
            </w:r>
          </w:p>
        </w:tc>
        <w:tc>
          <w:tcPr>
            <w:tcW w:type="dxa" w:w="5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4/3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0.231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66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6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0.444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3.375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14.22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0.042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3.375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</w:p>
        </w:tc>
        <w:tc>
          <w:tcPr>
            <w:tcW w:type="dxa" w:w="552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1.28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1.70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0.53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1.28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06" w:lineRule="auto" w:before="88" w:after="0"/>
        <w:ind w:left="1200" w:right="0" w:firstLine="0"/>
        <w:jc w:val="left"/>
      </w:pPr>
      <w:r>
        <w:rPr>
          <w:rFonts w:ascii="TimesNewRomanPS" w:hAnsi="TimesNewRomanPS" w:eastAsia="TimesNewRomanPS"/>
          <w:b w:val="0"/>
          <w:i/>
          <w:color w:val="221815"/>
          <w:sz w:val="16"/>
        </w:rPr>
        <w:t>λ</w:t>
      </w:r>
      <w:r>
        <w:rPr>
          <w:w w:val="103.6444452073839"/>
          <w:rFonts w:ascii="TimesNewRomanPSMT" w:hAnsi="TimesNewRomanPSMT" w:eastAsia="TimesNewRomanPSMT"/>
          <w:b w:val="0"/>
          <w:i w:val="0"/>
          <w:color w:val="221815"/>
          <w:sz w:val="9"/>
        </w:rPr>
        <w:t xml:space="preserve">max 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 = 5.038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CI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=0.0095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CR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=0.0085</w:t>
      </w:r>
      <w:r>
        <w:rPr>
          <w:rFonts w:ascii="FZBSJW" w:hAnsi="FZBSJW" w:eastAsia="FZBSJW"/>
          <w:b w:val="0"/>
          <w:i w:val="0"/>
          <w:color w:val="221815"/>
          <w:sz w:val="16"/>
        </w:rPr>
        <w:t>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0.1</w:t>
      </w:r>
    </w:p>
    <w:p>
      <w:pPr>
        <w:autoSpaceDN w:val="0"/>
        <w:autoSpaceDE w:val="0"/>
        <w:widowControl/>
        <w:spacing w:line="185" w:lineRule="auto" w:before="280" w:after="70"/>
        <w:ind w:left="0" w:right="1360" w:firstLine="0"/>
        <w:jc w:val="right"/>
      </w:pPr>
      <w:r>
        <w:rPr>
          <w:rFonts w:ascii="FZHTJW" w:hAnsi="FZHTJW" w:eastAsia="FZHTJW"/>
          <w:b w:val="0"/>
          <w:i w:val="0"/>
          <w:color w:val="221815"/>
          <w:sz w:val="19"/>
        </w:rPr>
        <w:t>表</w:t>
      </w:r>
      <w:r>
        <w:rPr>
          <w:rFonts w:ascii="TimesNewRomanPS" w:hAnsi="TimesNewRomanPS" w:eastAsia="TimesNewRomanPS"/>
          <w:b/>
          <w:i w:val="0"/>
          <w:color w:val="221815"/>
          <w:sz w:val="19"/>
        </w:rPr>
        <w:t xml:space="preserve">8 </w:t>
      </w:r>
      <w:r>
        <w:rPr>
          <w:rFonts w:ascii="FZHTJW" w:hAnsi="FZHTJW" w:eastAsia="FZHTJW"/>
          <w:b w:val="0"/>
          <w:i w:val="0"/>
          <w:color w:val="221815"/>
          <w:sz w:val="19"/>
        </w:rPr>
        <w:t>盾构施工方案层评价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45" w:type="dxa"/>
      </w:tblPr>
      <w:tblGrid>
        <w:gridCol w:w="1771"/>
        <w:gridCol w:w="1771"/>
        <w:gridCol w:w="1771"/>
        <w:gridCol w:w="1771"/>
        <w:gridCol w:w="1771"/>
        <w:gridCol w:w="1771"/>
      </w:tblGrid>
      <w:tr>
        <w:trPr>
          <w:trHeight w:hRule="exact" w:val="272"/>
        </w:trPr>
        <w:tc>
          <w:tcPr>
            <w:tcW w:type="dxa" w:w="898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评价指标</w:t>
            </w:r>
          </w:p>
        </w:tc>
        <w:tc>
          <w:tcPr>
            <w:tcW w:type="dxa" w:w="912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12</w:t>
            </w:r>
          </w:p>
        </w:tc>
        <w:tc>
          <w:tcPr>
            <w:tcW w:type="dxa" w:w="726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13</w:t>
            </w:r>
          </w:p>
        </w:tc>
        <w:tc>
          <w:tcPr>
            <w:tcW w:type="dxa" w:w="766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14</w:t>
            </w:r>
          </w:p>
        </w:tc>
        <w:tc>
          <w:tcPr>
            <w:tcW w:type="dxa" w:w="862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M</w:t>
            </w:r>
          </w:p>
        </w:tc>
        <w:tc>
          <w:tcPr>
            <w:tcW w:type="dxa" w:w="702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β</w:t>
            </w:r>
          </w:p>
        </w:tc>
      </w:tr>
      <w:tr>
        <w:trPr>
          <w:trHeight w:hRule="exact" w:val="1366"/>
        </w:trPr>
        <w:tc>
          <w:tcPr>
            <w:tcW w:type="dxa" w:w="898"/>
            <w:tcBorders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12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13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14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单层权重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单排序</w:t>
            </w:r>
          </w:p>
        </w:tc>
        <w:tc>
          <w:tcPr>
            <w:tcW w:type="dxa" w:w="912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0.167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3</w:t>
            </w:r>
          </w:p>
        </w:tc>
        <w:tc>
          <w:tcPr>
            <w:tcW w:type="dxa" w:w="72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0.333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76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2/3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0.50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</w:p>
        </w:tc>
        <w:tc>
          <w:tcPr>
            <w:tcW w:type="dxa" w:w="862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0.167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1.333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4.5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</w:p>
        </w:tc>
        <w:tc>
          <w:tcPr>
            <w:tcW w:type="dxa" w:w="702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4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0.55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1.10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1.65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06" w:lineRule="auto" w:before="84" w:after="0"/>
        <w:ind w:left="0" w:right="1590" w:firstLine="0"/>
        <w:jc w:val="right"/>
      </w:pPr>
      <w:r>
        <w:rPr>
          <w:rFonts w:ascii="TimesNewRomanPS" w:hAnsi="TimesNewRomanPS" w:eastAsia="TimesNewRomanPS"/>
          <w:b w:val="0"/>
          <w:i/>
          <w:color w:val="221815"/>
          <w:sz w:val="16"/>
        </w:rPr>
        <w:t>λ</w:t>
      </w:r>
      <w:r>
        <w:rPr>
          <w:w w:val="103.6444452073839"/>
          <w:rFonts w:ascii="TimesNewRomanPSMT" w:hAnsi="TimesNewRomanPSMT" w:eastAsia="TimesNewRomanPSMT"/>
          <w:b w:val="0"/>
          <w:i w:val="0"/>
          <w:color w:val="221815"/>
          <w:sz w:val="9"/>
        </w:rPr>
        <w:t xml:space="preserve">max 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 = 3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CI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CR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</w:t>
      </w:r>
      <w:r>
        <w:rPr>
          <w:rFonts w:ascii="FZBSJW" w:hAnsi="FZBSJW" w:eastAsia="FZBSJW"/>
          <w:b w:val="0"/>
          <w:i w:val="0"/>
          <w:color w:val="221815"/>
          <w:sz w:val="16"/>
        </w:rPr>
        <w:t>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0.1</w:t>
      </w:r>
    </w:p>
    <w:p>
      <w:pPr>
        <w:autoSpaceDN w:val="0"/>
        <w:autoSpaceDE w:val="0"/>
        <w:widowControl/>
        <w:spacing w:line="245" w:lineRule="auto" w:before="216" w:after="172"/>
        <w:ind w:left="142" w:right="30" w:firstLine="418"/>
        <w:jc w:val="both"/>
      </w:pPr>
      <w:r>
        <w:rPr>
          <w:rFonts w:ascii="FZBSJW" w:hAnsi="FZBSJW" w:eastAsia="FZBSJW"/>
          <w:b w:val="0"/>
          <w:i w:val="0"/>
          <w:color w:val="221815"/>
          <w:sz w:val="21"/>
        </w:rPr>
        <w:t>由上述结果表明，所有判断矩阵中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CR</w:t>
      </w:r>
      <w:r>
        <w:rPr>
          <w:rFonts w:ascii="FZBSJW" w:hAnsi="FZBSJW" w:eastAsia="FZBSJW"/>
          <w:b w:val="0"/>
          <w:i w:val="0"/>
          <w:color w:val="221815"/>
          <w:sz w:val="21"/>
        </w:rPr>
        <w:t>值均小于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0.1</w:t>
      </w:r>
      <w:r>
        <w:rPr>
          <w:rFonts w:ascii="FZBSJW" w:hAnsi="FZBSJW" w:eastAsia="FZBSJW"/>
          <w:b w:val="0"/>
          <w:i w:val="0"/>
          <w:color w:val="221815"/>
          <w:sz w:val="21"/>
        </w:rPr>
        <w:t>，满足要求。综上计算结果，排出各事件因素与</w:t>
      </w:r>
      <w:r>
        <w:rPr>
          <w:rFonts w:ascii="FZBSJW" w:hAnsi="FZBSJW" w:eastAsia="FZBSJW"/>
          <w:b w:val="0"/>
          <w:i w:val="0"/>
          <w:color w:val="221815"/>
          <w:sz w:val="21"/>
        </w:rPr>
        <w:t>隧道施工安全相关程度的顺序见表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10</w:t>
      </w:r>
      <w:r>
        <w:rPr>
          <w:rFonts w:ascii="FZBSJW" w:hAnsi="FZBSJW" w:eastAsia="FZBSJW"/>
          <w:b w:val="0"/>
          <w:i w:val="0"/>
          <w:color w:val="221815"/>
          <w:sz w:val="21"/>
        </w:rPr>
        <w:t>。</w:t>
      </w:r>
    </w:p>
    <w:p>
      <w:pPr>
        <w:sectPr>
          <w:type w:val="nextColumn"/>
          <w:pgSz w:w="11906" w:h="16838"/>
          <w:pgMar w:top="756" w:right="878" w:bottom="168" w:left="400" w:header="720" w:footer="720" w:gutter="0"/>
          <w:cols w:num="2" w:equalWidth="0">
            <w:col w:w="5610" w:space="0"/>
            <w:col w:w="50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</w:tblGrid>
      <w:tr>
        <w:trPr>
          <w:trHeight w:hRule="exact" w:val="46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300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目标层</w:t>
            </w:r>
          </w:p>
        </w:tc>
        <w:tc>
          <w:tcPr>
            <w:tcW w:type="dxa" w:w="1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78" w:after="0"/>
              <w:ind w:left="288" w:right="0" w:firstLine="0"/>
              <w:jc w:val="center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既有地表建筑</w:t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物情况</w:t>
            </w:r>
          </w:p>
        </w:tc>
        <w:tc>
          <w:tcPr>
            <w:tcW w:type="dxa" w:w="1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8" w:after="0"/>
              <w:ind w:left="0" w:right="0" w:firstLine="0"/>
              <w:jc w:val="center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施工周边环境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98" w:after="0"/>
              <w:ind w:left="0" w:right="0" w:firstLine="0"/>
              <w:jc w:val="center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注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浆</w:t>
            </w:r>
          </w:p>
        </w:tc>
        <w:tc>
          <w:tcPr>
            <w:tcW w:type="dxa" w:w="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施工过程安</w:t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全风险发生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98" w:after="0"/>
              <w:ind w:left="0" w:right="0" w:firstLine="0"/>
              <w:jc w:val="center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截</w:t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桩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8" w:after="0"/>
              <w:ind w:left="0" w:right="0" w:firstLine="0"/>
              <w:jc w:val="center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盾构施工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58" w:after="0"/>
              <w:ind w:left="152" w:right="48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工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程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情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况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8" w:after="0"/>
              <w:ind w:left="0" w:right="0" w:firstLine="0"/>
              <w:jc w:val="center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管理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58" w:after="0"/>
              <w:ind w:left="52" w:right="968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施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工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情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况</w:t>
            </w:r>
          </w:p>
        </w:tc>
      </w:tr>
      <w:tr>
        <w:trPr>
          <w:trHeight w:hRule="exact" w:val="52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300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准则层</w:t>
            </w:r>
          </w:p>
        </w:tc>
        <w:tc>
          <w:tcPr>
            <w:tcW w:type="dxa" w:w="1677"/>
            <w:gridSpan w:val="3"/>
            <w:vMerge/>
            <w:tcBorders/>
          </w:tcPr>
          <w:p/>
        </w:tc>
        <w:tc>
          <w:tcPr>
            <w:tcW w:type="dxa" w:w="1677"/>
            <w:gridSpan w:val="3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2" w:after="0"/>
              <w:ind w:left="0" w:right="0" w:firstLine="0"/>
              <w:jc w:val="center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桩基托换施工</w:t>
            </w:r>
          </w:p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1677"/>
            <w:gridSpan w:val="3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56" w:after="0"/>
              <w:ind w:left="0" w:right="300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方案层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382" w:right="78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周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边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房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屋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100" w:right="80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桥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梁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情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况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98" w:right="122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管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线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保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护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112" w:right="88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围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岩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土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层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90" w:right="72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有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害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物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质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84" w:right="136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周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边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道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路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情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况</w:t>
            </w:r>
          </w:p>
        </w:tc>
        <w:tc>
          <w:tcPr>
            <w:tcW w:type="dxa" w:w="559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122" w:right="78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新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桩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制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作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102" w:right="78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主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次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梁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施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工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2" w:after="0"/>
              <w:ind w:left="84" w:right="96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千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斤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顶</w:t>
            </w:r>
          </w:p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72" w:right="88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盾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构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机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质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量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112" w:right="68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施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工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情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况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92" w:right="128" w:firstLine="0"/>
              <w:jc w:val="both"/>
            </w:pP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土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体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情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221815"/>
                <w:sz w:val="14"/>
              </w:rPr>
              <w:t>况</w:t>
            </w:r>
          </w:p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559"/>
            <w:vMerge/>
            <w:tcBorders/>
          </w:tcPr>
          <w:p/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  <w:tc>
          <w:tcPr>
            <w:tcW w:type="dxa" w:w="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auto" w:before="42" w:after="0"/>
        <w:ind w:left="0" w:right="4618" w:firstLine="0"/>
        <w:jc w:val="right"/>
      </w:pPr>
      <w:r>
        <w:rPr>
          <w:rFonts w:ascii="FZBSJW" w:hAnsi="FZBSJW" w:eastAsia="FZBSJW"/>
          <w:b w:val="0"/>
          <w:i w:val="0"/>
          <w:color w:val="221815"/>
          <w:sz w:val="16"/>
        </w:rPr>
        <w:t>图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1 </w:t>
      </w:r>
      <w:r>
        <w:rPr>
          <w:rFonts w:ascii="FZBSJW" w:hAnsi="FZBSJW" w:eastAsia="FZBSJW"/>
          <w:b w:val="0"/>
          <w:i w:val="0"/>
          <w:color w:val="221815"/>
          <w:sz w:val="16"/>
        </w:rPr>
        <w:t>层次结构图</w:t>
      </w:r>
    </w:p>
    <w:p>
      <w:pPr>
        <w:autoSpaceDN w:val="0"/>
        <w:autoSpaceDE w:val="0"/>
        <w:widowControl/>
        <w:spacing w:line="204" w:lineRule="auto" w:before="160" w:after="0"/>
        <w:ind w:left="0" w:right="30" w:firstLine="0"/>
        <w:jc w:val="right"/>
      </w:pPr>
      <w:r>
        <w:rPr>
          <w:rFonts w:ascii="SimSun" w:hAnsi="SimSun" w:eastAsia="SimSun"/>
          <w:b w:val="0"/>
          <w:i w:val="0"/>
          <w:color w:val="221815"/>
          <w:sz w:val="20"/>
        </w:rPr>
        <w:t xml:space="preserve"> ·</w:t>
      </w:r>
      <w:r>
        <w:rPr>
          <w:rFonts w:ascii="TimesNewRomanPSMT" w:hAnsi="TimesNewRomanPSMT" w:eastAsia="TimesNewRomanPSMT"/>
          <w:b w:val="0"/>
          <w:i w:val="0"/>
          <w:color w:val="221815"/>
          <w:sz w:val="20"/>
        </w:rPr>
        <w:t>143</w:t>
      </w:r>
      <w:r>
        <w:rPr>
          <w:rFonts w:ascii="SimSun" w:hAnsi="SimSun" w:eastAsia="SimSun"/>
          <w:b w:val="0"/>
          <w:i w:val="0"/>
          <w:color w:val="221815"/>
          <w:sz w:val="20"/>
        </w:rPr>
        <w:t>·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756" w:right="8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.0" w:type="dxa"/>
      </w:tblPr>
      <w:tblGrid>
        <w:gridCol w:w="5272"/>
        <w:gridCol w:w="5272"/>
      </w:tblGrid>
      <w:tr>
        <w:trPr>
          <w:trHeight w:hRule="exact" w:val="422"/>
        </w:trPr>
        <w:tc>
          <w:tcPr>
            <w:tcW w:type="dxa" w:w="4962"/>
            <w:tcBorders>
              <w:top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0" w:right="1626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815"/>
                <w:sz w:val="19"/>
              </w:rPr>
              <w:t>表</w:t>
            </w:r>
            <w:r>
              <w:rPr>
                <w:rFonts w:ascii="TimesNewRomanPS" w:hAnsi="TimesNewRomanPS" w:eastAsia="TimesNewRomanPS"/>
                <w:b/>
                <w:i w:val="0"/>
                <w:color w:val="221815"/>
                <w:sz w:val="19"/>
              </w:rPr>
              <w:t xml:space="preserve">9 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19"/>
              </w:rPr>
              <w:t>管理方案层评价</w:t>
            </w:r>
          </w:p>
        </w:tc>
        <w:tc>
          <w:tcPr>
            <w:tcW w:type="dxa" w:w="5036"/>
            <w:tcBorders>
              <w:top w:sz="8.0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0" w:right="1490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221815"/>
                <w:sz w:val="19"/>
              </w:rPr>
              <w:t>表</w:t>
            </w:r>
            <w:r>
              <w:rPr>
                <w:rFonts w:ascii="TimesNewRomanPS" w:hAnsi="TimesNewRomanPS" w:eastAsia="TimesNewRomanPS"/>
                <w:b/>
                <w:i w:val="0"/>
                <w:color w:val="221815"/>
                <w:sz w:val="19"/>
              </w:rPr>
              <w:t xml:space="preserve">11 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19"/>
              </w:rPr>
              <w:t>方案层评价结果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pgSz w:w="11906" w:h="16838"/>
          <w:pgMar w:top="756" w:right="962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74"/>
        </w:trPr>
        <w:tc>
          <w:tcPr>
            <w:tcW w:type="dxa" w:w="970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评价指标</w:t>
            </w:r>
          </w:p>
        </w:tc>
        <w:tc>
          <w:tcPr>
            <w:tcW w:type="dxa" w:w="98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15</w:t>
            </w:r>
          </w:p>
        </w:tc>
        <w:tc>
          <w:tcPr>
            <w:tcW w:type="dxa" w:w="984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16</w:t>
            </w:r>
          </w:p>
        </w:tc>
        <w:tc>
          <w:tcPr>
            <w:tcW w:type="dxa" w:w="94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M</w:t>
            </w:r>
          </w:p>
        </w:tc>
        <w:tc>
          <w:tcPr>
            <w:tcW w:type="dxa" w:w="992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β</w:t>
            </w:r>
          </w:p>
        </w:tc>
      </w:tr>
      <w:tr>
        <w:trPr>
          <w:trHeight w:hRule="exact" w:val="1092"/>
        </w:trPr>
        <w:tc>
          <w:tcPr>
            <w:tcW w:type="dxa" w:w="970"/>
            <w:tcBorders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2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15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16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单层权重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单排序</w:t>
            </w:r>
          </w:p>
        </w:tc>
        <w:tc>
          <w:tcPr>
            <w:tcW w:type="dxa" w:w="98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4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0.333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984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4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1/2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0.667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</w:p>
        </w:tc>
        <w:tc>
          <w:tcPr>
            <w:tcW w:type="dxa" w:w="9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4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2</w:t>
            </w:r>
          </w:p>
        </w:tc>
        <w:tc>
          <w:tcPr>
            <w:tcW w:type="dxa" w:w="992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4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0.707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1.414</w:t>
            </w:r>
          </w:p>
        </w:tc>
      </w:tr>
    </w:tbl>
    <w:p>
      <w:pPr>
        <w:autoSpaceDN w:val="0"/>
        <w:autoSpaceDE w:val="0"/>
        <w:widowControl/>
        <w:spacing w:line="206" w:lineRule="auto" w:before="82" w:after="0"/>
        <w:ind w:left="0" w:right="1702" w:firstLine="0"/>
        <w:jc w:val="right"/>
      </w:pPr>
      <w:r>
        <w:rPr>
          <w:rFonts w:ascii="TimesNewRomanPS" w:hAnsi="TimesNewRomanPS" w:eastAsia="TimesNewRomanPS"/>
          <w:b w:val="0"/>
          <w:i/>
          <w:color w:val="221815"/>
          <w:sz w:val="16"/>
        </w:rPr>
        <w:t>λ</w:t>
      </w:r>
      <w:r>
        <w:rPr>
          <w:w w:val="103.6444452073839"/>
          <w:rFonts w:ascii="TimesNewRomanPSMT" w:hAnsi="TimesNewRomanPSMT" w:eastAsia="TimesNewRomanPSMT"/>
          <w:b w:val="0"/>
          <w:i w:val="0"/>
          <w:color w:val="221815"/>
          <w:sz w:val="9"/>
        </w:rPr>
        <w:t xml:space="preserve">max 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 = 2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CI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</w:t>
      </w:r>
      <w:r>
        <w:rPr>
          <w:rFonts w:ascii="FZBSJW" w:hAnsi="FZBSJW" w:eastAsia="FZBSJW"/>
          <w:b w:val="0"/>
          <w:i w:val="0"/>
          <w:color w:val="221815"/>
          <w:sz w:val="16"/>
        </w:rPr>
        <w:t>；</w:t>
      </w:r>
      <w:r>
        <w:rPr>
          <w:rFonts w:ascii="TimesNewRomanPS" w:hAnsi="TimesNewRomanPS" w:eastAsia="TimesNewRomanPS"/>
          <w:b w:val="0"/>
          <w:i/>
          <w:color w:val="221815"/>
          <w:sz w:val="16"/>
        </w:rPr>
        <w:t>CR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=0</w:t>
      </w:r>
      <w:r>
        <w:rPr>
          <w:rFonts w:ascii="FZBSJW" w:hAnsi="FZBSJW" w:eastAsia="FZBSJW"/>
          <w:b w:val="0"/>
          <w:i w:val="0"/>
          <w:color w:val="221815"/>
          <w:sz w:val="16"/>
        </w:rPr>
        <w:t>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0.1</w:t>
      </w:r>
    </w:p>
    <w:p>
      <w:pPr>
        <w:autoSpaceDN w:val="0"/>
        <w:autoSpaceDE w:val="0"/>
        <w:widowControl/>
        <w:spacing w:line="185" w:lineRule="auto" w:before="276" w:after="68"/>
        <w:ind w:left="1316" w:right="0" w:firstLine="0"/>
        <w:jc w:val="left"/>
      </w:pPr>
      <w:r>
        <w:rPr>
          <w:rFonts w:ascii="FZHTJW" w:hAnsi="FZHTJW" w:eastAsia="FZHTJW"/>
          <w:b w:val="0"/>
          <w:i w:val="0"/>
          <w:color w:val="221815"/>
          <w:sz w:val="19"/>
        </w:rPr>
        <w:t>表</w:t>
      </w:r>
      <w:r>
        <w:rPr>
          <w:rFonts w:ascii="TimesNewRomanPS" w:hAnsi="TimesNewRomanPS" w:eastAsia="TimesNewRomanPS"/>
          <w:b/>
          <w:i w:val="0"/>
          <w:color w:val="221815"/>
          <w:sz w:val="19"/>
        </w:rPr>
        <w:t xml:space="preserve">10 </w:t>
      </w:r>
      <w:r>
        <w:rPr>
          <w:rFonts w:ascii="FZHTJW" w:hAnsi="FZHTJW" w:eastAsia="FZHTJW"/>
          <w:b w:val="0"/>
          <w:i w:val="0"/>
          <w:color w:val="221815"/>
          <w:sz w:val="19"/>
        </w:rPr>
        <w:t>隧道施工安全各影响因素的权重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8.0" w:type="dxa"/>
      </w:tblPr>
      <w:tblGrid>
        <w:gridCol w:w="2636"/>
        <w:gridCol w:w="2636"/>
        <w:gridCol w:w="2636"/>
        <w:gridCol w:w="2636"/>
      </w:tblGrid>
      <w:tr>
        <w:trPr>
          <w:trHeight w:hRule="exact" w:val="280"/>
        </w:trPr>
        <w:tc>
          <w:tcPr>
            <w:tcW w:type="dxa" w:w="840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目标层</w:t>
            </w:r>
          </w:p>
        </w:tc>
        <w:tc>
          <w:tcPr>
            <w:tcW w:type="dxa" w:w="1246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准则层</w:t>
            </w:r>
          </w:p>
        </w:tc>
        <w:tc>
          <w:tcPr>
            <w:tcW w:type="dxa" w:w="1940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方案层</w:t>
            </w:r>
          </w:p>
        </w:tc>
        <w:tc>
          <w:tcPr>
            <w:tcW w:type="dxa" w:w="840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排序</w:t>
            </w:r>
          </w:p>
        </w:tc>
      </w:tr>
      <w:tr>
        <w:trPr>
          <w:trHeight w:hRule="exact" w:val="838"/>
        </w:trPr>
        <w:tc>
          <w:tcPr>
            <w:tcW w:type="dxa" w:w="840"/>
            <w:vMerge w:val="restart"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56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施工安全事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故发生</w:t>
            </w:r>
          </w:p>
        </w:tc>
        <w:tc>
          <w:tcPr>
            <w:tcW w:type="dxa" w:w="124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既有地表建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筑物情况（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0.2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</w:p>
        </w:tc>
        <w:tc>
          <w:tcPr>
            <w:tcW w:type="dxa" w:w="19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0" w:after="0"/>
              <w:ind w:left="288" w:right="288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周边房屋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0.066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桥梁情况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0.1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管线情况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0.0334</w:t>
            </w:r>
          </w:p>
        </w:tc>
        <w:tc>
          <w:tcPr>
            <w:tcW w:type="dxa" w:w="840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50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11</w:t>
            </w:r>
          </w:p>
        </w:tc>
      </w:tr>
      <w:tr>
        <w:trPr>
          <w:trHeight w:hRule="exact" w:val="840"/>
        </w:trPr>
        <w:tc>
          <w:tcPr>
            <w:tcW w:type="dxa" w:w="2636"/>
            <w:vMerge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</w:tcPr>
          <w:p/>
        </w:tc>
        <w:tc>
          <w:tcPr>
            <w:tcW w:type="dxa" w:w="124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0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施工周围环境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</w:p>
        </w:tc>
        <w:tc>
          <w:tcPr>
            <w:tcW w:type="dxa" w:w="19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144" w:right="144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围岩、土层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0.05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有害物质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0.016 7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周边道路情况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0.033 3</w:t>
            </w:r>
          </w:p>
        </w:tc>
        <w:tc>
          <w:tcPr>
            <w:tcW w:type="dxa" w:w="840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52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12</w:t>
            </w:r>
          </w:p>
        </w:tc>
      </w:tr>
      <w:tr>
        <w:trPr>
          <w:trHeight w:hRule="exact" w:val="1398"/>
        </w:trPr>
        <w:tc>
          <w:tcPr>
            <w:tcW w:type="dxa" w:w="2636"/>
            <w:vMerge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</w:tcPr>
          <w:p/>
        </w:tc>
        <w:tc>
          <w:tcPr>
            <w:tcW w:type="dxa" w:w="124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8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桩基托换施工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</w:p>
        </w:tc>
        <w:tc>
          <w:tcPr>
            <w:tcW w:type="dxa" w:w="19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0" w:after="0"/>
              <w:ind w:left="288" w:right="288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注浆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0.046 2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新桩制作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0.069 3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主次梁施工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0.092 4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千斤顶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0.023 1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截桩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0.069 3</w:t>
            </w:r>
          </w:p>
        </w:tc>
        <w:tc>
          <w:tcPr>
            <w:tcW w:type="dxa" w:w="840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50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5</w:t>
            </w:r>
          </w:p>
        </w:tc>
      </w:tr>
      <w:tr>
        <w:trPr>
          <w:trHeight w:hRule="exact" w:val="840"/>
        </w:trPr>
        <w:tc>
          <w:tcPr>
            <w:tcW w:type="dxa" w:w="2636"/>
            <w:vMerge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</w:tcPr>
          <w:p/>
        </w:tc>
        <w:tc>
          <w:tcPr>
            <w:tcW w:type="dxa" w:w="124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30" w:after="0"/>
              <w:ind w:left="120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盾构施工（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</w:p>
        </w:tc>
        <w:tc>
          <w:tcPr>
            <w:tcW w:type="dxa" w:w="19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0" w:after="0"/>
              <w:ind w:left="288" w:right="288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盾构机质量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0.050 1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施工情况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0.099 9</w:t>
            </w:r>
            <w:r>
              <w:br/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土体情况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0.15</w:t>
            </w:r>
          </w:p>
        </w:tc>
        <w:tc>
          <w:tcPr>
            <w:tcW w:type="dxa" w:w="840"/>
            <w:tcBorders>
              <w:start w:sz="3.9679999351501465" w:val="single" w:color="#221815"/>
              <w:top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50" w:after="0"/>
              <w:ind w:left="374" w:right="38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</w:t>
            </w:r>
          </w:p>
        </w:tc>
      </w:tr>
      <w:tr>
        <w:trPr>
          <w:trHeight w:hRule="exact" w:val="560"/>
        </w:trPr>
        <w:tc>
          <w:tcPr>
            <w:tcW w:type="dxa" w:w="2636"/>
            <w:vMerge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</w:tcPr>
          <w:p/>
        </w:tc>
        <w:tc>
          <w:tcPr>
            <w:tcW w:type="dxa" w:w="124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90" w:after="0"/>
              <w:ind w:left="280" w:right="0" w:firstLine="0"/>
              <w:jc w:val="lef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管理（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0.1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</w:t>
            </w:r>
          </w:p>
        </w:tc>
        <w:tc>
          <w:tcPr>
            <w:tcW w:type="dxa" w:w="1940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工程情况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0.033 3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施工情况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0.066 7</w:t>
            </w:r>
          </w:p>
        </w:tc>
        <w:tc>
          <w:tcPr>
            <w:tcW w:type="dxa" w:w="840"/>
            <w:tcBorders>
              <w:start w:sz="3.9679999351501465" w:val="single" w:color="#221815"/>
              <w:top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50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12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6</w:t>
            </w:r>
          </w:p>
        </w:tc>
      </w:tr>
    </w:tbl>
    <w:p>
      <w:pPr>
        <w:autoSpaceDN w:val="0"/>
        <w:tabs>
          <w:tab w:pos="926" w:val="left"/>
          <w:tab w:pos="3038" w:val="left"/>
        </w:tabs>
        <w:autoSpaceDE w:val="0"/>
        <w:widowControl/>
        <w:spacing w:line="252" w:lineRule="auto" w:before="132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221815"/>
          <w:sz w:val="21"/>
        </w:rPr>
        <w:t xml:space="preserve">3.3 </w:t>
      </w:r>
      <w:r>
        <w:rPr>
          <w:rFonts w:ascii="FZHTJW" w:hAnsi="FZHTJW" w:eastAsia="FZHTJW"/>
          <w:b w:val="0"/>
          <w:i w:val="0"/>
          <w:color w:val="221815"/>
          <w:sz w:val="21"/>
        </w:rPr>
        <w:t>模糊综合评价</w:t>
      </w:r>
      <w:r>
        <w:br/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根据查阅相关文献资料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[12]</w:t>
      </w:r>
      <w:r>
        <w:rPr>
          <w:rFonts w:ascii="FZBSJW" w:hAnsi="FZBSJW" w:eastAsia="FZBSJW"/>
          <w:b w:val="0"/>
          <w:i w:val="0"/>
          <w:color w:val="221815"/>
          <w:sz w:val="21"/>
        </w:rPr>
        <w:t>，对各方案层事件进评</w:t>
      </w:r>
      <w:r>
        <w:rPr>
          <w:rFonts w:ascii="FZBSJW" w:hAnsi="FZBSJW" w:eastAsia="FZBSJW"/>
          <w:b w:val="0"/>
          <w:i w:val="0"/>
          <w:color w:val="221815"/>
          <w:sz w:val="21"/>
        </w:rPr>
        <w:t>价打分见表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11</w:t>
      </w:r>
      <w:r>
        <w:rPr>
          <w:rFonts w:ascii="FZBSJW" w:hAnsi="FZBSJW" w:eastAsia="FZBSJW"/>
          <w:b w:val="0"/>
          <w:i w:val="0"/>
          <w:color w:val="221815"/>
          <w:sz w:val="21"/>
        </w:rPr>
        <w:t>。指标体系中的评价集确定为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V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={4</w:t>
      </w:r>
      <w:r>
        <w:rPr>
          <w:rFonts w:ascii="FZBSJW" w:hAnsi="FZBSJW" w:eastAsia="FZBSJW"/>
          <w:b w:val="0"/>
          <w:i w:val="0"/>
          <w:color w:val="221815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3</w:t>
      </w:r>
      <w:r>
        <w:rPr>
          <w:rFonts w:ascii="FZBSJW" w:hAnsi="FZBSJW" w:eastAsia="FZBSJW"/>
          <w:b w:val="0"/>
          <w:i w:val="0"/>
          <w:color w:val="221815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2</w:t>
      </w:r>
      <w:r>
        <w:rPr>
          <w:rFonts w:ascii="FZBSJW" w:hAnsi="FZBSJW" w:eastAsia="FZBSJW"/>
          <w:b w:val="0"/>
          <w:i w:val="0"/>
          <w:color w:val="221815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1}={</w:t>
      </w:r>
      <w:r>
        <w:rPr>
          <w:rFonts w:ascii="FZBSJW" w:hAnsi="FZBSJW" w:eastAsia="FZBSJW"/>
          <w:b w:val="0"/>
          <w:i w:val="0"/>
          <w:color w:val="221815"/>
          <w:sz w:val="21"/>
        </w:rPr>
        <w:t>优，较好，良，不及格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}</w:t>
      </w:r>
      <w:r>
        <w:rPr>
          <w:rFonts w:ascii="FZBSJW" w:hAnsi="FZBSJW" w:eastAsia="FZBSJW"/>
          <w:b w:val="0"/>
          <w:i w:val="0"/>
          <w:color w:val="221815"/>
          <w:sz w:val="21"/>
        </w:rPr>
        <w:t>。将表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10</w:t>
      </w:r>
      <w:r>
        <w:rPr>
          <w:rFonts w:ascii="FZBSJW" w:hAnsi="FZBSJW" w:eastAsia="FZBSJW"/>
          <w:b w:val="0"/>
          <w:i w:val="0"/>
          <w:color w:val="221815"/>
          <w:sz w:val="21"/>
        </w:rPr>
        <w:t>中各影</w:t>
      </w:r>
      <w:r>
        <w:rPr>
          <w:rFonts w:ascii="FZBSJW" w:hAnsi="FZBSJW" w:eastAsia="FZBSJW"/>
          <w:b w:val="0"/>
          <w:i w:val="0"/>
          <w:color w:val="221815"/>
          <w:sz w:val="21"/>
        </w:rPr>
        <w:t>响因素中方案层因素构造为单元权重集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rFonts w:ascii="FZBSJW" w:hAnsi="FZBSJW" w:eastAsia="FZBSJW"/>
          <w:b w:val="0"/>
          <w:i w:val="0"/>
          <w:color w:val="221815"/>
          <w:sz w:val="21"/>
        </w:rPr>
        <w:t>，将表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11</w:t>
      </w:r>
      <w:r>
        <w:rPr>
          <w:rFonts w:ascii="FZBSJW" w:hAnsi="FZBSJW" w:eastAsia="FZBSJW"/>
          <w:b w:val="0"/>
          <w:i w:val="0"/>
          <w:color w:val="221815"/>
          <w:sz w:val="21"/>
        </w:rPr>
        <w:t>中</w:t>
      </w:r>
      <w:r>
        <w:rPr>
          <w:rFonts w:ascii="FZBSJW" w:hAnsi="FZBSJW" w:eastAsia="FZBSJW"/>
          <w:b w:val="0"/>
          <w:i w:val="0"/>
          <w:color w:val="221815"/>
          <w:sz w:val="21"/>
        </w:rPr>
        <w:t>评价结果构造为模糊关系矩阵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rFonts w:ascii="FZBSJW" w:hAnsi="FZBSJW" w:eastAsia="FZBSJW"/>
          <w:b w:val="0"/>
          <w:i w:val="0"/>
          <w:color w:val="221815"/>
          <w:sz w:val="21"/>
        </w:rPr>
        <w:t>。随后进行模糊变</w:t>
      </w:r>
      <w:r>
        <w:rPr>
          <w:rFonts w:ascii="FZBSJW" w:hAnsi="FZBSJW" w:eastAsia="FZBSJW"/>
          <w:b w:val="0"/>
          <w:i w:val="0"/>
          <w:color w:val="221815"/>
          <w:sz w:val="21"/>
        </w:rPr>
        <w:t>换，将单元权重集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rFonts w:ascii="FZBSJW" w:hAnsi="FZBSJW" w:eastAsia="FZBSJW"/>
          <w:b w:val="0"/>
          <w:i w:val="0"/>
          <w:color w:val="221815"/>
          <w:sz w:val="21"/>
        </w:rPr>
        <w:t>与模糊关系矩阵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rFonts w:ascii="FZBSJW" w:hAnsi="FZBSJW" w:eastAsia="FZBSJW"/>
          <w:b w:val="0"/>
          <w:i w:val="0"/>
          <w:color w:val="221815"/>
          <w:sz w:val="21"/>
        </w:rPr>
        <w:t>进行相应的计</w:t>
      </w:r>
      <w:r>
        <w:rPr>
          <w:rFonts w:ascii="FZBSJW" w:hAnsi="FZBSJW" w:eastAsia="FZBSJW"/>
          <w:b w:val="0"/>
          <w:i w:val="0"/>
          <w:color w:val="221815"/>
          <w:sz w:val="21"/>
        </w:rPr>
        <w:t>算后，得到模糊的综合评价结果。</w:t>
      </w:r>
    </w:p>
    <w:p>
      <w:pPr>
        <w:autoSpaceDN w:val="0"/>
        <w:tabs>
          <w:tab w:pos="926" w:val="left"/>
        </w:tabs>
        <w:autoSpaceDE w:val="0"/>
        <w:widowControl/>
        <w:spacing w:line="245" w:lineRule="auto" w:before="86" w:after="0"/>
        <w:ind w:left="508" w:right="0" w:firstLine="0"/>
        <w:jc w:val="left"/>
      </w:pPr>
      <w:r>
        <w:tab/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B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 = 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A</w:t>
      </w:r>
      <w:r>
        <w:rPr>
          <w:rFonts w:ascii="FZBSJW" w:hAnsi="FZBSJW" w:eastAsia="FZBSJW"/>
          <w:b w:val="0"/>
          <w:i w:val="0"/>
          <w:color w:val="221815"/>
          <w:sz w:val="21"/>
        </w:rPr>
        <w:t>×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R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 = [0.275 86 0.223 27 0.314 42 0.186 18] </w:t>
      </w:r>
      <w:r>
        <w:tab/>
      </w:r>
      <w:r>
        <w:rPr>
          <w:rFonts w:ascii="FZBSJW" w:hAnsi="FZBSJW" w:eastAsia="FZBSJW"/>
          <w:b w:val="0"/>
          <w:i w:val="0"/>
          <w:color w:val="221815"/>
          <w:sz w:val="21"/>
        </w:rPr>
        <w:t>则方案评价最终得分为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N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 xml:space="preserve"> = </w:t>
      </w:r>
      <w:r>
        <w:rPr>
          <w:rFonts w:ascii="TimesNewRomanPS" w:hAnsi="TimesNewRomanPS" w:eastAsia="TimesNewRomanPS"/>
          <w:b w:val="0"/>
          <w:i/>
          <w:color w:val="221815"/>
          <w:sz w:val="21"/>
        </w:rPr>
        <w:t>B·V</w:t>
      </w:r>
      <w:r>
        <w:rPr>
          <w:w w:val="101.82999769846599"/>
          <w:rFonts w:ascii="TimesNewRomanPSMT" w:hAnsi="TimesNewRomanPSMT" w:eastAsia="TimesNewRomanPSMT"/>
          <w:b w:val="0"/>
          <w:i w:val="0"/>
          <w:color w:val="221815"/>
          <w:sz w:val="12"/>
        </w:rPr>
        <w:t>T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=0.258 818</w:t>
      </w:r>
      <w:r>
        <w:rPr>
          <w:rFonts w:ascii="FZBSJW" w:hAnsi="FZBSJW" w:eastAsia="FZBSJW"/>
          <w:b w:val="0"/>
          <w:i w:val="0"/>
          <w:color w:val="221815"/>
          <w:sz w:val="21"/>
        </w:rPr>
        <w:t>。由上</w:t>
      </w:r>
      <w:r>
        <w:rPr>
          <w:rFonts w:ascii="FZBSJW" w:hAnsi="FZBSJW" w:eastAsia="FZBSJW"/>
          <w:b w:val="0"/>
          <w:i w:val="0"/>
          <w:color w:val="221815"/>
          <w:sz w:val="21"/>
        </w:rPr>
        <w:t>述评价集得出，该施工安全风险评价等级为良。</w:t>
      </w:r>
    </w:p>
    <w:p>
      <w:pPr>
        <w:sectPr>
          <w:type w:val="continuous"/>
          <w:pgSz w:w="11906" w:h="16838"/>
          <w:pgMar w:top="756" w:right="962" w:bottom="168" w:left="400" w:header="720" w:footer="720" w:gutter="0"/>
          <w:cols w:num="2" w:equalWidth="0">
            <w:col w:w="5496" w:space="0"/>
            <w:col w:w="50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.99999999999932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90"/>
        </w:trPr>
        <w:tc>
          <w:tcPr>
            <w:tcW w:type="dxa" w:w="1288"/>
            <w:tcBorders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评价因素</w:t>
            </w:r>
          </w:p>
        </w:tc>
        <w:tc>
          <w:tcPr>
            <w:tcW w:type="dxa" w:w="856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优</w:t>
            </w:r>
          </w:p>
        </w:tc>
        <w:tc>
          <w:tcPr>
            <w:tcW w:type="dxa" w:w="858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较好</w:t>
            </w:r>
          </w:p>
        </w:tc>
        <w:tc>
          <w:tcPr>
            <w:tcW w:type="dxa" w:w="854"/>
            <w:tcBorders>
              <w:start w:sz="3.9679999351501465" w:val="single" w:color="#221815"/>
              <w:top w:sz="7.935999870300293" w:val="single" w:color="#221815"/>
              <w:end w:sz="3.9679999351501465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良</w:t>
            </w:r>
          </w:p>
        </w:tc>
        <w:tc>
          <w:tcPr>
            <w:tcW w:type="dxa" w:w="1010"/>
            <w:tcBorders>
              <w:start w:sz="3.9679999351501465" w:val="single" w:color="#221815"/>
              <w:top w:sz="7.935999870300293" w:val="single" w:color="#221815"/>
              <w:bottom w:sz="3.9679999351501465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不及格</w:t>
            </w:r>
          </w:p>
        </w:tc>
      </w:tr>
      <w:tr>
        <w:trPr>
          <w:trHeight w:hRule="exact" w:val="4632"/>
        </w:trPr>
        <w:tc>
          <w:tcPr>
            <w:tcW w:type="dxa" w:w="1288"/>
            <w:tcBorders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52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2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3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4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5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6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7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8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9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10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11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12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13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14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 xml:space="preserve">15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221815"/>
                <w:sz w:val="16"/>
              </w:rPr>
              <w:t>P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221815"/>
                <w:sz w:val="9"/>
              </w:rPr>
              <w:t>16</w:t>
            </w:r>
          </w:p>
        </w:tc>
        <w:tc>
          <w:tcPr>
            <w:tcW w:type="dxa" w:w="856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54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0.2</w:t>
            </w:r>
          </w:p>
        </w:tc>
        <w:tc>
          <w:tcPr>
            <w:tcW w:type="dxa" w:w="858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54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0.2</w:t>
            </w:r>
          </w:p>
        </w:tc>
        <w:tc>
          <w:tcPr>
            <w:tcW w:type="dxa" w:w="854"/>
            <w:tcBorders>
              <w:start w:sz="3.9679999351501465" w:val="single" w:color="#221815"/>
              <w:top w:sz="3.9679999351501465" w:val="single" w:color="#221815"/>
              <w:end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54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0.3</w:t>
            </w:r>
          </w:p>
        </w:tc>
        <w:tc>
          <w:tcPr>
            <w:tcW w:type="dxa" w:w="1010"/>
            <w:tcBorders>
              <w:start w:sz="3.9679999351501465" w:val="single" w:color="#221815"/>
              <w:top w:sz="3.9679999351501465" w:val="single" w:color="#221815"/>
              <w:bottom w:sz="7.935999870300293" w:val="single" w:color="#22181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54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0.4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185" w:lineRule="auto" w:before="138" w:after="0"/>
        <w:ind w:left="142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程风险较高，需要着重对该过程进行风险防控。基于</w:t>
      </w:r>
    </w:p>
    <w:p>
      <w:pPr>
        <w:autoSpaceDN w:val="0"/>
        <w:autoSpaceDE w:val="0"/>
        <w:widowControl/>
        <w:spacing w:line="185" w:lineRule="auto" w:before="100" w:after="0"/>
        <w:ind w:left="142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模糊层次分析法为地铁盾构隧道穿越城市立交桥桩基</w:t>
      </w:r>
    </w:p>
    <w:p>
      <w:pPr>
        <w:autoSpaceDN w:val="0"/>
        <w:autoSpaceDE w:val="0"/>
        <w:widowControl/>
        <w:spacing w:line="187" w:lineRule="auto" w:before="96" w:after="0"/>
        <w:ind w:left="142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群施工建立了多层次综合评价方法，并应用于成都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13</w:t>
      </w:r>
    </w:p>
    <w:p>
      <w:pPr>
        <w:autoSpaceDN w:val="0"/>
        <w:autoSpaceDE w:val="0"/>
        <w:widowControl/>
        <w:spacing w:line="185" w:lineRule="auto" w:before="100" w:after="0"/>
        <w:ind w:left="142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号线隧道施工中，指出了施工风险事件及其风险等</w:t>
      </w:r>
    </w:p>
    <w:p>
      <w:pPr>
        <w:autoSpaceDN w:val="0"/>
        <w:autoSpaceDE w:val="0"/>
        <w:widowControl/>
        <w:spacing w:line="185" w:lineRule="auto" w:before="100" w:after="0"/>
        <w:ind w:left="0" w:right="0" w:firstLine="0"/>
        <w:jc w:val="center"/>
      </w:pPr>
      <w:r>
        <w:rPr>
          <w:rFonts w:ascii="FZBSJW" w:hAnsi="FZBSJW" w:eastAsia="FZBSJW"/>
          <w:b w:val="0"/>
          <w:i w:val="0"/>
          <w:color w:val="221815"/>
          <w:sz w:val="21"/>
        </w:rPr>
        <w:t>级，可为今后相关工程优化组织施工方案提供依据。</w:t>
      </w:r>
    </w:p>
    <w:p>
      <w:pPr>
        <w:autoSpaceDN w:val="0"/>
        <w:autoSpaceDE w:val="0"/>
        <w:widowControl/>
        <w:spacing w:line="182" w:lineRule="auto" w:before="208" w:after="0"/>
        <w:ind w:left="0" w:right="2092" w:firstLine="0"/>
        <w:jc w:val="right"/>
      </w:pPr>
      <w:r>
        <w:rPr>
          <w:w w:val="97.5"/>
          <w:rFonts w:ascii="FZHTJW" w:hAnsi="FZHTJW" w:eastAsia="FZHTJW"/>
          <w:b w:val="0"/>
          <w:i w:val="0"/>
          <w:color w:val="221815"/>
          <w:sz w:val="20"/>
        </w:rPr>
        <w:t>参考文献</w:t>
      </w:r>
    </w:p>
    <w:p>
      <w:pPr>
        <w:autoSpaceDN w:val="0"/>
        <w:tabs>
          <w:tab w:pos="482" w:val="left"/>
        </w:tabs>
        <w:autoSpaceDE w:val="0"/>
        <w:widowControl/>
        <w:spacing w:line="250" w:lineRule="auto" w:before="104" w:after="0"/>
        <w:ind w:left="1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[1] </w:t>
      </w:r>
      <w:r>
        <w:rPr>
          <w:rFonts w:ascii="FZBSJW" w:hAnsi="FZBSJW" w:eastAsia="FZBSJW"/>
          <w:b w:val="0"/>
          <w:i w:val="0"/>
          <w:color w:val="221815"/>
          <w:sz w:val="16"/>
        </w:rPr>
        <w:t>路军富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张宏鑫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裴起帆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铁路隧道施工阶段监测等级划分方法及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应用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[J/OL].</w:t>
      </w:r>
      <w:r>
        <w:rPr>
          <w:rFonts w:ascii="FZBSJW" w:hAnsi="FZBSJW" w:eastAsia="FZBSJW"/>
          <w:b w:val="0"/>
          <w:i w:val="0"/>
          <w:color w:val="221815"/>
          <w:sz w:val="16"/>
        </w:rPr>
        <w:t>现代隧道技术：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1-8[2022-11-21].http</w:t>
      </w:r>
      <w:r>
        <w:rPr>
          <w:rFonts w:ascii="FZBSJW" w:hAnsi="FZBSJW" w:eastAsia="FZBSJW"/>
          <w:b w:val="0"/>
          <w:i w:val="0"/>
          <w:color w:val="221815"/>
          <w:sz w:val="16"/>
        </w:rPr>
        <w:t>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//kns.cnki.net/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kcms/detail/51.1600.U.20220811.1933.008.html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[2] </w:t>
      </w:r>
      <w:r>
        <w:rPr>
          <w:rFonts w:ascii="FZBSJW" w:hAnsi="FZBSJW" w:eastAsia="FZBSJW"/>
          <w:b w:val="0"/>
          <w:i w:val="0"/>
          <w:color w:val="221815"/>
          <w:sz w:val="16"/>
        </w:rPr>
        <w:t>何志军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地铁区间隧道下穿福厦铁路风险分析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[J].</w:t>
      </w:r>
      <w:r>
        <w:rPr>
          <w:rFonts w:ascii="FZBSJW" w:hAnsi="FZBSJW" w:eastAsia="FZBSJW"/>
          <w:b w:val="0"/>
          <w:i w:val="0"/>
          <w:color w:val="221815"/>
          <w:sz w:val="16"/>
        </w:rPr>
        <w:t>铁道标准设计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2018, 62</w:t>
      </w: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8</w:t>
      </w:r>
      <w:r>
        <w:rPr>
          <w:rFonts w:ascii="FZBSJW" w:hAnsi="FZBSJW" w:eastAsia="FZBSJW"/>
          <w:b w:val="0"/>
          <w:i w:val="0"/>
          <w:color w:val="221815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105–110.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60" w:after="0"/>
        <w:ind w:left="1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[3] </w:t>
      </w:r>
      <w:r>
        <w:rPr>
          <w:rFonts w:ascii="FZBSJW" w:hAnsi="FZBSJW" w:eastAsia="FZBSJW"/>
          <w:b w:val="0"/>
          <w:i w:val="0"/>
          <w:color w:val="221815"/>
          <w:sz w:val="16"/>
        </w:rPr>
        <w:t>吴贤国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张立茂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候铁明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等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地铁盾构隧道施工对邻近建筑物的安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全风险分析方法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[J].</w:t>
      </w:r>
      <w:r>
        <w:rPr>
          <w:rFonts w:ascii="FZBSJW" w:hAnsi="FZBSJW" w:eastAsia="FZBSJW"/>
          <w:b w:val="0"/>
          <w:i w:val="0"/>
          <w:color w:val="221815"/>
          <w:sz w:val="16"/>
        </w:rPr>
        <w:t>城市轨道交通研究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2015, 18</w:t>
      </w: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8</w:t>
      </w:r>
      <w:r>
        <w:rPr>
          <w:rFonts w:ascii="FZBSJW" w:hAnsi="FZBSJW" w:eastAsia="FZBSJW"/>
          <w:b w:val="0"/>
          <w:i w:val="0"/>
          <w:color w:val="221815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105–110. 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[4] </w:t>
      </w:r>
      <w:r>
        <w:rPr>
          <w:rFonts w:ascii="FZBSJW" w:hAnsi="FZBSJW" w:eastAsia="FZBSJW"/>
          <w:b w:val="0"/>
          <w:i w:val="0"/>
          <w:color w:val="221815"/>
          <w:sz w:val="16"/>
        </w:rPr>
        <w:t>张立茂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张青英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吴贤国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等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地铁隧道施工盾构刀盘失效风险分析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[J].</w:t>
      </w:r>
      <w:r>
        <w:rPr>
          <w:rFonts w:ascii="FZBSJW" w:hAnsi="FZBSJW" w:eastAsia="FZBSJW"/>
          <w:b w:val="0"/>
          <w:i w:val="0"/>
          <w:color w:val="221815"/>
          <w:sz w:val="16"/>
        </w:rPr>
        <w:t>中国安全科学学报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2014, 24</w:t>
      </w: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7</w:t>
      </w:r>
      <w:r>
        <w:rPr>
          <w:rFonts w:ascii="FZBSJW" w:hAnsi="FZBSJW" w:eastAsia="FZBSJW"/>
          <w:b w:val="0"/>
          <w:i w:val="0"/>
          <w:color w:val="221815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81–87.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60" w:after="0"/>
        <w:ind w:left="1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[5] </w:t>
      </w:r>
      <w:r>
        <w:rPr>
          <w:rFonts w:ascii="FZBSJW" w:hAnsi="FZBSJW" w:eastAsia="FZBSJW"/>
          <w:b w:val="0"/>
          <w:i w:val="0"/>
          <w:color w:val="221815"/>
          <w:sz w:val="16"/>
        </w:rPr>
        <w:t>陈子全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汪波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吴迪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等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盾构隧道穿越桥梁桩基群的桩基托换技术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研究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[J].</w:t>
      </w:r>
      <w:r>
        <w:rPr>
          <w:rFonts w:ascii="FZBSJW" w:hAnsi="FZBSJW" w:eastAsia="FZBSJW"/>
          <w:b w:val="0"/>
          <w:i w:val="0"/>
          <w:color w:val="221815"/>
          <w:sz w:val="16"/>
        </w:rPr>
        <w:t>现代隧道技术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2019, 56</w:t>
      </w: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5</w:t>
      </w:r>
      <w:r>
        <w:rPr>
          <w:rFonts w:ascii="FZBSJW" w:hAnsi="FZBSJW" w:eastAsia="FZBSJW"/>
          <w:b w:val="0"/>
          <w:i w:val="0"/>
          <w:color w:val="221815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133–141.</w:t>
      </w:r>
    </w:p>
    <w:p>
      <w:pPr>
        <w:autoSpaceDN w:val="0"/>
        <w:autoSpaceDE w:val="0"/>
        <w:widowControl/>
        <w:spacing w:line="190" w:lineRule="auto" w:before="60" w:after="0"/>
        <w:ind w:left="1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[6] </w:t>
      </w:r>
      <w:r>
        <w:rPr>
          <w:rFonts w:ascii="FZBSJW" w:hAnsi="FZBSJW" w:eastAsia="FZBSJW"/>
          <w:b w:val="0"/>
          <w:i w:val="0"/>
          <w:color w:val="221815"/>
          <w:sz w:val="16"/>
        </w:rPr>
        <w:t>苏培东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赵熠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邱鹏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等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花岗岩蚀变带隧道涌水量预测研究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[J/OL].</w:t>
      </w:r>
    </w:p>
    <w:p>
      <w:pPr>
        <w:autoSpaceDN w:val="0"/>
        <w:autoSpaceDE w:val="0"/>
        <w:widowControl/>
        <w:spacing w:line="245" w:lineRule="auto" w:before="60" w:after="0"/>
        <w:ind w:left="482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16"/>
        </w:rPr>
        <w:t>地下空间与工程学报：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1–21[2022–11–21].http</w:t>
      </w:r>
      <w:r>
        <w:rPr>
          <w:rFonts w:ascii="FZBSJW" w:hAnsi="FZBSJW" w:eastAsia="FZBSJW"/>
          <w:b w:val="0"/>
          <w:i w:val="0"/>
          <w:color w:val="221815"/>
          <w:sz w:val="16"/>
        </w:rPr>
        <w:t>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//kns.cnki.net/ 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kcms/detail/50.1169.TU.20220302.1338.006.html.</w:t>
      </w:r>
    </w:p>
    <w:p>
      <w:pPr>
        <w:autoSpaceDN w:val="0"/>
        <w:autoSpaceDE w:val="0"/>
        <w:widowControl/>
        <w:spacing w:line="190" w:lineRule="auto" w:before="62" w:after="60"/>
        <w:ind w:left="1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[7] </w:t>
      </w:r>
      <w:r>
        <w:rPr>
          <w:rFonts w:ascii="FZBSJW" w:hAnsi="FZBSJW" w:eastAsia="FZBSJW"/>
          <w:b w:val="0"/>
          <w:i w:val="0"/>
          <w:color w:val="221815"/>
          <w:sz w:val="16"/>
        </w:rPr>
        <w:t>宋战平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郭德赛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徐甜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等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基于非线性模糊层次分析法的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TBM</w:t>
      </w:r>
      <w:r>
        <w:rPr>
          <w:rFonts w:ascii="FZBSJW" w:hAnsi="FZBSJW" w:eastAsia="FZBSJW"/>
          <w:b w:val="0"/>
          <w:i w:val="0"/>
          <w:color w:val="221815"/>
          <w:sz w:val="16"/>
        </w:rPr>
        <w:t>施工</w:t>
      </w:r>
    </w:p>
    <w:p>
      <w:pPr>
        <w:sectPr>
          <w:type w:val="nextColumn"/>
          <w:pgSz w:w="11906" w:h="16838"/>
          <w:pgMar w:top="756" w:right="962" w:bottom="168" w:left="400" w:header="720" w:footer="720" w:gutter="0"/>
          <w:cols w:num="2" w:equalWidth="0">
            <w:col w:w="5496" w:space="0"/>
            <w:col w:w="50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272"/>
        <w:gridCol w:w="5272"/>
      </w:tblGrid>
      <w:tr>
        <w:trPr>
          <w:trHeight w:hRule="exact" w:val="40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2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221815"/>
                <w:sz w:val="24"/>
              </w:rPr>
              <w:t xml:space="preserve">4 </w:t>
            </w:r>
            <w:r>
              <w:rPr>
                <w:rFonts w:ascii="FZHTJW" w:hAnsi="FZHTJW" w:eastAsia="FZHTJW"/>
                <w:b w:val="0"/>
                <w:i w:val="0"/>
                <w:color w:val="221815"/>
                <w:sz w:val="24"/>
              </w:rPr>
              <w:t>结束语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434" w:firstLine="0"/>
              <w:jc w:val="right"/>
            </w:pP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风险评价模型研究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[J].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岩土力学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, 2021, 42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5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）：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1424–1433.</w:t>
            </w:r>
          </w:p>
          <w:p>
            <w:pPr>
              <w:autoSpaceDN w:val="0"/>
              <w:autoSpaceDE w:val="0"/>
              <w:widowControl/>
              <w:spacing w:line="190" w:lineRule="auto" w:before="60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[8]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代言明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,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胡彦杰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,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邓敏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 xml:space="preserve">, 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815"/>
                <w:sz w:val="16"/>
              </w:rPr>
              <w:t>.</w:t>
            </w:r>
            <w:r>
              <w:rPr>
                <w:rFonts w:ascii="FZBSJW" w:hAnsi="FZBSJW" w:eastAsia="FZBSJW"/>
                <w:b w:val="0"/>
                <w:i w:val="0"/>
                <w:color w:val="221815"/>
                <w:sz w:val="16"/>
              </w:rPr>
              <w:t>基于模糊网络分析法的公路隧道火灾风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2"/>
        <w:ind w:left="0" w:right="0"/>
      </w:pPr>
    </w:p>
    <w:p>
      <w:pPr>
        <w:sectPr>
          <w:type w:val="continuous"/>
          <w:pgSz w:w="11906" w:h="16838"/>
          <w:pgMar w:top="756" w:right="96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508" w:right="144" w:firstLine="418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成都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13</w:t>
      </w:r>
      <w:r>
        <w:rPr>
          <w:rFonts w:ascii="FZBSJW" w:hAnsi="FZBSJW" w:eastAsia="FZBSJW"/>
          <w:b w:val="0"/>
          <w:i w:val="0"/>
          <w:color w:val="221815"/>
          <w:sz w:val="21"/>
        </w:rPr>
        <w:t>号线地铁盾构隧道穿越城市立交桥桩基</w:t>
      </w:r>
      <w:r>
        <w:rPr>
          <w:rFonts w:ascii="FZBSJW" w:hAnsi="FZBSJW" w:eastAsia="FZBSJW"/>
          <w:b w:val="0"/>
          <w:i w:val="0"/>
          <w:color w:val="221815"/>
          <w:sz w:val="21"/>
        </w:rPr>
        <w:t>群施工安全风险综合评价为“良”。表明该隧道施工</w:t>
      </w:r>
      <w:r>
        <w:rPr>
          <w:rFonts w:ascii="FZBSJW" w:hAnsi="FZBSJW" w:eastAsia="FZBSJW"/>
          <w:b w:val="0"/>
          <w:i w:val="0"/>
          <w:color w:val="221815"/>
          <w:sz w:val="21"/>
        </w:rPr>
        <w:t>方案良好，可以组织施工，但仍存在一定安全风险。</w:t>
      </w:r>
      <w:r>
        <w:rPr>
          <w:rFonts w:ascii="FZBSJW" w:hAnsi="FZBSJW" w:eastAsia="FZBSJW"/>
          <w:b w:val="0"/>
          <w:i w:val="0"/>
          <w:color w:val="221815"/>
          <w:sz w:val="21"/>
        </w:rPr>
        <w:t>“既有地表建筑物情况”“桩基托换施工”“盾构施</w:t>
      </w:r>
      <w:r>
        <w:rPr>
          <w:rFonts w:ascii="FZBSJW" w:hAnsi="FZBSJW" w:eastAsia="FZBSJW"/>
          <w:b w:val="0"/>
          <w:i w:val="0"/>
          <w:color w:val="221815"/>
          <w:sz w:val="21"/>
        </w:rPr>
        <w:t>工”和“管理”均有“不及格”的方面，需要在施工</w:t>
      </w:r>
      <w:r>
        <w:rPr>
          <w:rFonts w:ascii="FZBSJW" w:hAnsi="FZBSJW" w:eastAsia="FZBSJW"/>
          <w:b w:val="0"/>
          <w:i w:val="0"/>
          <w:color w:val="221815"/>
          <w:sz w:val="21"/>
        </w:rPr>
        <w:t>中对这</w:t>
      </w:r>
      <w:r>
        <w:rPr>
          <w:rFonts w:ascii="TimesNewRomanPSMT" w:hAnsi="TimesNewRomanPSMT" w:eastAsia="TimesNewRomanPSMT"/>
          <w:b w:val="0"/>
          <w:i w:val="0"/>
          <w:color w:val="221815"/>
          <w:sz w:val="21"/>
        </w:rPr>
        <w:t>4</w:t>
      </w:r>
      <w:r>
        <w:rPr>
          <w:rFonts w:ascii="FZBSJW" w:hAnsi="FZBSJW" w:eastAsia="FZBSJW"/>
          <w:b w:val="0"/>
          <w:i w:val="0"/>
          <w:color w:val="221815"/>
          <w:sz w:val="21"/>
        </w:rPr>
        <w:t>个方面进行加强组织计划与管理。</w:t>
      </w:r>
    </w:p>
    <w:p>
      <w:pPr>
        <w:autoSpaceDN w:val="0"/>
        <w:autoSpaceDE w:val="0"/>
        <w:widowControl/>
        <w:spacing w:line="185" w:lineRule="auto" w:before="100" w:after="0"/>
        <w:ind w:left="926" w:right="0" w:firstLine="0"/>
        <w:jc w:val="left"/>
      </w:pPr>
      <w:r>
        <w:rPr>
          <w:rFonts w:ascii="FZBSJW" w:hAnsi="FZBSJW" w:eastAsia="FZBSJW"/>
          <w:b w:val="0"/>
          <w:i w:val="0"/>
          <w:color w:val="221815"/>
          <w:sz w:val="21"/>
        </w:rPr>
        <w:t>“桩基托换施工”及“盾构施工”这两个施工过</w:t>
      </w:r>
    </w:p>
    <w:p>
      <w:pPr>
        <w:autoSpaceDN w:val="0"/>
        <w:autoSpaceDE w:val="0"/>
        <w:widowControl/>
        <w:spacing w:line="204" w:lineRule="auto" w:before="242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221815"/>
          <w:sz w:val="20"/>
        </w:rPr>
        <w:t>·</w:t>
      </w:r>
      <w:r>
        <w:rPr>
          <w:rFonts w:ascii="TimesNewRomanPSMT" w:hAnsi="TimesNewRomanPSMT" w:eastAsia="TimesNewRomanPSMT"/>
          <w:b w:val="0"/>
          <w:i w:val="0"/>
          <w:color w:val="221815"/>
          <w:sz w:val="20"/>
        </w:rPr>
        <w:t>144</w:t>
      </w:r>
      <w:r>
        <w:rPr>
          <w:rFonts w:ascii="SimSun" w:hAnsi="SimSun" w:eastAsia="SimSun"/>
          <w:b w:val="0"/>
          <w:i w:val="0"/>
          <w:color w:val="221815"/>
          <w:sz w:val="20"/>
        </w:rPr>
        <w:t xml:space="preserve">· </w:t>
      </w:r>
    </w:p>
    <w:p>
      <w:pPr>
        <w:sectPr>
          <w:type w:val="continuous"/>
          <w:pgSz w:w="11906" w:h="16838"/>
          <w:pgMar w:top="756" w:right="962" w:bottom="168" w:left="400" w:header="720" w:footer="720" w:gutter="0"/>
          <w:cols w:num="2" w:equalWidth="0">
            <w:col w:w="5482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auto" w:before="0" w:after="0"/>
        <w:ind w:left="0" w:right="0" w:firstLine="0"/>
        <w:jc w:val="center"/>
      </w:pPr>
      <w:r>
        <w:rPr>
          <w:rFonts w:ascii="FZBSJW" w:hAnsi="FZBSJW" w:eastAsia="FZBSJW"/>
          <w:b w:val="0"/>
          <w:i w:val="0"/>
          <w:color w:val="221815"/>
          <w:sz w:val="16"/>
        </w:rPr>
        <w:t>险综合评价模型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[J].</w:t>
      </w:r>
      <w:r>
        <w:rPr>
          <w:rFonts w:ascii="FZBSJW" w:hAnsi="FZBSJW" w:eastAsia="FZBSJW"/>
          <w:b w:val="0"/>
          <w:i w:val="0"/>
          <w:color w:val="221815"/>
          <w:sz w:val="16"/>
        </w:rPr>
        <w:t>安全与环境学报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2016, 16</w:t>
      </w: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4</w:t>
      </w:r>
      <w:r>
        <w:rPr>
          <w:rFonts w:ascii="FZBSJW" w:hAnsi="FZBSJW" w:eastAsia="FZBSJW"/>
          <w:b w:val="0"/>
          <w:i w:val="0"/>
          <w:color w:val="221815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57–61.</w:t>
      </w:r>
    </w:p>
    <w:p>
      <w:pPr>
        <w:autoSpaceDN w:val="0"/>
        <w:tabs>
          <w:tab w:pos="496" w:val="left"/>
        </w:tabs>
        <w:autoSpaceDE w:val="0"/>
        <w:widowControl/>
        <w:spacing w:line="245" w:lineRule="auto" w:before="60" w:after="0"/>
        <w:ind w:left="1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[9] </w:t>
      </w:r>
      <w:r>
        <w:rPr>
          <w:rFonts w:ascii="FZBSJW" w:hAnsi="FZBSJW" w:eastAsia="FZBSJW"/>
          <w:b w:val="0"/>
          <w:i w:val="0"/>
          <w:color w:val="221815"/>
          <w:sz w:val="16"/>
        </w:rPr>
        <w:t>谢全敏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殷建强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杨文东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基于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AHP</w:t>
      </w:r>
      <w:r>
        <w:rPr>
          <w:rFonts w:ascii="FZBSJW" w:hAnsi="FZBSJW" w:eastAsia="FZBSJW"/>
          <w:b w:val="0"/>
          <w:i w:val="0"/>
          <w:color w:val="221815"/>
          <w:sz w:val="16"/>
        </w:rPr>
        <w:t>和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GC–TOPSIS</w:t>
      </w:r>
      <w:r>
        <w:rPr>
          <w:rFonts w:ascii="FZBSJW" w:hAnsi="FZBSJW" w:eastAsia="FZBSJW"/>
          <w:b w:val="0"/>
          <w:i w:val="0"/>
          <w:color w:val="221815"/>
          <w:sz w:val="16"/>
        </w:rPr>
        <w:t>的山区桥型方案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比选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[J].</w:t>
      </w:r>
      <w:r>
        <w:rPr>
          <w:rFonts w:ascii="FZBSJW" w:hAnsi="FZBSJW" w:eastAsia="FZBSJW"/>
          <w:b w:val="0"/>
          <w:i w:val="0"/>
          <w:color w:val="221815"/>
          <w:sz w:val="16"/>
        </w:rPr>
        <w:t>公路交通科技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2019, 36</w:t>
      </w: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3</w:t>
      </w:r>
      <w:r>
        <w:rPr>
          <w:rFonts w:ascii="FZBSJW" w:hAnsi="FZBSJW" w:eastAsia="FZBSJW"/>
          <w:b w:val="0"/>
          <w:i w:val="0"/>
          <w:color w:val="221815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102–108.</w:t>
      </w:r>
    </w:p>
    <w:p>
      <w:pPr>
        <w:autoSpaceDN w:val="0"/>
        <w:autoSpaceDE w:val="0"/>
        <w:widowControl/>
        <w:spacing w:line="247" w:lineRule="auto" w:before="60" w:after="0"/>
        <w:ind w:left="496" w:right="58" w:hanging="340"/>
        <w:jc w:val="both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[10] </w:t>
      </w:r>
      <w:r>
        <w:rPr>
          <w:rFonts w:ascii="FZBSJW" w:hAnsi="FZBSJW" w:eastAsia="FZBSJW"/>
          <w:b w:val="0"/>
          <w:i w:val="0"/>
          <w:color w:val="221815"/>
          <w:sz w:val="16"/>
        </w:rPr>
        <w:t>张志龙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赵金鹏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赵庚亮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, </w:t>
      </w:r>
      <w:r>
        <w:rPr>
          <w:rFonts w:ascii="FZBSJW" w:hAnsi="FZBSJW" w:eastAsia="FZBSJW"/>
          <w:b w:val="0"/>
          <w:i w:val="0"/>
          <w:color w:val="221815"/>
          <w:sz w:val="16"/>
        </w:rPr>
        <w:t>等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基于模糊层次分析法的岩溶区土压平</w:t>
      </w:r>
      <w:r>
        <w:rPr>
          <w:rFonts w:ascii="FZBSJW" w:hAnsi="FZBSJW" w:eastAsia="FZBSJW"/>
          <w:b w:val="0"/>
          <w:i w:val="0"/>
          <w:color w:val="221815"/>
          <w:sz w:val="16"/>
        </w:rPr>
        <w:t>衡盾构适应性评价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[J].</w:t>
      </w:r>
      <w:r>
        <w:rPr>
          <w:rFonts w:ascii="FZBSJW" w:hAnsi="FZBSJW" w:eastAsia="FZBSJW"/>
          <w:b w:val="0"/>
          <w:i w:val="0"/>
          <w:color w:val="221815"/>
          <w:sz w:val="16"/>
        </w:rPr>
        <w:t>科学技术与工程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2021, 21</w:t>
      </w: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32</w:t>
      </w:r>
      <w:r>
        <w:rPr>
          <w:rFonts w:ascii="FZBSJW" w:hAnsi="FZBSJW" w:eastAsia="FZBSJW"/>
          <w:b w:val="0"/>
          <w:i w:val="0"/>
          <w:color w:val="221815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13933–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13943.</w:t>
      </w:r>
    </w:p>
    <w:p>
      <w:pPr>
        <w:autoSpaceDN w:val="0"/>
        <w:tabs>
          <w:tab w:pos="496" w:val="left"/>
        </w:tabs>
        <w:autoSpaceDE w:val="0"/>
        <w:widowControl/>
        <w:spacing w:line="245" w:lineRule="auto" w:before="62" w:after="0"/>
        <w:ind w:left="1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[11] </w:t>
      </w:r>
      <w:r>
        <w:rPr>
          <w:rFonts w:ascii="FZBSJW" w:hAnsi="FZBSJW" w:eastAsia="FZBSJW"/>
          <w:b w:val="0"/>
          <w:i w:val="0"/>
          <w:color w:val="221815"/>
          <w:sz w:val="16"/>
        </w:rPr>
        <w:t>赵长庆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盾构下穿既有建筑物桩基托换的风险管理研究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[D].</w:t>
      </w:r>
      <w:r>
        <w:rPr>
          <w:rFonts w:ascii="FZBSJW" w:hAnsi="FZBSJW" w:eastAsia="FZBSJW"/>
          <w:b w:val="0"/>
          <w:i w:val="0"/>
          <w:color w:val="221815"/>
          <w:sz w:val="16"/>
        </w:rPr>
        <w:t>兰州：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兰州交通大学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2017.</w:t>
      </w:r>
    </w:p>
    <w:p>
      <w:pPr>
        <w:autoSpaceDN w:val="0"/>
        <w:tabs>
          <w:tab w:pos="496" w:val="left"/>
        </w:tabs>
        <w:autoSpaceDE w:val="0"/>
        <w:widowControl/>
        <w:spacing w:line="245" w:lineRule="auto" w:before="60" w:after="668"/>
        <w:ind w:left="1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 xml:space="preserve">[12] </w:t>
      </w:r>
      <w:r>
        <w:rPr>
          <w:rFonts w:ascii="FZBSJW" w:hAnsi="FZBSJW" w:eastAsia="FZBSJW"/>
          <w:b w:val="0"/>
          <w:i w:val="0"/>
          <w:color w:val="221815"/>
          <w:sz w:val="16"/>
        </w:rPr>
        <w:t>张楠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.</w:t>
      </w:r>
      <w:r>
        <w:rPr>
          <w:rFonts w:ascii="FZBSJW" w:hAnsi="FZBSJW" w:eastAsia="FZBSJW"/>
          <w:b w:val="0"/>
          <w:i w:val="0"/>
          <w:color w:val="221815"/>
          <w:sz w:val="16"/>
        </w:rPr>
        <w:t>大直径空推法盾构隧道施工风险模糊综合评判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[J].</w:t>
      </w:r>
      <w:r>
        <w:rPr>
          <w:rFonts w:ascii="FZBSJW" w:hAnsi="FZBSJW" w:eastAsia="FZBSJW"/>
          <w:b w:val="0"/>
          <w:i w:val="0"/>
          <w:color w:val="221815"/>
          <w:sz w:val="16"/>
        </w:rPr>
        <w:t>地下空间</w:t>
      </w:r>
      <w:r>
        <w:tab/>
      </w:r>
      <w:r>
        <w:rPr>
          <w:rFonts w:ascii="FZBSJW" w:hAnsi="FZBSJW" w:eastAsia="FZBSJW"/>
          <w:b w:val="0"/>
          <w:i w:val="0"/>
          <w:color w:val="221815"/>
          <w:sz w:val="16"/>
        </w:rPr>
        <w:t>与工程学报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, 2022, 18</w:t>
      </w:r>
      <w:r>
        <w:rPr>
          <w:rFonts w:ascii="FZBSJW" w:hAnsi="FZBSJW" w:eastAsia="FZBSJW"/>
          <w:b w:val="0"/>
          <w:i w:val="0"/>
          <w:color w:val="221815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S1</w:t>
      </w:r>
      <w:r>
        <w:rPr>
          <w:rFonts w:ascii="FZBSJW" w:hAnsi="FZBSJW" w:eastAsia="FZBSJW"/>
          <w:b w:val="0"/>
          <w:i w:val="0"/>
          <w:color w:val="221815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815"/>
          <w:sz w:val="16"/>
        </w:rPr>
        <w:t>364–369.</w:t>
      </w:r>
    </w:p>
    <w:p>
      <w:pPr>
        <w:sectPr>
          <w:type w:val="nextColumn"/>
          <w:pgSz w:w="11906" w:h="16838"/>
          <w:pgMar w:top="756" w:right="962" w:bottom="168" w:left="400" w:header="720" w:footer="720" w:gutter="0"/>
          <w:cols w:num="2" w:equalWidth="0">
            <w:col w:w="5482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756" w:right="96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