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190" w:lineRule="auto" w:before="0" w:after="0"/>
        <w:ind w:left="0" w:right="20" w:firstLine="0"/>
        <w:jc w:val="right"/>
      </w:pPr>
      <w:r>
        <w:rPr>
          <w:rFonts w:ascii="STXihei" w:hAnsi="STXihei" w:eastAsia="STXihei"/>
          <w:b w:val="0"/>
          <w:i w:val="0"/>
          <w:color w:val="626366"/>
          <w:sz w:val="22"/>
        </w:rPr>
        <w:t>盾构工程</w:t>
      </w:r>
      <w:r>
        <w:rPr>
          <w:rFonts w:ascii="HYb9gj" w:hAnsi="HYb9gj" w:eastAsia="HYb9gj"/>
          <w:b w:val="0"/>
          <w:i w:val="0"/>
          <w:color w:val="6C6E70"/>
          <w:sz w:val="28"/>
        </w:rPr>
        <w:t>Shield Equipment &amp; Project</w:t>
      </w:r>
    </w:p>
    <w:p>
      <w:pPr>
        <w:autoSpaceDN w:val="0"/>
        <w:autoSpaceDE w:val="0"/>
        <w:widowControl/>
        <w:spacing w:line="185" w:lineRule="auto" w:before="1070" w:after="0"/>
        <w:ind w:left="1074" w:right="0" w:firstLine="0"/>
        <w:jc w:val="left"/>
      </w:pPr>
      <w:r>
        <w:rPr>
          <w:rFonts w:ascii="HYa4gj" w:hAnsi="HYa4gj" w:eastAsia="HYa4gj"/>
          <w:b w:val="0"/>
          <w:i w:val="0"/>
          <w:color w:val="221F1F"/>
          <w:sz w:val="52"/>
        </w:rPr>
        <w:t>基于大数据分析的盾构施工风险防控研究</w:t>
      </w:r>
    </w:p>
    <w:p>
      <w:pPr>
        <w:autoSpaceDN w:val="0"/>
        <w:autoSpaceDE w:val="0"/>
        <w:widowControl/>
        <w:spacing w:line="288" w:lineRule="exact" w:before="90" w:after="0"/>
        <w:ind w:left="1210" w:right="0" w:firstLine="0"/>
        <w:jc w:val="left"/>
      </w:pPr>
      <w:r>
        <w:rPr>
          <w:rFonts w:ascii="Times" w:hAnsi="Times" w:eastAsia="Times"/>
          <w:b/>
          <w:i w:val="0"/>
          <w:color w:val="6C6E70"/>
          <w:sz w:val="26"/>
        </w:rPr>
        <w:t xml:space="preserve">Study on Risk Prevention and Control of Shield Machine Construction Based on </w:t>
      </w:r>
    </w:p>
    <w:p>
      <w:pPr>
        <w:autoSpaceDN w:val="0"/>
        <w:autoSpaceDE w:val="0"/>
        <w:widowControl/>
        <w:spacing w:line="288" w:lineRule="exact" w:before="24" w:after="0"/>
        <w:ind w:left="0" w:right="3970" w:firstLine="0"/>
        <w:jc w:val="right"/>
      </w:pPr>
      <w:r>
        <w:rPr>
          <w:rFonts w:ascii="Times" w:hAnsi="Times" w:eastAsia="Times"/>
          <w:b/>
          <w:i w:val="0"/>
          <w:color w:val="6C6E70"/>
          <w:sz w:val="26"/>
        </w:rPr>
        <w:t>Big Data Analysis</w:t>
      </w:r>
    </w:p>
    <w:p>
      <w:pPr>
        <w:autoSpaceDN w:val="0"/>
        <w:autoSpaceDE w:val="0"/>
        <w:widowControl/>
        <w:spacing w:line="194" w:lineRule="auto" w:before="426" w:after="0"/>
        <w:ind w:left="2382" w:right="0" w:firstLine="0"/>
        <w:jc w:val="left"/>
      </w:pPr>
      <w:r>
        <w:rPr>
          <w:rFonts w:ascii="HYc1gj" w:hAnsi="HYc1gj" w:eastAsia="HYc1gj"/>
          <w:b w:val="0"/>
          <w:i w:val="0"/>
          <w:color w:val="221F1F"/>
          <w:sz w:val="24"/>
        </w:rPr>
        <w:t>高会中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1,2</w:t>
      </w:r>
      <w:r>
        <w:rPr>
          <w:rFonts w:ascii="HYc1gj" w:hAnsi="HYc1gj" w:eastAsia="HYc1gj"/>
          <w:b w:val="0"/>
          <w:i w:val="0"/>
          <w:color w:val="221F1F"/>
          <w:sz w:val="24"/>
        </w:rPr>
        <w:t>，李治国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1,2</w:t>
      </w:r>
      <w:r>
        <w:rPr>
          <w:rFonts w:ascii="HYc1gj" w:hAnsi="HYc1gj" w:eastAsia="HYc1gj"/>
          <w:b w:val="0"/>
          <w:i w:val="0"/>
          <w:color w:val="221F1F"/>
          <w:sz w:val="24"/>
        </w:rPr>
        <w:t>，曾垂刚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1,2</w:t>
      </w:r>
      <w:r>
        <w:rPr>
          <w:rFonts w:ascii="HYc1gj" w:hAnsi="HYc1gj" w:eastAsia="HYc1gj"/>
          <w:b w:val="0"/>
          <w:i w:val="0"/>
          <w:color w:val="221F1F"/>
          <w:sz w:val="24"/>
        </w:rPr>
        <w:t>，李凤远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1,2</w:t>
      </w:r>
      <w:r>
        <w:rPr>
          <w:rFonts w:ascii="HYc1gj" w:hAnsi="HYc1gj" w:eastAsia="HYc1gj"/>
          <w:b w:val="0"/>
          <w:i w:val="0"/>
          <w:color w:val="221F1F"/>
          <w:sz w:val="24"/>
        </w:rPr>
        <w:t>，韩伟锋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1,2</w:t>
      </w:r>
      <w:r>
        <w:rPr>
          <w:rFonts w:ascii="HYc1gj" w:hAnsi="HYc1gj" w:eastAsia="HYc1gj"/>
          <w:b w:val="0"/>
          <w:i w:val="0"/>
          <w:color w:val="221F1F"/>
          <w:sz w:val="24"/>
        </w:rPr>
        <w:t>，冯欢欢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1,2</w:t>
      </w:r>
    </w:p>
    <w:p>
      <w:pPr>
        <w:autoSpaceDN w:val="0"/>
        <w:autoSpaceDE w:val="0"/>
        <w:widowControl/>
        <w:spacing w:line="206" w:lineRule="auto" w:before="64" w:after="0"/>
        <w:ind w:left="18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GAO Hui-zhong</w:t>
      </w:r>
      <w:r>
        <w:rPr>
          <w:rFonts w:ascii="HYc1gj" w:hAnsi="HYc1gj" w:eastAsia="HYc1gj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LI Zhi-guo</w:t>
      </w:r>
      <w:r>
        <w:rPr>
          <w:rFonts w:ascii="HYc1gj" w:hAnsi="HYc1gj" w:eastAsia="HYc1gj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ZENG Chui-gang</w:t>
      </w:r>
      <w:r>
        <w:rPr>
          <w:rFonts w:ascii="HYc1gj" w:hAnsi="HYc1gj" w:eastAsia="HYc1gj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LI Feng-yuan</w:t>
      </w:r>
      <w:r>
        <w:rPr>
          <w:rFonts w:ascii="HYc1gj" w:hAnsi="HYc1gj" w:eastAsia="HYc1gj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HAN Wei-feng</w:t>
      </w:r>
      <w:r>
        <w:rPr>
          <w:rFonts w:ascii="HYc1gj" w:hAnsi="HYc1gj" w:eastAsia="HYc1gj"/>
          <w:b w:val="0"/>
          <w:i w:val="0"/>
          <w:color w:val="221F1F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FENG Huan-huan</w:t>
      </w:r>
    </w:p>
    <w:p>
      <w:pPr>
        <w:autoSpaceDN w:val="0"/>
        <w:autoSpaceDE w:val="0"/>
        <w:widowControl/>
        <w:spacing w:line="185" w:lineRule="auto" w:before="106" w:after="544"/>
        <w:ind w:left="134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（1</w:t>
      </w:r>
      <w:r>
        <w:rPr>
          <w:rFonts w:ascii="HYd1gj" w:hAnsi="HYd1gj" w:eastAsia="HYd1gj"/>
          <w:b w:val="0"/>
          <w:i w:val="0"/>
          <w:color w:val="221F1F"/>
          <w:sz w:val="18"/>
        </w:rPr>
        <w:t>.盾构及掘进技术国家重点实验室</w:t>
      </w:r>
      <w:r>
        <w:rPr>
          <w:rFonts w:ascii="HYa6gj" w:hAnsi="HYa6gj" w:eastAsia="HYa6gj"/>
          <w:b w:val="0"/>
          <w:i w:val="0"/>
          <w:color w:val="221F1F"/>
          <w:sz w:val="18"/>
        </w:rPr>
        <w:t>，</w:t>
      </w:r>
      <w:r>
        <w:rPr>
          <w:rFonts w:ascii="HYd1gj" w:hAnsi="HYd1gj" w:eastAsia="HYd1gj"/>
          <w:b w:val="0"/>
          <w:i w:val="0"/>
          <w:color w:val="221F1F"/>
          <w:sz w:val="18"/>
        </w:rPr>
        <w:t xml:space="preserve">河南 郑州 </w:t>
      </w:r>
      <w:r>
        <w:rPr>
          <w:rFonts w:ascii="HYa6gj" w:hAnsi="HYa6gj" w:eastAsia="HYa6gj"/>
          <w:b w:val="0"/>
          <w:i w:val="0"/>
          <w:color w:val="221F1F"/>
          <w:sz w:val="18"/>
        </w:rPr>
        <w:t>450001；2</w:t>
      </w:r>
      <w:r>
        <w:rPr>
          <w:rFonts w:ascii="HYd1gj" w:hAnsi="HYd1gj" w:eastAsia="HYd1gj"/>
          <w:b w:val="0"/>
          <w:i w:val="0"/>
          <w:color w:val="221F1F"/>
          <w:sz w:val="18"/>
        </w:rPr>
        <w:t>.中铁隧道局集团有限公司</w:t>
      </w:r>
      <w:r>
        <w:rPr>
          <w:rFonts w:ascii="HYa6gj" w:hAnsi="HYa6gj" w:eastAsia="HYa6gj"/>
          <w:b w:val="0"/>
          <w:i w:val="0"/>
          <w:color w:val="221F1F"/>
          <w:sz w:val="18"/>
        </w:rPr>
        <w:t>，</w:t>
      </w:r>
      <w:r>
        <w:rPr>
          <w:rFonts w:ascii="HYd1gj" w:hAnsi="HYd1gj" w:eastAsia="HYd1gj"/>
          <w:b w:val="0"/>
          <w:i w:val="0"/>
          <w:color w:val="221F1F"/>
          <w:sz w:val="18"/>
        </w:rPr>
        <w:t xml:space="preserve">广东 广州 </w:t>
      </w:r>
      <w:r>
        <w:rPr>
          <w:rFonts w:ascii="HYa6gj" w:hAnsi="HYa6gj" w:eastAsia="HYa6gj"/>
          <w:b w:val="0"/>
          <w:i w:val="0"/>
          <w:color w:val="221F1F"/>
          <w:sz w:val="18"/>
        </w:rPr>
        <w:t>511458）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0.0" w:type="dxa"/>
      </w:tblPr>
      <w:tblGrid>
        <w:gridCol w:w="5309"/>
        <w:gridCol w:w="5309"/>
      </w:tblGrid>
      <w:tr>
        <w:trPr>
          <w:trHeight w:hRule="exact" w:val="288"/>
        </w:trPr>
        <w:tc>
          <w:tcPr>
            <w:tcW w:type="dxa" w:w="1090"/>
            <w:tcBorders>
              <w:top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0" w:right="18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[ 摘 要]</w:t>
            </w:r>
          </w:p>
        </w:tc>
        <w:tc>
          <w:tcPr>
            <w:tcW w:type="dxa" w:w="8102"/>
            <w:tcBorders>
              <w:top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48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详细介绍了基于大数据分析技术的盾构风险防控方法，针对大数据分析方案设计、架构及原理、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10618"/>
      </w:tblGrid>
      <w:tr>
        <w:trPr>
          <w:trHeight w:hRule="exact" w:val="280"/>
        </w:trPr>
        <w:tc>
          <w:tcPr>
            <w:tcW w:type="dxa" w:w="91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1108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功能设计等进行了系统阐述，并结合具体项目开展了应用研究，表明了利用大数据分析技术可以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10618"/>
      </w:tblGrid>
      <w:tr>
        <w:trPr>
          <w:trHeight w:hRule="exact" w:val="280"/>
        </w:trPr>
        <w:tc>
          <w:tcPr>
            <w:tcW w:type="dxa" w:w="91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1108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辅助施工单位建立立体综合的盾构施工风险防控体系，有效降低盾构施工生产过程中的风险发生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0.0" w:type="dxa"/>
      </w:tblPr>
      <w:tblGrid>
        <w:gridCol w:w="5309"/>
        <w:gridCol w:w="5309"/>
      </w:tblGrid>
      <w:tr>
        <w:trPr>
          <w:trHeight w:hRule="exact" w:val="566"/>
        </w:trPr>
        <w:tc>
          <w:tcPr>
            <w:tcW w:type="dxa" w:w="1090"/>
            <w:tcBorders>
              <w:bottom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8" w:after="0"/>
              <w:ind w:left="0" w:right="18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[ 关键词]</w:t>
            </w:r>
          </w:p>
        </w:tc>
        <w:tc>
          <w:tcPr>
            <w:tcW w:type="dxa" w:w="8102"/>
            <w:tcBorders>
              <w:bottom w:sz="3.4000000953674316" w:val="single" w:color="#221F1F"/>
            </w:tcBorders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8" w:right="4752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概率，具有显著的社会效益和经济效益。</w:t>
            </w:r>
            <w:r>
              <w:br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盾构; 大数据分析; 风险防控</w:t>
            </w:r>
          </w:p>
        </w:tc>
      </w:tr>
    </w:tbl>
    <w:p>
      <w:pPr>
        <w:autoSpaceDN w:val="0"/>
        <w:autoSpaceDE w:val="0"/>
        <w:widowControl/>
        <w:spacing w:line="240" w:lineRule="exact" w:before="50" w:after="258"/>
        <w:ind w:left="135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DOI:10.13311/j.cnki.conmec.2022.06.012</w:t>
      </w:r>
    </w:p>
    <w:p>
      <w:pPr>
        <w:sectPr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1074" w:right="226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随着我国基础建设的深入发展，盾构法施工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面临的特殊地质情况越来越多，隧道开挖向大直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径、长距离、大埋深的方向发展，地下工程地质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124"/>
        <w:ind w:left="226" w:right="360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度，重则造成重大事故。盾构主要施工风险可归纳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为地质风险、设备风险和人为风险，据相关数据统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计，其所占比例分别约为40％、30％和30％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[2]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。典</w:t>
      </w:r>
    </w:p>
    <w:p>
      <w:pPr>
        <w:sectPr>
          <w:type w:val="nextColumn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tabs>
          <w:tab w:pos="5892" w:val="left"/>
        </w:tabs>
        <w:autoSpaceDE w:val="0"/>
        <w:widowControl/>
        <w:spacing w:line="187" w:lineRule="auto" w:before="0" w:after="126"/>
        <w:ind w:left="107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环境的特殊性、复杂多变性、不可预测性以及施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型案例如下。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074" w:right="226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工过程中灾害事故的突发性使得对环境影响的控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制难度加大，特别是国家一批超大、超深埋、水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下高风险隧道及小间距、大坡度等特殊地质条件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的隧道掘进工程陆续规划和开工建设，这对盾构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连续、高效、智能、文明、安全施工提出了巨大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挑战。传统盾构施工风险管理模式和方法，已经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远远不能满足目前施工建设的需要。但是，由于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隧道建设的特殊性和复杂性，物联网技术不够成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熟，人机交互能力弱，数据的采集与上传困难，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尤其是高频次、大数据的自动化采集与分析满足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不了要求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[1]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。当前，信息化发展已经达到新阶段，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124"/>
        <w:ind w:left="226" w:right="358" w:firstLine="41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案例一：天津地铁2 号线建国道～天津站区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间，右线盾构因螺旋输送机被水泥土固结块卡死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无法运转，在开启观察孔进行处理时，发生突沙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涌水事件。由于该地段的地质异常复杂，突泥及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涌水量较大，导致地面塌陷，且左线掘进快于右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线35 环，左线线路高于右线，致使左右线隧道均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发生局部管片变形破损开裂，最终被封堵回填并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重新改线施工，2 台盾构被埋于地下，造成极其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恶劣的社会影响。后经事故调查发现，装备掘进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参数控制不当是造成此次事故的主要原因。类似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原因还造成2007 年11 月南京地铁2 号线施工事</w:t>
      </w:r>
    </w:p>
    <w:p>
      <w:pPr>
        <w:sectPr>
          <w:type w:val="nextColumn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tabs>
          <w:tab w:pos="5892" w:val="left"/>
        </w:tabs>
        <w:autoSpaceDE w:val="0"/>
        <w:widowControl/>
        <w:spacing w:line="187" w:lineRule="auto" w:before="0" w:after="126"/>
        <w:ind w:left="107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人工智能、大数据、互联网+ 等技术的快速发展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故。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1074" w:right="226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为盾构TBM 风险防控提供了可靠载体，利用大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数据技术开展盾构TBM 施工风险防控已经成为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一种可靠高效的手段。</w:t>
      </w:r>
    </w:p>
    <w:p>
      <w:pPr>
        <w:autoSpaceDN w:val="0"/>
        <w:autoSpaceDE w:val="0"/>
        <w:widowControl/>
        <w:spacing w:line="266" w:lineRule="exact" w:before="270" w:after="0"/>
        <w:ind w:left="1074" w:right="0" w:firstLine="0"/>
        <w:jc w:val="left"/>
      </w:pPr>
      <w:r>
        <w:rPr>
          <w:rFonts w:ascii="Times" w:hAnsi="Times" w:eastAsia="Times"/>
          <w:b/>
          <w:i w:val="0"/>
          <w:color w:val="221F1F"/>
          <w:sz w:val="24"/>
        </w:rPr>
        <w:t>1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盾构主要施工风险及案例</w:t>
      </w:r>
    </w:p>
    <w:p>
      <w:pPr>
        <w:autoSpaceDN w:val="0"/>
        <w:autoSpaceDE w:val="0"/>
        <w:widowControl/>
        <w:spacing w:line="262" w:lineRule="auto" w:before="246" w:after="0"/>
        <w:ind w:left="1074" w:right="228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由于盾构/TBM 本身结构复杂、设备工作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环境恶劣以及人为失误等因素，导致盾构/TBM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施工过程中经常出现异常情况，轻则影响工程进</w:t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488"/>
        <w:ind w:left="226" w:right="360" w:firstLine="41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案例二：2017 年2 月12 日，厦门地铁2 号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线过海段海东区间右线泥水盾构因突然遭遇未事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先堪明的微风化安山岩基岩凸起，造成盾构刀盘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刀具严重磨损停机达6 个多月。因处海底，压力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高，遂决定采用带压进仓的辅助工法进行换刀作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业，但在减压舱减压过程中操作不当发生起火，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导致3 人烧伤，后经抢救无效死亡，造成重大损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失及恶劣社会影响。</w:t>
      </w:r>
    </w:p>
    <w:p>
      <w:pPr>
        <w:sectPr>
          <w:type w:val="nextColumn"/>
          <w:pgSz w:w="11906" w:h="16157"/>
          <w:pgMar w:top="384" w:right="888" w:bottom="168" w:left="400" w:header="720" w:footer="720" w:gutter="0"/>
          <w:cols w:num="2" w:equalWidth="0">
            <w:col w:w="5666" w:space="0"/>
            <w:col w:w="4951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360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4"/>
        </w:rPr>
        <w:t xml:space="preserve">建筑机械化 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2022(06) </w:t>
      </w:r>
      <w:r>
        <w:rPr>
          <w:rFonts w:ascii="HYb1gj" w:hAnsi="HYb1gj" w:eastAsia="HYb1gj"/>
          <w:b w:val="0"/>
          <w:i w:val="0"/>
          <w:color w:val="6C6E70"/>
          <w:sz w:val="32"/>
        </w:rPr>
        <w:t>19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384" w:right="8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5321300</wp:posOffset>
            </wp:positionV>
            <wp:extent cx="1562100" cy="2616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61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3139440</wp:posOffset>
            </wp:positionH>
            <wp:positionV relativeFrom="page">
              <wp:posOffset>1328420</wp:posOffset>
            </wp:positionV>
            <wp:extent cx="621030" cy="24904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2490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3139440</wp:posOffset>
            </wp:positionH>
            <wp:positionV relativeFrom="page">
              <wp:posOffset>2299970</wp:posOffset>
            </wp:positionV>
            <wp:extent cx="621030" cy="245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2458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3144520</wp:posOffset>
            </wp:positionH>
            <wp:positionV relativeFrom="page">
              <wp:posOffset>1705610</wp:posOffset>
            </wp:positionV>
            <wp:extent cx="612140" cy="23349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2334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3144520</wp:posOffset>
            </wp:positionH>
            <wp:positionV relativeFrom="page">
              <wp:posOffset>2675890</wp:posOffset>
            </wp:positionV>
            <wp:extent cx="612140" cy="23665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2366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5161280</wp:posOffset>
            </wp:positionH>
            <wp:positionV relativeFrom="page">
              <wp:posOffset>1490980</wp:posOffset>
            </wp:positionV>
            <wp:extent cx="568960" cy="14856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485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5161280</wp:posOffset>
            </wp:positionH>
            <wp:positionV relativeFrom="page">
              <wp:posOffset>2499360</wp:posOffset>
            </wp:positionV>
            <wp:extent cx="568960" cy="14856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485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6282690</wp:posOffset>
            </wp:positionH>
            <wp:positionV relativeFrom="page">
              <wp:posOffset>2098040</wp:posOffset>
            </wp:positionV>
            <wp:extent cx="300989" cy="10346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989" cy="1034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6282690</wp:posOffset>
            </wp:positionH>
            <wp:positionV relativeFrom="page">
              <wp:posOffset>1910080</wp:posOffset>
            </wp:positionV>
            <wp:extent cx="300989" cy="10346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989" cy="1034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6282690</wp:posOffset>
            </wp:positionH>
            <wp:positionV relativeFrom="page">
              <wp:posOffset>2286000</wp:posOffset>
            </wp:positionV>
            <wp:extent cx="300989" cy="10346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989" cy="1034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6282690</wp:posOffset>
            </wp:positionH>
            <wp:positionV relativeFrom="page">
              <wp:posOffset>1720850</wp:posOffset>
            </wp:positionV>
            <wp:extent cx="300989" cy="10346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989" cy="1034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1181100</wp:posOffset>
            </wp:positionV>
            <wp:extent cx="3530600" cy="1803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80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730"/>
        <w:ind w:left="508" w:right="0" w:firstLine="0"/>
        <w:jc w:val="left"/>
      </w:pPr>
      <w:r>
        <w:rPr>
          <w:rFonts w:ascii="HYb9gj" w:hAnsi="HYb9gj" w:eastAsia="HYb9gj"/>
          <w:b w:val="0"/>
          <w:i w:val="0"/>
          <w:color w:val="6C6E70"/>
          <w:sz w:val="28"/>
        </w:rPr>
        <w:t>Shield Equipment &amp; Project</w:t>
      </w:r>
      <w:r>
        <w:rPr>
          <w:rFonts w:ascii="STXihei" w:hAnsi="STXihei" w:eastAsia="STXihei"/>
          <w:b w:val="0"/>
          <w:i w:val="0"/>
          <w:color w:val="626366"/>
          <w:sz w:val="22"/>
        </w:rPr>
        <w:t>盾构工程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08"/>
        </w:trPr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836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案例三：成都地铁1 号线南延线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76" w:after="0"/>
              <w:ind w:left="0" w:right="218" w:firstLine="0"/>
              <w:jc w:val="righ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PLC机器数据采集l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66" w:after="0"/>
              <w:ind w:left="76" w:right="0" w:firstLine="0"/>
              <w:jc w:val="lef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采集网络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80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采集器l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44" w:after="0"/>
              <w:ind w:left="0" w:right="100" w:firstLine="0"/>
              <w:jc w:val="righ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局域网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410" w:after="0"/>
              <w:ind w:left="116" w:right="0" w:firstLine="0"/>
              <w:jc w:val="lef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项目端加密数据传输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288" w:after="0"/>
              <w:ind w:left="0" w:right="102" w:firstLine="0"/>
              <w:jc w:val="righ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互联网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2172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远程数据中心</w:t>
            </w:r>
          </w:p>
        </w:tc>
      </w:tr>
      <w:tr>
        <w:trPr>
          <w:trHeight w:hRule="exact" w:val="116"/>
        </w:trPr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336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数据交互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华阳站～广都北站右线区间盾构施工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354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过程中，项目部对1～56 环管片姿态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42" w:after="0"/>
              <w:ind w:left="146" w:right="0" w:firstLine="0"/>
              <w:jc w:val="lef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设备故障/检测类数据采集l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94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作业参数采集器l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484" w:after="0"/>
              <w:ind w:left="0" w:right="100" w:firstLine="0"/>
              <w:jc w:val="righ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局域网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382" w:after="0"/>
              <w:ind w:left="116" w:right="0" w:firstLine="0"/>
              <w:jc w:val="lef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项目端加密数据传输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进行复测，发现17～56 环均出现不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245"/>
        </w:trPr>
        <w:tc>
          <w:tcPr>
            <w:tcW w:type="dxa" w:w="1269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214" w:after="0"/>
              <w:ind w:left="0" w:right="510" w:firstLine="0"/>
              <w:jc w:val="righ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●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同程度的超限，其中56 环垂直偏差达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●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77"/>
        </w:trPr>
        <w:tc>
          <w:tcPr>
            <w:tcW w:type="dxa" w:w="126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510" w:firstLine="0"/>
              <w:jc w:val="righ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●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716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采集网络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30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●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269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8" w:after="0"/>
              <w:ind w:left="0" w:right="510" w:firstLine="0"/>
              <w:jc w:val="righ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●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8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●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到+2 010mm、水平偏差+52mm，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510" w:firstLine="0"/>
              <w:jc w:val="righ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●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8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采集器nl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269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8" w:after="0"/>
              <w:ind w:left="0" w:right="218" w:firstLine="0"/>
              <w:jc w:val="righ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PLC机器数据采集l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96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数据交互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但盾构测量导向系统56 环处显示的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盾构垂直偏差为盾首-29mm、盾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0" w:after="0"/>
              <w:ind w:left="146" w:right="0" w:firstLine="0"/>
              <w:jc w:val="left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设备故障/检测类数据采集l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16" w:after="0"/>
              <w:ind w:left="0" w:right="0" w:firstLine="0"/>
              <w:jc w:val="center"/>
            </w:pPr>
            <w:r>
              <w:rPr>
                <w:w w:val="104.61875200271606"/>
                <w:rFonts w:ascii="SimSun" w:hAnsi="SimSun" w:eastAsia="SimSun"/>
                <w:b w:val="0"/>
                <w:i w:val="0"/>
                <w:color w:val="000101"/>
                <w:sz w:val="8"/>
              </w:rPr>
              <w:t>作业参数采集器n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尾-25mm，水平偏差盾首+41mm、</w:t>
            </w:r>
          </w:p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  <w:tc>
          <w:tcPr>
            <w:tcW w:type="dxa" w:w="12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pgSz w:w="11906" w:h="16157"/>
          <w:pgMar w:top="384" w:right="13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0"/>
        <w:ind w:left="848" w:right="144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盾尾+35mm，成型隧道实测偏差与盾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构测量导向系统显示偏差严重不符。经过调查，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确认是操作人员误操作，导致盾构VMT 系统中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输入了错误的盾构推进计划线数据文件，致使盾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构按照错误的计划线推进，导致盾构隧道轴线偏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差。加之项目部未按照测量规定的频次（每20 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人工复测一次）进行人工复核，致使偏差不断扩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大而未能及时被发现，造成直接经济损失273 万</w:t>
      </w:r>
    </w:p>
    <w:p>
      <w:pPr>
        <w:sectPr>
          <w:type w:val="continuous"/>
          <w:pgSz w:w="11906" w:h="16157"/>
          <w:pgMar w:top="384" w:right="1354" w:bottom="168" w:left="400" w:header="720" w:footer="720" w:gutter="0"/>
          <w:cols w:num="2" w:equalWidth="0">
            <w:col w:w="5440" w:space="0"/>
            <w:col w:w="4712" w:space="0"/>
          </w:cols>
          <w:docGrid w:linePitch="360"/>
        </w:sectPr>
      </w:pPr>
    </w:p>
    <w:p>
      <w:pPr>
        <w:autoSpaceDN w:val="0"/>
        <w:tabs>
          <w:tab w:pos="516" w:val="left"/>
          <w:tab w:pos="634" w:val="left"/>
        </w:tabs>
        <w:autoSpaceDE w:val="0"/>
        <w:widowControl/>
        <w:spacing w:line="312" w:lineRule="exact" w:before="0" w:after="126"/>
        <w:ind w:left="226" w:right="0" w:firstLine="0"/>
        <w:jc w:val="left"/>
      </w:pP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1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系统数据采集、传输流程图</w:t>
      </w:r>
      <w:r>
        <w:br/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大数据分析架构及流程设计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通过配置专业高性能服务器，基于Hadoop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集群生态架构的大数据技术，综合采用Kafka 消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息服务器+Redis 内存数据库服务器+Spark 计算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 xml:space="preserve">框架集群服务器建立ZooKeeper分布式协作服务, 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实时处理多元异构数据并解决大数据分布一致性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问题，保证系统的高效有序运行。大数据分析架构</w:t>
      </w:r>
    </w:p>
    <w:p>
      <w:pPr>
        <w:sectPr>
          <w:type w:val="nextColumn"/>
          <w:pgSz w:w="11906" w:h="16157"/>
          <w:pgMar w:top="384" w:right="1354" w:bottom="168" w:left="400" w:header="720" w:footer="720" w:gutter="0"/>
          <w:cols w:num="2" w:equalWidth="0">
            <w:col w:w="5440" w:space="0"/>
            <w:col w:w="4712" w:space="0"/>
          </w:cols>
          <w:docGrid w:linePitch="360"/>
        </w:sectPr>
      </w:pPr>
    </w:p>
    <w:p>
      <w:pPr>
        <w:autoSpaceDN w:val="0"/>
        <w:tabs>
          <w:tab w:pos="5666" w:val="left"/>
        </w:tabs>
        <w:autoSpaceDE w:val="0"/>
        <w:widowControl/>
        <w:spacing w:line="214" w:lineRule="auto" w:before="0" w:after="270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余元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[3]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。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组成如图2 所示，包括数据源层、数据获取层、</w:t>
      </w:r>
    </w:p>
    <w:p>
      <w:pPr>
        <w:sectPr>
          <w:type w:val="continuous"/>
          <w:pgSz w:w="11906" w:h="16157"/>
          <w:pgMar w:top="384" w:right="13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48" w:right="0" w:firstLine="0"/>
        <w:jc w:val="left"/>
      </w:pPr>
      <w:r>
        <w:rPr>
          <w:rFonts w:ascii="Times" w:hAnsi="Times" w:eastAsia="Times"/>
          <w:b/>
          <w:i w:val="0"/>
          <w:color w:val="221F1F"/>
          <w:sz w:val="24"/>
        </w:rPr>
        <w:t>2</w:t>
      </w:r>
      <w:r>
        <w:rPr>
          <w:rFonts w:ascii="HYb1gj" w:hAnsi="HYb1gj" w:eastAsia="HYb1gj"/>
          <w:b w:val="0"/>
          <w:i w:val="0"/>
          <w:color w:val="221F1F"/>
          <w:sz w:val="24"/>
        </w:rPr>
        <w:t xml:space="preserve"> 大数据分析平台设计</w:t>
      </w:r>
    </w:p>
    <w:p>
      <w:pPr>
        <w:sectPr>
          <w:type w:val="continuous"/>
          <w:pgSz w:w="11906" w:h="16157"/>
          <w:pgMar w:top="384" w:right="1354" w:bottom="168" w:left="400" w:header="720" w:footer="720" w:gutter="0"/>
          <w:cols w:num="2" w:equalWidth="0">
            <w:col w:w="4518" w:space="0"/>
            <w:col w:w="563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36"/>
        <w:ind w:left="11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数据导入层、数据加工层、数据核心存储层、数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据分析处理层、数据服务存储层和数据接口层。</w:t>
      </w:r>
    </w:p>
    <w:p>
      <w:pPr>
        <w:sectPr>
          <w:type w:val="nextColumn"/>
          <w:pgSz w:w="11906" w:h="16157"/>
          <w:pgMar w:top="384" w:right="1354" w:bottom="168" w:left="400" w:header="720" w:footer="720" w:gutter="0"/>
          <w:cols w:num="2" w:equalWidth="0">
            <w:col w:w="4518" w:space="0"/>
            <w:col w:w="5634" w:space="0"/>
          </w:cols>
          <w:docGrid w:linePitch="360"/>
        </w:sectPr>
      </w:pPr>
    </w:p>
    <w:p>
      <w:pPr>
        <w:autoSpaceDN w:val="0"/>
        <w:tabs>
          <w:tab w:pos="1256" w:val="left"/>
          <w:tab w:pos="7714" w:val="left"/>
          <w:tab w:pos="7746" w:val="left"/>
        </w:tabs>
        <w:autoSpaceDE w:val="0"/>
        <w:widowControl/>
        <w:spacing w:line="292" w:lineRule="exact" w:before="0" w:after="0"/>
        <w:ind w:left="848" w:right="2016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1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数据采集与传输</w:t>
      </w:r>
      <w:r>
        <w:tab/>
      </w:r>
      <w:r>
        <w:rPr>
          <w:w w:val="98.10383870051457"/>
          <w:rFonts w:ascii="SimSun" w:hAnsi="SimSun" w:eastAsia="SimSun"/>
          <w:b w:val="0"/>
          <w:i w:val="0"/>
          <w:color w:val="204227"/>
          <w:sz w:val="13"/>
        </w:rPr>
        <w:t>数据源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实现有效的数据远程、实时提取和传输是整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个信息系统的基础。盾构TBM装备大数据特点有：</w:t>
      </w:r>
      <w:r>
        <w:tab/>
      </w:r>
      <w:r>
        <w:tab/>
      </w:r>
      <w:r>
        <w:rPr>
          <w:w w:val="98.10383870051457"/>
          <w:rFonts w:ascii="SimSun" w:hAnsi="SimSun" w:eastAsia="SimSun"/>
          <w:b w:val="0"/>
          <w:i w:val="0"/>
          <w:color w:val="204227"/>
          <w:sz w:val="13"/>
        </w:rPr>
        <w:t>Flume</w:t>
      </w:r>
    </w:p>
    <w:p>
      <w:pPr>
        <w:autoSpaceDN w:val="0"/>
        <w:autoSpaceDE w:val="0"/>
        <w:widowControl/>
        <w:spacing w:line="185" w:lineRule="auto" w:before="126" w:after="36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①数据庞杂、类型多样；②生产厂家多，PLC 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384"/>
        <w:gridCol w:w="3384"/>
        <w:gridCol w:w="3384"/>
      </w:tblGrid>
      <w:tr>
        <w:trPr>
          <w:trHeight w:hRule="exact" w:val="346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牌及型号多样化，数据格式不统一；③项目分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6" w:after="0"/>
              <w:ind w:left="0" w:right="316" w:firstLine="0"/>
              <w:jc w:val="right"/>
            </w:pPr>
            <w:r>
              <w:rPr>
                <w:w w:val="98.10383870051457"/>
                <w:rFonts w:ascii="SimSun" w:hAnsi="SimSun" w:eastAsia="SimSun"/>
                <w:b w:val="0"/>
                <w:i w:val="0"/>
                <w:color w:val="204227"/>
                <w:sz w:val="13"/>
              </w:rPr>
              <w:t>Kafka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20" w:after="0"/>
              <w:ind w:left="200" w:right="0" w:firstLine="0"/>
              <w:jc w:val="left"/>
            </w:pPr>
            <w:r>
              <w:rPr>
                <w:w w:val="98.10383870051457"/>
                <w:rFonts w:ascii="SimSun" w:hAnsi="SimSun" w:eastAsia="SimSun"/>
                <w:b w:val="0"/>
                <w:i w:val="0"/>
                <w:color w:val="000101"/>
                <w:sz w:val="13"/>
              </w:rPr>
              <w:t>Redis</w:t>
            </w:r>
          </w:p>
        </w:tc>
      </w:tr>
      <w:tr>
        <w:trPr>
          <w:trHeight w:hRule="exact" w:val="360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散、环境恶劣、数据采集困难。主要数据包括盾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32" w:after="0"/>
              <w:ind w:left="0" w:right="284" w:firstLine="0"/>
              <w:jc w:val="right"/>
            </w:pPr>
            <w:r>
              <w:rPr>
                <w:w w:val="98.10383870051457"/>
                <w:rFonts w:ascii="SimSun" w:hAnsi="SimSun" w:eastAsia="SimSun"/>
                <w:b w:val="0"/>
                <w:i w:val="0"/>
                <w:color w:val="204227"/>
                <w:sz w:val="13"/>
              </w:rPr>
              <w:t>Spark-</w:t>
            </w:r>
          </w:p>
        </w:tc>
        <w:tc>
          <w:tcPr>
            <w:tcW w:type="dxa" w:w="3384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构施工参数数据、盾构姿态（测量）数据、监测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6" w:after="0"/>
              <w:ind w:left="0" w:right="188" w:firstLine="0"/>
              <w:jc w:val="right"/>
            </w:pPr>
            <w:r>
              <w:rPr>
                <w:w w:val="98.10383870051457"/>
                <w:rFonts w:ascii="SimSun" w:hAnsi="SimSun" w:eastAsia="SimSun"/>
                <w:b w:val="0"/>
                <w:i w:val="0"/>
                <w:color w:val="204227"/>
                <w:sz w:val="13"/>
              </w:rPr>
              <w:t>Streaming</w:t>
            </w:r>
          </w:p>
        </w:tc>
        <w:tc>
          <w:tcPr>
            <w:tcW w:type="dxa" w:w="33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66" w:after="28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数据以及地质数据等，可分为结构化数据和非结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384"/>
        <w:gridCol w:w="3384"/>
        <w:gridCol w:w="3384"/>
      </w:tblGrid>
      <w:tr>
        <w:trPr>
          <w:trHeight w:hRule="exact" w:val="360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构化数据两部分。结构化数据主要来源于设备传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8" w:after="0"/>
              <w:ind w:left="0" w:right="56" w:firstLine="0"/>
              <w:jc w:val="right"/>
            </w:pPr>
            <w:r>
              <w:rPr>
                <w:w w:val="98.10383870051457"/>
                <w:rFonts w:ascii="SimSun" w:hAnsi="SimSun" w:eastAsia="SimSun"/>
                <w:b w:val="0"/>
                <w:i w:val="0"/>
                <w:color w:val="000101"/>
                <w:sz w:val="13"/>
              </w:rPr>
              <w:t>HBase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8" w:after="0"/>
              <w:ind w:left="216" w:right="0" w:firstLine="0"/>
              <w:jc w:val="left"/>
            </w:pPr>
            <w:r>
              <w:rPr>
                <w:w w:val="98.10383870051457"/>
                <w:rFonts w:ascii="SimSun" w:hAnsi="SimSun" w:eastAsia="SimSun"/>
                <w:b w:val="0"/>
                <w:i w:val="0"/>
                <w:color w:val="000101"/>
                <w:sz w:val="13"/>
              </w:rPr>
              <w:t>HBase</w:t>
            </w:r>
          </w:p>
        </w:tc>
      </w:tr>
      <w:tr>
        <w:trPr>
          <w:trHeight w:hRule="exact" w:val="358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428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感器自动采集，格式统一，易于存储；非结构化</w:t>
            </w:r>
          </w:p>
        </w:tc>
        <w:tc>
          <w:tcPr>
            <w:tcW w:type="dxa" w:w="3384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94" w:after="0"/>
              <w:ind w:left="56" w:right="0" w:firstLine="0"/>
              <w:jc w:val="left"/>
            </w:pPr>
            <w:r>
              <w:rPr>
                <w:w w:val="98.10383870051457"/>
                <w:rFonts w:ascii="SimSun" w:hAnsi="SimSun" w:eastAsia="SimSun"/>
                <w:b w:val="0"/>
                <w:i w:val="0"/>
                <w:color w:val="204227"/>
                <w:sz w:val="13"/>
              </w:rPr>
              <w:t>Spark-Task</w:t>
            </w:r>
          </w:p>
        </w:tc>
      </w:tr>
    </w:tbl>
    <w:p>
      <w:pPr>
        <w:autoSpaceDN w:val="0"/>
        <w:tabs>
          <w:tab w:pos="8186" w:val="left"/>
        </w:tabs>
        <w:autoSpaceDE w:val="0"/>
        <w:widowControl/>
        <w:spacing w:line="298" w:lineRule="exact" w:before="0" w:after="126"/>
        <w:ind w:left="848" w:right="1584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数据是盾构隧道最原始的数据信息，贯穿于盾构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隧道整个全生命周期，包括: 勘察阶段的勘察成</w:t>
      </w:r>
      <w:r>
        <w:tab/>
      </w:r>
      <w:r>
        <w:rPr>
          <w:w w:val="98.10383870051457"/>
          <w:rFonts w:ascii="SimSun" w:hAnsi="SimSun" w:eastAsia="SimSun"/>
          <w:b w:val="0"/>
          <w:i w:val="0"/>
          <w:color w:val="204227"/>
          <w:sz w:val="13"/>
        </w:rPr>
        <w:t>Tomcat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果报告、设计阶段的设计图纸、施工阶段和运营</w:t>
      </w:r>
    </w:p>
    <w:p>
      <w:pPr>
        <w:sectPr>
          <w:type w:val="continuous"/>
          <w:pgSz w:w="11906" w:h="16157"/>
          <w:pgMar w:top="384" w:right="13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0"/>
        <w:ind w:left="848" w:right="22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养护阶段的手工记录和照片等，其是盾构隧道数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据的重要组成部分，但是其结构化差且数据量较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大，不适合直接存储</w:t>
      </w:r>
      <w:r>
        <w:rPr>
          <w:w w:val="98.13833236694336"/>
          <w:rFonts w:ascii="HYa6gj" w:hAnsi="HYa6gj" w:eastAsia="HYa6gj"/>
          <w:b w:val="0"/>
          <w:i w:val="0"/>
          <w:color w:val="221F1F"/>
          <w:sz w:val="12"/>
        </w:rPr>
        <w:t>[4]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。因此在数据采集、传输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的过程中，应当根据实际情况采用不同的方法和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方式，人工或者自动，数字输入或者图形化的输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入，才能满足信息采集的全面的要求。图1 所示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为数据提取传输流程图。</w:t>
      </w:r>
    </w:p>
    <w:p>
      <w:pPr>
        <w:sectPr>
          <w:type w:val="continuous"/>
          <w:pgSz w:w="11906" w:h="16157"/>
          <w:pgMar w:top="384" w:right="1354" w:bottom="168" w:left="400" w:header="720" w:footer="720" w:gutter="0"/>
          <w:cols w:num="2" w:equalWidth="0">
            <w:col w:w="5440" w:space="0"/>
            <w:col w:w="4712" w:space="0"/>
          </w:cols>
          <w:docGrid w:linePitch="360"/>
        </w:sectPr>
      </w:pPr>
    </w:p>
    <w:p>
      <w:pPr>
        <w:autoSpaceDN w:val="0"/>
        <w:tabs>
          <w:tab w:pos="564" w:val="left"/>
          <w:tab w:pos="634" w:val="left"/>
        </w:tabs>
        <w:autoSpaceDE w:val="0"/>
        <w:widowControl/>
        <w:spacing w:line="312" w:lineRule="exact" w:before="0" w:after="500"/>
        <w:ind w:left="226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2</w:t>
      </w:r>
      <w:r>
        <w:rPr>
          <w:rFonts w:ascii="HYb1gj" w:hAnsi="HYb1gj" w:eastAsia="HYb1gj"/>
          <w:b w:val="0"/>
          <w:i w:val="0"/>
          <w:color w:val="221F1F"/>
          <w:sz w:val="18"/>
        </w:rPr>
        <w:t>基于大数据分析的风险防控数据流程设计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大数据平台风险防控功能设计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通过对系统功能的开发和完善，建立一套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针对盾构群项目实施作业进行集群化、可视化、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智能化管理的远程监控系统。该系统围绕掘进项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目实施和设备技术状态进行远程监控及信息化管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理，提供地下项目掘进设备及项目实施远程实时</w:t>
      </w:r>
    </w:p>
    <w:p>
      <w:pPr>
        <w:sectPr>
          <w:type w:val="nextColumn"/>
          <w:pgSz w:w="11906" w:h="16157"/>
          <w:pgMar w:top="384" w:right="1354" w:bottom="168" w:left="400" w:header="720" w:footer="720" w:gutter="0"/>
          <w:cols w:num="2" w:equalWidth="0">
            <w:col w:w="5440" w:space="0"/>
            <w:col w:w="4712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848" w:right="0" w:firstLine="0"/>
        <w:jc w:val="left"/>
      </w:pPr>
      <w:r>
        <w:rPr>
          <w:rFonts w:ascii="HYb1gj" w:hAnsi="HYb1gj" w:eastAsia="HYb1gj"/>
          <w:b w:val="0"/>
          <w:i w:val="0"/>
          <w:color w:val="6C6E70"/>
          <w:sz w:val="32"/>
        </w:rPr>
        <w:t>20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 2022(06) </w:t>
      </w:r>
      <w:r>
        <w:rPr>
          <w:rFonts w:ascii="HYb1gj" w:hAnsi="HYb1gj" w:eastAsia="HYb1gj"/>
          <w:b w:val="0"/>
          <w:i w:val="0"/>
          <w:color w:val="221F1F"/>
          <w:sz w:val="14"/>
        </w:rPr>
        <w:t xml:space="preserve">CONSTRUCTION MECHANIZATION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384" w:right="13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2654300</wp:posOffset>
            </wp:positionV>
            <wp:extent cx="1943100" cy="1155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55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3092450</wp:posOffset>
            </wp:positionH>
            <wp:positionV relativeFrom="page">
              <wp:posOffset>4992370</wp:posOffset>
            </wp:positionV>
            <wp:extent cx="3671570" cy="206484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0648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6451600</wp:posOffset>
            </wp:positionV>
            <wp:extent cx="508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6451600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5473700</wp:posOffset>
            </wp:positionV>
            <wp:extent cx="508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6604000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6489700</wp:posOffset>
            </wp:positionV>
            <wp:extent cx="25400" cy="25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6375400</wp:posOffset>
            </wp:positionV>
            <wp:extent cx="25400" cy="25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6400800</wp:posOffset>
            </wp:positionV>
            <wp:extent cx="25400" cy="25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157"/>
          <w:pgMar w:top="936" w:right="12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0"/>
        <w:ind w:left="1074" w:right="226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管理业务，改变现在由项目实施现场人员到项目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经理到分管领导单线路管理项目的管理机制，变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成公司领导层和项目经理及公司总部各职能部门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同时了解、监督项目实施现场状况的交叉管理机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制，从而实现项目实施进度、安全、质量、成本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“协同保障”跟进。如图3 所示为基于大数据分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析的风险防控功能结构图。</w:t>
      </w:r>
    </w:p>
    <w:p>
      <w:pPr>
        <w:autoSpaceDN w:val="0"/>
        <w:autoSpaceDE w:val="0"/>
        <w:widowControl/>
        <w:spacing w:line="138" w:lineRule="exact" w:before="158" w:after="0"/>
        <w:ind w:left="0" w:right="1450" w:firstLine="0"/>
        <w:jc w:val="right"/>
      </w:pPr>
      <w:r>
        <w:rPr>
          <w:rFonts w:ascii="SimSun" w:hAnsi="SimSun" w:eastAsia="SimSun"/>
          <w:b w:val="0"/>
          <w:i w:val="0"/>
          <w:color w:val="010101"/>
          <w:sz w:val="14"/>
        </w:rPr>
        <w:t>基于大数据分析的盾构机施工</w:t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 w:num="2" w:equalWidth="0">
            <w:col w:w="5666" w:space="0"/>
            <w:col w:w="4614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4"/>
        <w:ind w:left="226" w:right="22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构法施工质量的直接体现，由于掘进控制、地质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原因、注浆控制、管片质量、拼装质量等原因，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地面沉降和管片姿态总是会或多或少的与设计出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现一些偏差，利用大数据分析技术可以自动计算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和分析上传到平台的项目各地面沉降监测点沉降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量、沉降速率和管片水平轨迹位移和管片垂直轨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迹位移，并生成曲线，方便技术人员查看分析，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如出现较大偏差可以实时提醒项目责任人员进行</w:t>
      </w:r>
    </w:p>
    <w:p>
      <w:pPr>
        <w:sectPr>
          <w:type w:val="nextColumn"/>
          <w:pgSz w:w="11906" w:h="16157"/>
          <w:pgMar w:top="936" w:right="1226" w:bottom="168" w:left="400" w:header="720" w:footer="720" w:gutter="0"/>
          <w:cols w:num="2" w:equalWidth="0">
            <w:col w:w="5666" w:space="0"/>
            <w:col w:w="46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5140"/>
        <w:gridCol w:w="5140"/>
      </w:tblGrid>
      <w:tr>
        <w:trPr>
          <w:trHeight w:hRule="exact" w:val="384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99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风险防控功能设计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" w:after="0"/>
              <w:ind w:left="1032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处理和补救。如发生指标超限可以实时提醒项目</w:t>
            </w:r>
          </w:p>
        </w:tc>
      </w:tr>
    </w:tbl>
    <w:p>
      <w:pPr>
        <w:autoSpaceDN w:val="0"/>
        <w:autoSpaceDE w:val="0"/>
        <w:widowControl/>
        <w:spacing w:line="185" w:lineRule="auto" w:before="66" w:after="66"/>
        <w:ind w:left="0" w:right="22" w:firstLine="0"/>
        <w:jc w:val="righ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责任人员进行及时处理和补救，避免更大事故的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rHeight w:hRule="exact" w:val="24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2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实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地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参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姿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故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关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612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发生。</w:t>
            </w:r>
          </w:p>
        </w:tc>
      </w:tr>
      <w:tr>
        <w:trPr>
          <w:trHeight w:hRule="exact" w:val="14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时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面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数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态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障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联</w:t>
            </w:r>
          </w:p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2" w:after="0"/>
              <w:ind w:left="1022" w:right="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图4、图5 分别为福州某在建项目的地面沉</w:t>
            </w:r>
          </w:p>
        </w:tc>
      </w:tr>
      <w:tr>
        <w:trPr>
          <w:trHeight w:hRule="exact" w:val="15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2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监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沉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预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预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报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预</w:t>
            </w:r>
          </w:p>
        </w:tc>
        <w:tc>
          <w:tcPr>
            <w:tcW w:type="dxa" w:w="1469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2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控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降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警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警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警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10101"/>
                <w:sz w:val="14"/>
              </w:rPr>
              <w:t>警</w:t>
            </w:r>
          </w:p>
        </w:tc>
        <w:tc>
          <w:tcPr>
            <w:tcW w:type="dxa" w:w="14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2" w:after="52"/>
        <w:ind w:left="0" w:right="2166" w:firstLine="0"/>
        <w:jc w:val="righ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降和管片姿态风险防控。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5140"/>
        <w:gridCol w:w="5140"/>
      </w:tblGrid>
      <w:tr>
        <w:trPr>
          <w:trHeight w:hRule="exact" w:val="912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558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图</w:t>
            </w:r>
            <w:r>
              <w:rPr>
                <w:rFonts w:ascii="Times" w:hAnsi="Times" w:eastAsia="Times"/>
                <w:b/>
                <w:i w:val="0"/>
                <w:color w:val="221F1F"/>
                <w:sz w:val="18"/>
              </w:rPr>
              <w:t>3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 xml:space="preserve"> 基于大数据分析的风险防控功能</w:t>
            </w:r>
          </w:p>
          <w:p>
            <w:pPr>
              <w:autoSpaceDN w:val="0"/>
              <w:autoSpaceDE w:val="0"/>
              <w:widowControl/>
              <w:spacing w:line="266" w:lineRule="exact" w:before="294" w:after="0"/>
              <w:ind w:left="5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21F1F"/>
                <w:sz w:val="24"/>
              </w:rPr>
              <w:t>3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24"/>
              </w:rPr>
              <w:t xml:space="preserve"> 项目应用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2" w:val="left"/>
              </w:tabs>
              <w:autoSpaceDE w:val="0"/>
              <w:widowControl/>
              <w:spacing w:line="310" w:lineRule="exact" w:before="0" w:after="0"/>
              <w:ind w:left="592" w:right="0" w:firstLine="0"/>
              <w:jc w:val="left"/>
            </w:pPr>
            <w:r>
              <w:rPr>
                <w:w w:val="101.00000381469727"/>
                <w:rFonts w:ascii="Times" w:hAnsi="Times" w:eastAsia="Times"/>
                <w:b/>
                <w:i w:val="0"/>
                <w:color w:val="221F1F"/>
                <w:sz w:val="20"/>
              </w:rPr>
              <w:t>3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221F1F"/>
                <w:sz w:val="20"/>
              </w:rPr>
              <w:t>.</w:t>
            </w:r>
            <w:r>
              <w:rPr>
                <w:w w:val="101.00000381469727"/>
                <w:rFonts w:ascii="Times" w:hAnsi="Times" w:eastAsia="Times"/>
                <w:b/>
                <w:i w:val="0"/>
                <w:color w:val="221F1F"/>
                <w:sz w:val="20"/>
              </w:rPr>
              <w:t>3</w:t>
            </w:r>
            <w:r>
              <w:rPr>
                <w:w w:val="101.00000381469727"/>
                <w:rFonts w:ascii="HYb1gj" w:hAnsi="HYb1gj" w:eastAsia="HYb1gj"/>
                <w:b w:val="0"/>
                <w:i w:val="0"/>
                <w:color w:val="221F1F"/>
                <w:sz w:val="20"/>
              </w:rPr>
              <w:t xml:space="preserve"> 盾构施工参数预警</w:t>
            </w:r>
            <w:r>
              <w:br/>
            </w:r>
            <w:r>
              <w:tab/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盾构施工参数是保证盾构施工顺利进行的根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本因素，如注浆系统、土仓压力等重要参数直接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type w:val="continuous"/>
          <w:pgSz w:w="11906" w:h="16157"/>
          <w:pgMar w:top="936" w:right="122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482" w:val="left"/>
        </w:tabs>
        <w:autoSpaceDE w:val="0"/>
        <w:widowControl/>
        <w:spacing w:line="316" w:lineRule="exact" w:before="0" w:after="0"/>
        <w:ind w:left="1074" w:right="144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1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掘进参数实时监控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数据监控功能主要目的是实现对盾构施工关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键数据进行远程监控，因为根据掘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进装备类型的不同，监控的内容也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不尽相同，因此，在此界面下对土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压平衡盾构、泥水平衡盾构和TBM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有所区别，根据项目类型自动进入</w:t>
      </w:r>
      <w:r>
        <w:br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对应的界面。</w:t>
      </w:r>
    </w:p>
    <w:p>
      <w:pPr>
        <w:autoSpaceDN w:val="0"/>
        <w:autoSpaceDE w:val="0"/>
        <w:widowControl/>
        <w:spacing w:line="271" w:lineRule="auto" w:before="126" w:after="0"/>
        <w:ind w:left="1074" w:right="1428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通过数据监控模块可实现对多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厂家、多类型的盾构TBM 的施工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状态进行远程在线实时监测，提高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施工信息化程度和管理水平，有效</w:t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 w:num="2" w:equalWidth="0">
            <w:col w:w="5666" w:space="0"/>
            <w:col w:w="461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344"/>
        <w:ind w:left="226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关系到管片姿态和地面沉降。因此，保证对盾构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施工参数预警是盾构施工风险防控的重要一环。</w:t>
      </w:r>
    </w:p>
    <w:p>
      <w:pPr>
        <w:sectPr>
          <w:type w:val="nextColumn"/>
          <w:pgSz w:w="11906" w:h="16157"/>
          <w:pgMar w:top="936" w:right="1226" w:bottom="168" w:left="400" w:header="720" w:footer="720" w:gutter="0"/>
          <w:cols w:num="2" w:equalWidth="0">
            <w:col w:w="5666" w:space="0"/>
            <w:col w:w="4614" w:space="0"/>
          </w:cols>
          <w:docGrid w:linePitch="360"/>
        </w:sectPr>
      </w:pPr>
    </w:p>
    <w:p>
      <w:pPr>
        <w:autoSpaceDN w:val="0"/>
        <w:tabs>
          <w:tab w:pos="6596" w:val="left"/>
        </w:tabs>
        <w:autoSpaceDE w:val="0"/>
        <w:widowControl/>
        <w:spacing w:line="202" w:lineRule="exact" w:before="0" w:after="126"/>
        <w:ind w:left="107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保证施工的安全。可满足管理人员</w:t>
      </w:r>
      <w:r>
        <w:tab/>
      </w: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4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地面沉降曲线</w:t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0"/>
        <w:ind w:left="1074" w:right="116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和专家随时随地可通过计算机或手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机查看盾构TBM 的工作状态、掘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进参数和运行记录，对施工进行指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导，减少误操作，提高施工效率。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通过对关键掘进参数实时监控和预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警，发现异常并及时处理，大大减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少施工风险。</w:t>
      </w:r>
    </w:p>
    <w:p>
      <w:pPr>
        <w:autoSpaceDN w:val="0"/>
        <w:tabs>
          <w:tab w:pos="1482" w:val="left"/>
        </w:tabs>
        <w:autoSpaceDE w:val="0"/>
        <w:widowControl/>
        <w:spacing w:line="328" w:lineRule="exact" w:before="0" w:after="0"/>
        <w:ind w:left="1074" w:right="0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2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地面沉降及管片姿态风险防控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盾构法施工不可避免地会带来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地面沉降，严重的地面沉降具有极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大的危害性。同时，管片姿态是盾</w:t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 w:num="2" w:equalWidth="0">
            <w:col w:w="4354" w:space="0"/>
            <w:col w:w="59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71570" cy="20650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06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86" w:after="452"/>
        <w:ind w:left="0" w:right="1974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8"/>
        </w:rPr>
        <w:t>图</w:t>
      </w:r>
      <w:r>
        <w:rPr>
          <w:rFonts w:ascii="Times" w:hAnsi="Times" w:eastAsia="Times"/>
          <w:b/>
          <w:i w:val="0"/>
          <w:color w:val="221F1F"/>
          <w:sz w:val="18"/>
        </w:rPr>
        <w:t>5</w:t>
      </w:r>
      <w:r>
        <w:rPr>
          <w:rFonts w:ascii="HYb1gj" w:hAnsi="HYb1gj" w:eastAsia="HYb1gj"/>
          <w:b w:val="0"/>
          <w:i w:val="0"/>
          <w:color w:val="221F1F"/>
          <w:sz w:val="18"/>
        </w:rPr>
        <w:t xml:space="preserve"> 管片姿态风险防控</w:t>
      </w:r>
    </w:p>
    <w:p>
      <w:pPr>
        <w:sectPr>
          <w:type w:val="nextColumn"/>
          <w:pgSz w:w="11906" w:h="16157"/>
          <w:pgMar w:top="936" w:right="1226" w:bottom="168" w:left="400" w:header="720" w:footer="720" w:gutter="0"/>
          <w:cols w:num="2" w:equalWidth="0">
            <w:col w:w="4354" w:space="0"/>
            <w:col w:w="5926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22" w:firstLine="0"/>
        <w:jc w:val="right"/>
      </w:pPr>
      <w:r>
        <w:rPr>
          <w:rFonts w:ascii="HYb1gj" w:hAnsi="HYb1gj" w:eastAsia="HYb1gj"/>
          <w:b w:val="0"/>
          <w:i w:val="0"/>
          <w:color w:val="221F1F"/>
          <w:sz w:val="14"/>
        </w:rPr>
        <w:t xml:space="preserve">建筑机械化 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2022(06) </w:t>
      </w:r>
      <w:r>
        <w:rPr>
          <w:rFonts w:ascii="HYb1gj" w:hAnsi="HYb1gj" w:eastAsia="HYb1gj"/>
          <w:b w:val="0"/>
          <w:i w:val="0"/>
          <w:color w:val="6C6E70"/>
          <w:sz w:val="32"/>
        </w:rPr>
        <w:t>21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936" w:right="12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</w:p>
    <w:p>
      <w:pPr>
        <w:sectPr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848" w:right="226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利用大数据分析技术可以自动计算盾构施工参数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阈值也可人为主动设定和修正参数阈值，当盾构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施工参数超过设置阈值时，会发出报警并推送消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息至项目技术人员，做到施工风险早发现、早提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醒、早预防，从而达到降低施工风险、保证施工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226" w:right="34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参数上下限阈值，当平台监测到关联数据持续超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过所设阈值5min，就会及时反馈预警信息到项目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技术管理人员，提醒用户进行结泥饼、刀具损坏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等相关性检查，从而防控更严重风险的发生。</w:t>
      </w:r>
    </w:p>
    <w:p>
      <w:pPr>
        <w:autoSpaceDN w:val="0"/>
        <w:autoSpaceDE w:val="0"/>
        <w:widowControl/>
        <w:spacing w:line="185" w:lineRule="auto" w:before="126" w:after="124"/>
        <w:ind w:left="634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利用大数据分析技术实时检测到佛莞城际铁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5666" w:val="left"/>
        </w:tabs>
        <w:autoSpaceDE w:val="0"/>
        <w:widowControl/>
        <w:spacing w:line="187" w:lineRule="auto" w:before="0" w:after="104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安全的效果。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路项目某时间段推进速度过小，已与总推力及刀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56" w:val="left"/>
        </w:tabs>
        <w:autoSpaceDE w:val="0"/>
        <w:widowControl/>
        <w:spacing w:line="276" w:lineRule="exact" w:before="0" w:after="0"/>
        <w:ind w:left="848" w:right="144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4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盾构姿态预警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盾构施工过程中受所穿越的地层特性和物理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24"/>
        <w:ind w:left="226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盘扭矩严重不匹配，及时发出预警提醒项目参数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有异常，应检查是否发生刀盘结泥饼或者刀盘刀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033"/>
        <w:gridCol w:w="5033"/>
      </w:tblGrid>
      <w:tr>
        <w:trPr>
          <w:trHeight w:hRule="exact" w:val="838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428" w:right="208" w:firstLine="0"/>
              <w:jc w:val="both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指标、隧道设计轴线及盾构施工参数影响姿态会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出现偏差，尤其在软硬不均、基岩凸起、岩洞、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孤石等特殊工况下，盾构姿态的控制更加困难。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246" w:right="1440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具损坏等情况。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221F1F"/>
                <w:sz w:val="24"/>
              </w:rPr>
              <w:t>4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24"/>
              </w:rPr>
              <w:t xml:space="preserve"> 结</w:t>
            </w:r>
            <w:r>
              <w:rPr>
                <w:rFonts w:ascii="HYb1gj" w:hAnsi="HYb1gj" w:eastAsia="HYb1gj"/>
                <w:b w:val="0"/>
                <w:i w:val="0"/>
                <w:color w:val="221F1F"/>
                <w:sz w:val="24"/>
              </w:rPr>
              <w:t>语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848" w:right="22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利用大数据分析技术可以自动设置项目盾构姿态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报警阈值也可人为主动设定和修正参数阈值，当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盾构实时姿态参数超过设置阈值时，会发出报警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并推送消息至项目技术人员提醒项目及时采取调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整掘进参数、加强测量等措施进行纠偏，保证隧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126"/>
        <w:ind w:left="226" w:right="34" w:firstLine="408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利用大数据分析技术，可以实现对施工现场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的生产要素进行识别、定位、跟踪、监控，建立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起集监控、分析、故障预警、参数预警于一体的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多维度、综合立体风险防控体系，可以及时发现危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险因素并发出预警或报警，从而显著降低施工风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5666" w:val="left"/>
        </w:tabs>
        <w:autoSpaceDE w:val="0"/>
        <w:widowControl/>
        <w:spacing w:line="185" w:lineRule="auto" w:before="0" w:after="106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道施工质量。</w:t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险。另外，利用大数据分析应用技术，将行业内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56" w:val="left"/>
        </w:tabs>
        <w:autoSpaceDE w:val="0"/>
        <w:widowControl/>
        <w:spacing w:line="308" w:lineRule="exact" w:before="0" w:after="0"/>
        <w:ind w:left="848" w:right="144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5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设备故障监测预警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由于盾构配置的设备数量多，结构复杂，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导致其故障发生率较高，且盾构的故障具有复杂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性、多样性和耦合性的特点，一旦发生故障有可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能导致盾构停机，从而导致施工效率降低、工期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auto" w:before="0" w:after="126"/>
        <w:ind w:left="226" w:right="34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各地域各地层装备施工的数据收集起来，通过交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互分析，可以有力地推进盾构及掘进技术行业数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据资源整合和开放共享，有利于充分发挥数据的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基础资源作用和创新引擎作用，为盾构/TBM 安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 xml:space="preserve">全、快速、高效、文明施工提供强大助力。 </w:t>
      </w:r>
      <w:r>
        <w:rPr>
          <w:rFonts w:ascii="STZhongsong" w:hAnsi="STZhongsong" w:eastAsia="STZhongsong"/>
          <w:b w:val="0"/>
          <w:i w:val="0"/>
          <w:color w:val="FFFFFF"/>
          <w:sz w:val="16"/>
        </w:rPr>
        <w:t>O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033"/>
        <w:gridCol w:w="5033"/>
      </w:tblGrid>
      <w:tr>
        <w:trPr>
          <w:trHeight w:hRule="exact" w:val="510"/>
        </w:trPr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28" w:right="1008" w:firstLine="0"/>
              <w:jc w:val="left"/>
            </w:pP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风险增加施工成本加大。因此，如何在现场有限</w:t>
            </w:r>
            <w:r>
              <w:rPr>
                <w:w w:val="101.00000381469727"/>
                <w:rFonts w:ascii="HYa6gj" w:hAnsi="HYa6gj" w:eastAsia="HYa6gj"/>
                <w:b w:val="0"/>
                <w:i w:val="0"/>
                <w:color w:val="221F1F"/>
                <w:sz w:val="20"/>
              </w:rPr>
              <w:t>的条件下快速有效的定位故障部位及原因并进行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2" w:after="0"/>
              <w:ind w:left="0" w:right="892" w:firstLine="0"/>
              <w:jc w:val="right"/>
            </w:pPr>
            <w:r>
              <w:rPr>
                <w:rFonts w:ascii="HYb1gj" w:hAnsi="HYb1gj" w:eastAsia="HYb1gj"/>
                <w:b w:val="0"/>
                <w:i w:val="0"/>
                <w:color w:val="221F1F"/>
                <w:sz w:val="18"/>
              </w:rPr>
              <w:t>[参考文献]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848" w:right="228" w:firstLine="0"/>
        <w:jc w:val="both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排除，是盾构施工的一个主要难题。利用大数据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分析技术可以实时监测盾构设备传感器数据，实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时给出相应故障位置及故障时间，从而做到第一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时间发现、第一时间解决故障，以达到提高设备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完好率和使用率、减少故障停机时间的风险防控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606" w:val="left"/>
        </w:tabs>
        <w:autoSpaceDE w:val="0"/>
        <w:widowControl/>
        <w:spacing w:line="257" w:lineRule="auto" w:before="0" w:after="0"/>
        <w:ind w:left="22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[1]  洪开荣．TBM施工风险与应对措施[J]．科技导报，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8"/>
        </w:rPr>
        <w:t>2018，36(10）：93-100．</w:t>
      </w:r>
    </w:p>
    <w:p>
      <w:pPr>
        <w:autoSpaceDN w:val="0"/>
        <w:tabs>
          <w:tab w:pos="606" w:val="left"/>
        </w:tabs>
        <w:autoSpaceDE w:val="0"/>
        <w:widowControl/>
        <w:spacing w:line="257" w:lineRule="auto" w:before="140" w:after="0"/>
        <w:ind w:left="22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[2]  陈 馈，冯欢欢．TBM 施工风险与应对措施[J]．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8"/>
        </w:rPr>
        <w:t>隧道建设，2013，（33）：91-97．</w:t>
      </w:r>
    </w:p>
    <w:p>
      <w:pPr>
        <w:autoSpaceDN w:val="0"/>
        <w:autoSpaceDE w:val="0"/>
        <w:widowControl/>
        <w:spacing w:line="185" w:lineRule="auto" w:before="140" w:after="140"/>
        <w:ind w:left="22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[3]  张恒睿．地铁超限盾构隧道暗挖改造设计[J]．铁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6046" w:val="left"/>
        </w:tabs>
        <w:autoSpaceDE w:val="0"/>
        <w:widowControl/>
        <w:spacing w:line="204" w:lineRule="auto" w:before="0" w:after="104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目的。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8"/>
        </w:rPr>
        <w:t>道勘察，2015，（2）：59-62．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56" w:val="left"/>
        </w:tabs>
        <w:autoSpaceDE w:val="0"/>
        <w:widowControl/>
        <w:spacing w:line="276" w:lineRule="exact" w:before="0" w:after="0"/>
        <w:ind w:left="848" w:right="144" w:firstLine="0"/>
        <w:jc w:val="left"/>
      </w:pP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1F1F"/>
          <w:sz w:val="20"/>
        </w:rPr>
        <w:t>.</w:t>
      </w:r>
      <w:r>
        <w:rPr>
          <w:w w:val="101.00000381469727"/>
          <w:rFonts w:ascii="Times" w:hAnsi="Times" w:eastAsia="Times"/>
          <w:b/>
          <w:i w:val="0"/>
          <w:color w:val="221F1F"/>
          <w:sz w:val="20"/>
        </w:rPr>
        <w:t>6</w:t>
      </w:r>
      <w:r>
        <w:rPr>
          <w:w w:val="101.00000381469727"/>
          <w:rFonts w:ascii="HYb1gj" w:hAnsi="HYb1gj" w:eastAsia="HYb1gj"/>
          <w:b w:val="0"/>
          <w:i w:val="0"/>
          <w:color w:val="221F1F"/>
          <w:sz w:val="20"/>
        </w:rPr>
        <w:t xml:space="preserve"> 关联参数预警</w:t>
      </w:r>
      <w:r>
        <w:br/>
      </w:r>
      <w:r>
        <w:tab/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盾构施工过程中由于地质变化或装备故障等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606" w:val="left"/>
        </w:tabs>
        <w:autoSpaceDE w:val="0"/>
        <w:widowControl/>
        <w:spacing w:line="257" w:lineRule="auto" w:before="0" w:after="138"/>
        <w:ind w:left="22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[4]  郑 路．数字化盾构隧道数据组织及管理研究[D].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8"/>
        </w:rPr>
        <w:t>上海：同济大学，2008.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8832" w:val="left"/>
        </w:tabs>
        <w:autoSpaceDE w:val="0"/>
        <w:widowControl/>
        <w:spacing w:line="228" w:lineRule="auto" w:before="0" w:after="0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原因会引起参数变化，但是有时并不能通过一个</w:t>
      </w:r>
      <w:r>
        <w:tab/>
      </w:r>
      <w:r>
        <w:rPr>
          <w:rFonts w:ascii="HYb1gj" w:hAnsi="HYb1gj" w:eastAsia="HYb1gj"/>
          <w:b w:val="0"/>
          <w:i w:val="0"/>
          <w:color w:val="221F1F"/>
          <w:sz w:val="15"/>
        </w:rPr>
        <w:t>（编辑  张海霞）</w:t>
      </w:r>
    </w:p>
    <w:p>
      <w:pPr>
        <w:autoSpaceDN w:val="0"/>
        <w:autoSpaceDE w:val="0"/>
        <w:widowControl/>
        <w:spacing w:line="185" w:lineRule="auto" w:before="126" w:after="48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参数反映出来，比如某项目发生刀盘刀具严重损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48" w:right="144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毁，后经分析历史数据，发现刀盘扭矩持续增大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而推进速度显著降低，呈现出明显的反异差，如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1126" w:val="left"/>
        </w:tabs>
        <w:autoSpaceDE w:val="0"/>
        <w:widowControl/>
        <w:spacing w:line="247" w:lineRule="auto" w:before="0" w:after="100"/>
        <w:ind w:left="226" w:right="144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基金项目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 xml:space="preserve"> 国家重点研发计划(2020YFB1712105)；中铁隧道局集</w:t>
      </w:r>
      <w:r>
        <w:tab/>
      </w:r>
      <w:r>
        <w:rPr>
          <w:rFonts w:ascii="HYe1gj" w:hAnsi="HYe1gj" w:eastAsia="HYe1gj"/>
          <w:b w:val="0"/>
          <w:i w:val="0"/>
          <w:color w:val="221F1F"/>
          <w:sz w:val="15"/>
        </w:rPr>
        <w:t>团有限公司科技创新计划（隧研合2018-40）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tabs>
          <w:tab w:pos="5666" w:val="left"/>
        </w:tabs>
        <w:autoSpaceDE w:val="0"/>
        <w:widowControl/>
        <w:spacing w:line="226" w:lineRule="auto" w:before="0" w:after="126"/>
        <w:ind w:left="848" w:right="0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图所示。但是由于现场未能事前发现问题，导致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中图分类号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>U455.1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48" w:right="144" w:firstLine="0"/>
        <w:jc w:val="left"/>
      </w:pP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事故演变到最后造成较大损失。而利用大数据分</w:t>
      </w:r>
      <w:r>
        <w:rPr>
          <w:w w:val="101.00000381469727"/>
          <w:rFonts w:ascii="HYa6gj" w:hAnsi="HYa6gj" w:eastAsia="HYa6gj"/>
          <w:b w:val="0"/>
          <w:i w:val="0"/>
          <w:color w:val="221F1F"/>
          <w:sz w:val="20"/>
        </w:rPr>
        <w:t>析技术可以很好地解决类似问题，通过设置关联</w:t>
      </w:r>
    </w:p>
    <w:p>
      <w:pPr>
        <w:sectPr>
          <w:type w:val="continuous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798"/>
        <w:ind w:left="226" w:right="1584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文献标识码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 xml:space="preserve">B </w:t>
      </w:r>
      <w:r>
        <w:br/>
      </w: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文章编号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>1001-1366(2022)06-0019-04</w:t>
      </w:r>
      <w:r>
        <w:rPr>
          <w:rFonts w:ascii="HYa6gj" w:hAnsi="HYa6gj" w:eastAsia="HYa6gj"/>
          <w:b w:val="0"/>
          <w:i w:val="0"/>
          <w:color w:val="221F1F"/>
          <w:sz w:val="15"/>
        </w:rPr>
        <w:t>［</w:t>
      </w:r>
      <w:r>
        <w:rPr>
          <w:rFonts w:ascii="HYe3gj" w:hAnsi="HYe3gj" w:eastAsia="HYe3gj"/>
          <w:b w:val="0"/>
          <w:i w:val="0"/>
          <w:color w:val="221F1F"/>
          <w:sz w:val="15"/>
        </w:rPr>
        <w:t>收稿日期</w:t>
      </w:r>
      <w:r>
        <w:rPr>
          <w:rFonts w:ascii="HYa6gj" w:hAnsi="HYa6gj" w:eastAsia="HYa6gj"/>
          <w:b w:val="0"/>
          <w:i w:val="0"/>
          <w:color w:val="221F1F"/>
          <w:sz w:val="15"/>
        </w:rPr>
        <w:t>］</w:t>
      </w:r>
      <w:r>
        <w:rPr>
          <w:rFonts w:ascii="HYe1gj" w:hAnsi="HYe1gj" w:eastAsia="HYe1gj"/>
          <w:b w:val="0"/>
          <w:i w:val="0"/>
          <w:color w:val="221F1F"/>
          <w:sz w:val="15"/>
        </w:rPr>
        <w:t>2022-01-10</w:t>
      </w:r>
    </w:p>
    <w:p>
      <w:pPr>
        <w:sectPr>
          <w:type w:val="nextColumn"/>
          <w:pgSz w:w="11906" w:h="16157"/>
          <w:pgMar w:top="936" w:right="1440" w:bottom="168" w:left="400" w:header="720" w:footer="720" w:gutter="0"/>
          <w:cols w:num="2" w:equalWidth="0">
            <w:col w:w="5440" w:space="0"/>
            <w:col w:w="4625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848" w:right="0" w:firstLine="0"/>
        <w:jc w:val="left"/>
      </w:pPr>
      <w:r>
        <w:rPr>
          <w:rFonts w:ascii="HYb1gj" w:hAnsi="HYb1gj" w:eastAsia="HYb1gj"/>
          <w:b w:val="0"/>
          <w:i w:val="0"/>
          <w:color w:val="6C6E70"/>
          <w:sz w:val="32"/>
        </w:rPr>
        <w:t>22</w:t>
      </w:r>
      <w:r>
        <w:rPr>
          <w:rFonts w:ascii="HYb1gj" w:hAnsi="HYb1gj" w:eastAsia="HYb1gj"/>
          <w:b w:val="0"/>
          <w:i w:val="0"/>
          <w:color w:val="221F1F"/>
          <w:sz w:val="15"/>
        </w:rPr>
        <w:t xml:space="preserve"> 2022(06) </w:t>
      </w:r>
      <w:r>
        <w:rPr>
          <w:rFonts w:ascii="HYb1gj" w:hAnsi="HYb1gj" w:eastAsia="HYb1gj"/>
          <w:b w:val="0"/>
          <w:i w:val="0"/>
          <w:color w:val="221F1F"/>
          <w:sz w:val="14"/>
        </w:rPr>
        <w:t xml:space="preserve">CONSTRUCTION MECHANIZATION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157"/>
      <w:pgMar w:top="936" w:right="144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