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ind w:firstLine="0" w:firstLineChars="0"/>
        <w:jc w:val="center"/>
        <w:rPr>
          <w:rFonts w:ascii="黑体" w:hAnsi="黑体" w:eastAsia="黑体" w:cs="Calibri"/>
          <w:sz w:val="44"/>
          <w:szCs w:val="44"/>
        </w:rPr>
      </w:pPr>
      <w:bookmarkStart w:id="0" w:name="_Toc484418650"/>
      <w:bookmarkStart w:id="1" w:name="_Toc484444671"/>
      <w:r>
        <w:rPr>
          <w:rFonts w:hint="eastAsia" w:ascii="黑体" w:hAnsi="华文中宋" w:eastAsia="黑体" w:cs="Calibri"/>
          <w:sz w:val="36"/>
          <w:szCs w:val="36"/>
        </w:rPr>
        <w:t>新 建 重 庆 至 黔 江 铁 路 项 目</w:t>
      </w:r>
    </w:p>
    <w:p>
      <w:pPr>
        <w:ind w:firstLine="0" w:firstLineChars="0"/>
        <w:jc w:val="center"/>
        <w:rPr>
          <w:rFonts w:ascii="方正小标宋简体" w:hAnsi="楷体" w:eastAsia="方正小标宋简体" w:cs="Calibri"/>
          <w:sz w:val="52"/>
          <w:szCs w:val="52"/>
        </w:rPr>
      </w:pPr>
    </w:p>
    <w:p>
      <w:pPr>
        <w:ind w:firstLine="0" w:firstLineChars="0"/>
        <w:jc w:val="center"/>
        <w:rPr>
          <w:rFonts w:ascii="方正小标宋简体" w:hAnsi="楷体" w:eastAsia="方正小标宋简体" w:cs="Calibri"/>
          <w:sz w:val="52"/>
          <w:szCs w:val="52"/>
        </w:rPr>
      </w:pPr>
      <w:r>
        <w:rPr>
          <w:rFonts w:hint="eastAsia" w:ascii="方正小标宋简体" w:hAnsi="楷体" w:eastAsia="方正小标宋简体" w:cs="Calibri"/>
          <w:sz w:val="52"/>
          <w:szCs w:val="52"/>
        </w:rPr>
        <w:t>隧道</w:t>
      </w:r>
      <w:r>
        <w:rPr>
          <w:rFonts w:hint="eastAsia" w:ascii="方正小标宋简体" w:hAnsi="楷体" w:eastAsia="方正小标宋简体" w:cs="Calibri"/>
          <w:sz w:val="52"/>
          <w:szCs w:val="52"/>
          <w:lang w:val="en-US" w:eastAsia="zh-CN"/>
        </w:rPr>
        <w:t>同步注浆及二次注浆</w:t>
      </w:r>
      <w:r>
        <w:rPr>
          <w:rFonts w:hint="eastAsia" w:ascii="方正小标宋简体" w:hAnsi="楷体" w:eastAsia="方正小标宋简体" w:cs="Calibri"/>
          <w:sz w:val="52"/>
          <w:szCs w:val="52"/>
        </w:rPr>
        <w:t>方案</w:t>
      </w:r>
    </w:p>
    <w:p>
      <w:pPr>
        <w:tabs>
          <w:tab w:val="left" w:pos="425"/>
        </w:tabs>
        <w:spacing w:after="120"/>
        <w:ind w:firstLine="0" w:firstLineChars="0"/>
        <w:jc w:val="center"/>
        <w:rPr>
          <w:rFonts w:eastAsia="等线"/>
          <w:kern w:val="0"/>
          <w:sz w:val="20"/>
        </w:rPr>
      </w:pPr>
    </w:p>
    <w:p>
      <w:pPr>
        <w:ind w:firstLine="0" w:firstLineChars="0"/>
        <w:jc w:val="center"/>
        <w:rPr>
          <w:rFonts w:ascii="仿宋" w:hAnsi="仿宋" w:eastAsia="仿宋" w:cs="Calibri"/>
          <w:b/>
          <w:sz w:val="36"/>
          <w:szCs w:val="36"/>
        </w:rPr>
      </w:pPr>
      <w:r>
        <w:rPr>
          <w:rFonts w:ascii="仿宋" w:hAnsi="仿宋" w:eastAsia="仿宋" w:cs="Calibri"/>
          <w:b/>
          <w:sz w:val="36"/>
          <w:szCs w:val="36"/>
        </w:rPr>
        <w:drawing>
          <wp:inline distT="0" distB="0" distL="114300" distR="114300">
            <wp:extent cx="2962275" cy="2257425"/>
            <wp:effectExtent l="0" t="0" r="9525" b="3175"/>
            <wp:docPr id="2" name="图片 5"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中国铁建标志"/>
                    <pic:cNvPicPr>
                      <a:picLocks noChangeAspect="1"/>
                    </pic:cNvPicPr>
                  </pic:nvPicPr>
                  <pic:blipFill>
                    <a:blip r:embed="rId13"/>
                    <a:stretch>
                      <a:fillRect/>
                    </a:stretch>
                  </pic:blipFill>
                  <pic:spPr>
                    <a:xfrm>
                      <a:off x="0" y="0"/>
                      <a:ext cx="2962275" cy="2257425"/>
                    </a:xfrm>
                    <a:prstGeom prst="rect">
                      <a:avLst/>
                    </a:prstGeom>
                    <a:noFill/>
                    <a:ln>
                      <a:noFill/>
                    </a:ln>
                  </pic:spPr>
                </pic:pic>
              </a:graphicData>
            </a:graphic>
          </wp:inline>
        </w:drawing>
      </w:r>
    </w:p>
    <w:p>
      <w:pPr>
        <w:adjustRightInd w:val="0"/>
        <w:snapToGrid w:val="0"/>
        <w:spacing w:line="600" w:lineRule="auto"/>
        <w:ind w:firstLine="0" w:firstLineChars="0"/>
        <w:rPr>
          <w:rFonts w:ascii="宋体" w:hAnsi="宋体" w:cs="Calibri"/>
          <w:sz w:val="32"/>
          <w:szCs w:val="32"/>
        </w:rPr>
      </w:pPr>
    </w:p>
    <w:p>
      <w:pPr>
        <w:adjustRightInd w:val="0"/>
        <w:snapToGrid w:val="0"/>
        <w:spacing w:line="600" w:lineRule="auto"/>
        <w:ind w:firstLine="2720" w:firstLineChars="850"/>
        <w:rPr>
          <w:rFonts w:ascii="宋体" w:hAnsi="宋体" w:cs="Calibri"/>
          <w:sz w:val="32"/>
          <w:szCs w:val="32"/>
          <w:u w:val="single"/>
        </w:rPr>
      </w:pPr>
      <w:r>
        <w:rPr>
          <w:rFonts w:hint="eastAsia" w:ascii="宋体" w:hAnsi="宋体" w:cs="Calibri"/>
          <w:sz w:val="32"/>
          <w:szCs w:val="32"/>
        </w:rPr>
        <w:t>编制：</w:t>
      </w:r>
      <w:r>
        <w:rPr>
          <w:rFonts w:hint="eastAsia" w:ascii="宋体" w:hAnsi="宋体" w:cs="Calibri"/>
          <w:sz w:val="32"/>
          <w:szCs w:val="32"/>
          <w:u w:val="single"/>
        </w:rPr>
        <w:t xml:space="preserve"> </w:t>
      </w:r>
      <w:r>
        <w:rPr>
          <w:rFonts w:ascii="宋体" w:hAnsi="宋体" w:cs="Calibri"/>
          <w:sz w:val="32"/>
          <w:szCs w:val="32"/>
          <w:u w:val="single"/>
        </w:rPr>
        <w:t xml:space="preserve">               </w:t>
      </w:r>
    </w:p>
    <w:p>
      <w:pPr>
        <w:adjustRightInd w:val="0"/>
        <w:snapToGrid w:val="0"/>
        <w:spacing w:line="600" w:lineRule="auto"/>
        <w:ind w:firstLine="2720" w:firstLineChars="850"/>
        <w:rPr>
          <w:rFonts w:ascii="宋体" w:hAnsi="宋体" w:cs="Calibri"/>
          <w:sz w:val="32"/>
          <w:szCs w:val="32"/>
          <w:u w:val="single"/>
        </w:rPr>
      </w:pPr>
      <w:r>
        <w:rPr>
          <w:rFonts w:hint="eastAsia" w:ascii="宋体" w:hAnsi="宋体" w:cs="Calibri"/>
          <w:sz w:val="32"/>
          <w:szCs w:val="32"/>
        </w:rPr>
        <w:t>复核：</w:t>
      </w:r>
      <w:r>
        <w:rPr>
          <w:rFonts w:hint="eastAsia" w:ascii="宋体" w:hAnsi="宋体" w:cs="Calibri"/>
          <w:sz w:val="32"/>
          <w:szCs w:val="32"/>
          <w:u w:val="single"/>
        </w:rPr>
        <w:t xml:space="preserve"> </w:t>
      </w:r>
      <w:r>
        <w:rPr>
          <w:rFonts w:ascii="宋体" w:hAnsi="宋体" w:cs="Calibri"/>
          <w:sz w:val="32"/>
          <w:szCs w:val="32"/>
          <w:u w:val="single"/>
        </w:rPr>
        <w:t xml:space="preserve">               </w:t>
      </w:r>
    </w:p>
    <w:p>
      <w:pPr>
        <w:adjustRightInd w:val="0"/>
        <w:snapToGrid w:val="0"/>
        <w:spacing w:line="600" w:lineRule="auto"/>
        <w:ind w:firstLine="2720" w:firstLineChars="850"/>
        <w:rPr>
          <w:rFonts w:ascii="宋体" w:hAnsi="宋体" w:cs="Calibri"/>
          <w:sz w:val="32"/>
          <w:szCs w:val="32"/>
          <w:u w:val="single"/>
        </w:rPr>
      </w:pPr>
      <w:r>
        <w:rPr>
          <w:rFonts w:hint="eastAsia" w:ascii="宋体" w:hAnsi="宋体" w:cs="Calibri"/>
          <w:sz w:val="32"/>
          <w:szCs w:val="32"/>
        </w:rPr>
        <w:t>审批：</w:t>
      </w:r>
      <w:r>
        <w:rPr>
          <w:rFonts w:hint="eastAsia" w:ascii="宋体" w:hAnsi="宋体" w:cs="Calibri"/>
          <w:sz w:val="32"/>
          <w:szCs w:val="32"/>
          <w:u w:val="single"/>
        </w:rPr>
        <w:t xml:space="preserve"> </w:t>
      </w:r>
      <w:r>
        <w:rPr>
          <w:rFonts w:ascii="宋体" w:hAnsi="宋体" w:cs="Calibri"/>
          <w:sz w:val="32"/>
          <w:szCs w:val="32"/>
          <w:u w:val="single"/>
        </w:rPr>
        <w:t xml:space="preserve">               </w:t>
      </w:r>
    </w:p>
    <w:p>
      <w:pPr>
        <w:adjustRightInd w:val="0"/>
        <w:snapToGrid w:val="0"/>
        <w:spacing w:line="600" w:lineRule="exact"/>
        <w:ind w:firstLine="0" w:firstLineChars="0"/>
        <w:jc w:val="center"/>
        <w:rPr>
          <w:rFonts w:ascii="宋体" w:hAnsi="宋体" w:cs="Calibri"/>
          <w:b/>
          <w:sz w:val="32"/>
          <w:szCs w:val="32"/>
        </w:rPr>
      </w:pPr>
    </w:p>
    <w:p>
      <w:pPr>
        <w:adjustRightInd w:val="0"/>
        <w:snapToGrid w:val="0"/>
        <w:spacing w:line="600" w:lineRule="exact"/>
        <w:ind w:firstLine="0" w:firstLineChars="0"/>
        <w:jc w:val="center"/>
        <w:rPr>
          <w:rFonts w:ascii="宋体" w:hAnsi="宋体" w:cs="Calibri"/>
          <w:b/>
          <w:sz w:val="32"/>
          <w:szCs w:val="32"/>
        </w:rPr>
      </w:pPr>
      <w:r>
        <w:rPr>
          <w:rFonts w:hint="eastAsia" w:ascii="宋体" w:hAnsi="宋体" w:cs="Calibri"/>
          <w:b/>
          <w:sz w:val="32"/>
          <w:szCs w:val="32"/>
        </w:rPr>
        <w:t>中铁十四局集团有限公司</w:t>
      </w:r>
    </w:p>
    <w:p>
      <w:pPr>
        <w:ind w:firstLine="0" w:firstLineChars="0"/>
        <w:jc w:val="center"/>
        <w:rPr>
          <w:rFonts w:ascii="宋体" w:hAnsi="宋体" w:cs="Calibri"/>
          <w:b/>
          <w:sz w:val="32"/>
          <w:szCs w:val="32"/>
        </w:rPr>
      </w:pPr>
      <w:r>
        <w:rPr>
          <w:rFonts w:hint="eastAsia" w:ascii="宋体" w:hAnsi="宋体" w:cs="宋体"/>
          <w:b/>
          <w:bCs/>
          <w:sz w:val="32"/>
          <w:szCs w:val="32"/>
        </w:rPr>
        <w:t>重庆至黔江铁路站前2标项目经理部</w:t>
      </w:r>
    </w:p>
    <w:p>
      <w:pPr>
        <w:adjustRightInd w:val="0"/>
        <w:snapToGrid w:val="0"/>
        <w:spacing w:line="600" w:lineRule="exact"/>
        <w:ind w:firstLine="0" w:firstLineChars="0"/>
        <w:jc w:val="center"/>
        <w:rPr>
          <w:rFonts w:ascii="宋体" w:hAnsi="宋体" w:cs="Calibri"/>
          <w:b/>
          <w:sz w:val="32"/>
          <w:szCs w:val="32"/>
        </w:rPr>
        <w:sectPr>
          <w:footerReference r:id="rId8" w:type="first"/>
          <w:headerReference r:id="rId5" w:type="default"/>
          <w:footerReference r:id="rId6" w:type="default"/>
          <w:footerReference r:id="rId7" w:type="even"/>
          <w:type w:val="nextColumn"/>
          <w:pgSz w:w="11907" w:h="16840"/>
          <w:pgMar w:top="1418" w:right="1134" w:bottom="1418" w:left="1418" w:header="851" w:footer="992" w:gutter="0"/>
          <w:pgBorders>
            <w:top w:val="none" w:sz="0" w:space="0"/>
            <w:left w:val="none" w:sz="0" w:space="0"/>
            <w:bottom w:val="none" w:sz="0" w:space="0"/>
            <w:right w:val="none" w:sz="0" w:space="0"/>
          </w:pgBorders>
          <w:cols w:space="720" w:num="1"/>
          <w:docGrid w:type="linesAndChars" w:linePitch="381" w:charSpace="0"/>
        </w:sectPr>
      </w:pPr>
      <w:r>
        <w:rPr>
          <w:rFonts w:hint="eastAsia" w:ascii="宋体" w:hAnsi="宋体" w:cs="Calibri"/>
          <w:b/>
          <w:sz w:val="32"/>
          <w:szCs w:val="32"/>
        </w:rPr>
        <w:t>202</w:t>
      </w:r>
      <w:r>
        <w:rPr>
          <w:rFonts w:ascii="宋体" w:hAnsi="宋体" w:cs="Calibri"/>
          <w:b/>
          <w:sz w:val="32"/>
          <w:szCs w:val="32"/>
        </w:rPr>
        <w:t>3</w:t>
      </w:r>
      <w:r>
        <w:rPr>
          <w:rFonts w:hint="eastAsia" w:ascii="宋体" w:hAnsi="宋体" w:cs="Calibri"/>
          <w:b/>
          <w:sz w:val="32"/>
          <w:szCs w:val="32"/>
        </w:rPr>
        <w:t>年</w:t>
      </w:r>
      <w:r>
        <w:rPr>
          <w:rFonts w:hint="eastAsia" w:ascii="宋体" w:hAnsi="宋体" w:cs="Calibri"/>
          <w:b/>
          <w:sz w:val="32"/>
          <w:szCs w:val="32"/>
          <w:lang w:val="en-US" w:eastAsia="zh-CN"/>
        </w:rPr>
        <w:t>8</w:t>
      </w:r>
      <w:r>
        <w:rPr>
          <w:rFonts w:hint="eastAsia" w:ascii="宋体" w:hAnsi="宋体" w:cs="Calibri"/>
          <w:b/>
          <w:sz w:val="32"/>
          <w:szCs w:val="32"/>
        </w:rPr>
        <w:t>月</w:t>
      </w:r>
    </w:p>
    <w:p>
      <w:pPr>
        <w:pStyle w:val="23"/>
        <w:tabs>
          <w:tab w:val="right" w:leader="dot" w:pos="9345"/>
        </w:tabs>
        <w:spacing w:line="240" w:lineRule="auto"/>
        <w:ind w:firstLine="0" w:firstLineChars="0"/>
        <w:jc w:val="center"/>
        <w:rPr>
          <w:rFonts w:ascii="Times New Roman" w:eastAsia="宋体"/>
          <w:bCs w:val="0"/>
          <w:sz w:val="44"/>
          <w:szCs w:val="44"/>
        </w:rPr>
      </w:pPr>
      <w:r>
        <w:rPr>
          <w:rFonts w:hint="eastAsia" w:ascii="Times New Roman" w:eastAsia="宋体"/>
          <w:bCs w:val="0"/>
          <w:sz w:val="44"/>
          <w:szCs w:val="44"/>
        </w:rPr>
        <w:t xml:space="preserve">目 </w:t>
      </w:r>
      <w:r>
        <w:rPr>
          <w:rFonts w:ascii="Times New Roman" w:eastAsia="宋体"/>
          <w:bCs w:val="0"/>
          <w:sz w:val="44"/>
          <w:szCs w:val="44"/>
        </w:rPr>
        <w:t xml:space="preserve"> </w:t>
      </w:r>
      <w:r>
        <w:rPr>
          <w:rFonts w:hint="eastAsia" w:ascii="Times New Roman" w:eastAsia="宋体"/>
          <w:bCs w:val="0"/>
          <w:sz w:val="44"/>
          <w:szCs w:val="44"/>
        </w:rPr>
        <w:t>录</w:t>
      </w:r>
    </w:p>
    <w:p>
      <w:pPr>
        <w:pStyle w:val="23"/>
        <w:tabs>
          <w:tab w:val="right" w:leader="dot" w:pos="9355"/>
        </w:tabs>
      </w:pPr>
      <w:r>
        <w:fldChar w:fldCharType="begin"/>
      </w:r>
      <w:r>
        <w:instrText xml:space="preserve">TOC \o "1-3" \h \u </w:instrText>
      </w:r>
      <w:r>
        <w:fldChar w:fldCharType="separate"/>
      </w:r>
      <w:r>
        <w:fldChar w:fldCharType="begin"/>
      </w:r>
      <w:r>
        <w:instrText xml:space="preserve"> HYPERLINK \l _Toc25790 </w:instrText>
      </w:r>
      <w:r>
        <w:fldChar w:fldCharType="separate"/>
      </w:r>
      <w:r>
        <w:rPr>
          <w:rFonts w:hint="eastAsia"/>
          <w:bCs w:val="0"/>
          <w:lang w:val="en-US" w:eastAsia="zh-CN"/>
        </w:rPr>
        <w:t>1编制依据</w:t>
      </w:r>
      <w:r>
        <w:tab/>
      </w:r>
      <w:r>
        <w:fldChar w:fldCharType="begin"/>
      </w:r>
      <w:r>
        <w:instrText xml:space="preserve"> PAGEREF _Toc25790 \h </w:instrText>
      </w:r>
      <w:r>
        <w:fldChar w:fldCharType="separate"/>
      </w:r>
      <w:r>
        <w:t>1</w:t>
      </w:r>
      <w:r>
        <w:fldChar w:fldCharType="end"/>
      </w:r>
      <w:r>
        <w:fldChar w:fldCharType="end"/>
      </w:r>
    </w:p>
    <w:p>
      <w:pPr>
        <w:pStyle w:val="26"/>
        <w:tabs>
          <w:tab w:val="right" w:leader="dot" w:pos="9355"/>
        </w:tabs>
      </w:pPr>
      <w:r>
        <w:fldChar w:fldCharType="begin"/>
      </w:r>
      <w:r>
        <w:instrText xml:space="preserve"> HYPERLINK \l _Toc4863 </w:instrText>
      </w:r>
      <w:r>
        <w:fldChar w:fldCharType="separate"/>
      </w:r>
      <w:r>
        <w:rPr>
          <w:rFonts w:hint="eastAsia"/>
          <w:lang w:val="en-US" w:eastAsia="zh-CN"/>
        </w:rPr>
        <w:t>1</w:t>
      </w:r>
      <w:r>
        <w:rPr>
          <w:rFonts w:hint="eastAsia"/>
        </w:rPr>
        <w:t>.1编制原则</w:t>
      </w:r>
      <w:r>
        <w:tab/>
      </w:r>
      <w:r>
        <w:fldChar w:fldCharType="begin"/>
      </w:r>
      <w:r>
        <w:instrText xml:space="preserve"> PAGEREF _Toc4863 \h </w:instrText>
      </w:r>
      <w:r>
        <w:fldChar w:fldCharType="separate"/>
      </w:r>
      <w:r>
        <w:t>1</w:t>
      </w:r>
      <w:r>
        <w:fldChar w:fldCharType="end"/>
      </w:r>
      <w:r>
        <w:fldChar w:fldCharType="end"/>
      </w:r>
    </w:p>
    <w:p>
      <w:pPr>
        <w:pStyle w:val="26"/>
        <w:tabs>
          <w:tab w:val="right" w:leader="dot" w:pos="9355"/>
        </w:tabs>
      </w:pPr>
      <w:r>
        <w:fldChar w:fldCharType="begin"/>
      </w:r>
      <w:r>
        <w:instrText xml:space="preserve"> HYPERLINK \l _Toc14588 </w:instrText>
      </w:r>
      <w:r>
        <w:fldChar w:fldCharType="separate"/>
      </w:r>
      <w:r>
        <w:rPr>
          <w:rFonts w:hint="eastAsia"/>
          <w:lang w:val="en-US" w:eastAsia="zh-CN"/>
        </w:rPr>
        <w:t>1.2 编制依据</w:t>
      </w:r>
      <w:r>
        <w:tab/>
      </w:r>
      <w:r>
        <w:fldChar w:fldCharType="begin"/>
      </w:r>
      <w:r>
        <w:instrText xml:space="preserve"> PAGEREF _Toc14588 \h </w:instrText>
      </w:r>
      <w:r>
        <w:fldChar w:fldCharType="separate"/>
      </w:r>
      <w:r>
        <w:t>1</w:t>
      </w:r>
      <w:r>
        <w:fldChar w:fldCharType="end"/>
      </w:r>
      <w:r>
        <w:fldChar w:fldCharType="end"/>
      </w:r>
    </w:p>
    <w:p>
      <w:pPr>
        <w:pStyle w:val="26"/>
        <w:tabs>
          <w:tab w:val="right" w:leader="dot" w:pos="9355"/>
        </w:tabs>
      </w:pPr>
      <w:r>
        <w:fldChar w:fldCharType="begin"/>
      </w:r>
      <w:r>
        <w:instrText xml:space="preserve"> HYPERLINK \l _Toc17524 </w:instrText>
      </w:r>
      <w:r>
        <w:fldChar w:fldCharType="separate"/>
      </w:r>
      <w:r>
        <w:rPr>
          <w:rFonts w:hint="eastAsia"/>
          <w:lang w:val="en-US" w:eastAsia="zh-CN"/>
        </w:rPr>
        <w:t>1.3编制范围</w:t>
      </w:r>
      <w:r>
        <w:tab/>
      </w:r>
      <w:r>
        <w:fldChar w:fldCharType="begin"/>
      </w:r>
      <w:r>
        <w:instrText xml:space="preserve"> PAGEREF _Toc17524 \h </w:instrText>
      </w:r>
      <w:r>
        <w:fldChar w:fldCharType="separate"/>
      </w:r>
      <w:r>
        <w:t>1</w:t>
      </w:r>
      <w:r>
        <w:fldChar w:fldCharType="end"/>
      </w:r>
      <w:r>
        <w:fldChar w:fldCharType="end"/>
      </w:r>
    </w:p>
    <w:p>
      <w:pPr>
        <w:pStyle w:val="23"/>
        <w:tabs>
          <w:tab w:val="right" w:leader="dot" w:pos="9355"/>
        </w:tabs>
      </w:pPr>
      <w:r>
        <w:fldChar w:fldCharType="begin"/>
      </w:r>
      <w:r>
        <w:instrText xml:space="preserve"> HYPERLINK \l _Toc15022 </w:instrText>
      </w:r>
      <w:r>
        <w:fldChar w:fldCharType="separate"/>
      </w:r>
      <w:r>
        <w:rPr>
          <w:rFonts w:hint="eastAsia"/>
          <w:bCs w:val="0"/>
          <w:lang w:val="en-US" w:eastAsia="zh-CN"/>
        </w:rPr>
        <w:t>2工程概况</w:t>
      </w:r>
      <w:r>
        <w:tab/>
      </w:r>
      <w:r>
        <w:fldChar w:fldCharType="begin"/>
      </w:r>
      <w:r>
        <w:instrText xml:space="preserve"> PAGEREF _Toc15022 \h </w:instrText>
      </w:r>
      <w:r>
        <w:fldChar w:fldCharType="separate"/>
      </w:r>
      <w:r>
        <w:t>2</w:t>
      </w:r>
      <w:r>
        <w:fldChar w:fldCharType="end"/>
      </w:r>
      <w:r>
        <w:fldChar w:fldCharType="end"/>
      </w:r>
    </w:p>
    <w:p>
      <w:pPr>
        <w:pStyle w:val="26"/>
        <w:tabs>
          <w:tab w:val="right" w:leader="dot" w:pos="9355"/>
        </w:tabs>
      </w:pPr>
      <w:r>
        <w:fldChar w:fldCharType="begin"/>
      </w:r>
      <w:r>
        <w:instrText xml:space="preserve"> HYPERLINK \l _Toc6987 </w:instrText>
      </w:r>
      <w:r>
        <w:fldChar w:fldCharType="separate"/>
      </w:r>
      <w:r>
        <w:rPr>
          <w:rFonts w:hint="eastAsia"/>
          <w:lang w:val="en-US" w:eastAsia="zh-CN"/>
        </w:rPr>
        <w:t>2.1工程概述</w:t>
      </w:r>
      <w:r>
        <w:tab/>
      </w:r>
      <w:r>
        <w:fldChar w:fldCharType="begin"/>
      </w:r>
      <w:r>
        <w:instrText xml:space="preserve"> PAGEREF _Toc6987 \h </w:instrText>
      </w:r>
      <w:r>
        <w:fldChar w:fldCharType="separate"/>
      </w:r>
      <w:r>
        <w:t>2</w:t>
      </w:r>
      <w:r>
        <w:fldChar w:fldCharType="end"/>
      </w:r>
      <w:r>
        <w:fldChar w:fldCharType="end"/>
      </w:r>
    </w:p>
    <w:p>
      <w:pPr>
        <w:pStyle w:val="26"/>
        <w:tabs>
          <w:tab w:val="right" w:leader="dot" w:pos="9355"/>
        </w:tabs>
      </w:pPr>
      <w:r>
        <w:fldChar w:fldCharType="begin"/>
      </w:r>
      <w:r>
        <w:instrText xml:space="preserve"> HYPERLINK \l _Toc18435 </w:instrText>
      </w:r>
      <w:r>
        <w:fldChar w:fldCharType="separate"/>
      </w:r>
      <w:r>
        <w:rPr>
          <w:rFonts w:hint="eastAsia"/>
          <w:lang w:val="en-US" w:eastAsia="zh-CN"/>
        </w:rPr>
        <w:t>2.2 地形地貌</w:t>
      </w:r>
      <w:r>
        <w:tab/>
      </w:r>
      <w:r>
        <w:fldChar w:fldCharType="begin"/>
      </w:r>
      <w:r>
        <w:instrText xml:space="preserve"> PAGEREF _Toc18435 \h </w:instrText>
      </w:r>
      <w:r>
        <w:fldChar w:fldCharType="separate"/>
      </w:r>
      <w:r>
        <w:t>3</w:t>
      </w:r>
      <w:r>
        <w:fldChar w:fldCharType="end"/>
      </w:r>
      <w:r>
        <w:fldChar w:fldCharType="end"/>
      </w:r>
    </w:p>
    <w:p>
      <w:pPr>
        <w:pStyle w:val="26"/>
        <w:tabs>
          <w:tab w:val="right" w:leader="dot" w:pos="9355"/>
        </w:tabs>
      </w:pPr>
      <w:r>
        <w:fldChar w:fldCharType="begin"/>
      </w:r>
      <w:r>
        <w:instrText xml:space="preserve"> HYPERLINK \l _Toc19681 </w:instrText>
      </w:r>
      <w:r>
        <w:fldChar w:fldCharType="separate"/>
      </w:r>
      <w:r>
        <w:rPr>
          <w:rFonts w:hint="eastAsia"/>
          <w:lang w:val="en-US" w:eastAsia="zh-CN"/>
        </w:rPr>
        <w:t>2.3地震动参数</w:t>
      </w:r>
      <w:r>
        <w:tab/>
      </w:r>
      <w:r>
        <w:fldChar w:fldCharType="begin"/>
      </w:r>
      <w:r>
        <w:instrText xml:space="preserve"> PAGEREF _Toc19681 \h </w:instrText>
      </w:r>
      <w:r>
        <w:fldChar w:fldCharType="separate"/>
      </w:r>
      <w:r>
        <w:t>3</w:t>
      </w:r>
      <w:r>
        <w:fldChar w:fldCharType="end"/>
      </w:r>
      <w:r>
        <w:fldChar w:fldCharType="end"/>
      </w:r>
    </w:p>
    <w:p>
      <w:pPr>
        <w:pStyle w:val="26"/>
        <w:tabs>
          <w:tab w:val="right" w:leader="dot" w:pos="9355"/>
        </w:tabs>
      </w:pPr>
      <w:r>
        <w:fldChar w:fldCharType="begin"/>
      </w:r>
      <w:r>
        <w:instrText xml:space="preserve"> HYPERLINK \l _Toc31013 </w:instrText>
      </w:r>
      <w:r>
        <w:fldChar w:fldCharType="separate"/>
      </w:r>
      <w:r>
        <w:rPr>
          <w:rFonts w:hint="eastAsia"/>
          <w:lang w:val="en-US" w:eastAsia="zh-CN"/>
        </w:rPr>
        <w:t>2.4地表水系</w:t>
      </w:r>
      <w:r>
        <w:tab/>
      </w:r>
      <w:r>
        <w:fldChar w:fldCharType="begin"/>
      </w:r>
      <w:r>
        <w:instrText xml:space="preserve"> PAGEREF _Toc31013 \h </w:instrText>
      </w:r>
      <w:r>
        <w:fldChar w:fldCharType="separate"/>
      </w:r>
      <w:r>
        <w:t>4</w:t>
      </w:r>
      <w:r>
        <w:fldChar w:fldCharType="end"/>
      </w:r>
      <w:r>
        <w:fldChar w:fldCharType="end"/>
      </w:r>
    </w:p>
    <w:p>
      <w:pPr>
        <w:pStyle w:val="26"/>
        <w:tabs>
          <w:tab w:val="right" w:leader="dot" w:pos="9355"/>
        </w:tabs>
      </w:pPr>
      <w:r>
        <w:fldChar w:fldCharType="begin"/>
      </w:r>
      <w:r>
        <w:instrText xml:space="preserve"> HYPERLINK \l _Toc28656 </w:instrText>
      </w:r>
      <w:r>
        <w:fldChar w:fldCharType="separate"/>
      </w:r>
      <w:r>
        <w:rPr>
          <w:rFonts w:hint="eastAsia"/>
          <w:lang w:val="en-US" w:eastAsia="zh-CN"/>
        </w:rPr>
        <w:t>2.5地层岩性</w:t>
      </w:r>
      <w:r>
        <w:tab/>
      </w:r>
      <w:r>
        <w:fldChar w:fldCharType="begin"/>
      </w:r>
      <w:r>
        <w:instrText xml:space="preserve"> PAGEREF _Toc28656 \h </w:instrText>
      </w:r>
      <w:r>
        <w:fldChar w:fldCharType="separate"/>
      </w:r>
      <w:r>
        <w:t>5</w:t>
      </w:r>
      <w:r>
        <w:fldChar w:fldCharType="end"/>
      </w:r>
      <w:r>
        <w:fldChar w:fldCharType="end"/>
      </w:r>
    </w:p>
    <w:p>
      <w:pPr>
        <w:pStyle w:val="26"/>
        <w:tabs>
          <w:tab w:val="right" w:leader="dot" w:pos="9355"/>
        </w:tabs>
      </w:pPr>
      <w:r>
        <w:fldChar w:fldCharType="begin"/>
      </w:r>
      <w:r>
        <w:instrText xml:space="preserve"> HYPERLINK \l _Toc21559 </w:instrText>
      </w:r>
      <w:r>
        <w:fldChar w:fldCharType="separate"/>
      </w:r>
      <w:r>
        <w:rPr>
          <w:rFonts w:hint="eastAsia"/>
          <w:lang w:val="en-US" w:eastAsia="zh-CN"/>
        </w:rPr>
        <w:t>2.6不良地质</w:t>
      </w:r>
      <w:r>
        <w:tab/>
      </w:r>
      <w:r>
        <w:fldChar w:fldCharType="begin"/>
      </w:r>
      <w:r>
        <w:instrText xml:space="preserve"> PAGEREF _Toc21559 \h </w:instrText>
      </w:r>
      <w:r>
        <w:fldChar w:fldCharType="separate"/>
      </w:r>
      <w:r>
        <w:t>5</w:t>
      </w:r>
      <w:r>
        <w:fldChar w:fldCharType="end"/>
      </w:r>
      <w:r>
        <w:fldChar w:fldCharType="end"/>
      </w:r>
    </w:p>
    <w:p>
      <w:pPr>
        <w:pStyle w:val="26"/>
        <w:tabs>
          <w:tab w:val="right" w:leader="dot" w:pos="9355"/>
        </w:tabs>
      </w:pPr>
      <w:r>
        <w:fldChar w:fldCharType="begin"/>
      </w:r>
      <w:r>
        <w:instrText xml:space="preserve"> HYPERLINK \l _Toc23323 </w:instrText>
      </w:r>
      <w:r>
        <w:fldChar w:fldCharType="separate"/>
      </w:r>
      <w:r>
        <w:rPr>
          <w:rFonts w:hint="eastAsia"/>
          <w:lang w:val="en-US" w:eastAsia="zh-CN"/>
        </w:rPr>
        <w:t>2.7环境地质</w:t>
      </w:r>
      <w:r>
        <w:tab/>
      </w:r>
      <w:r>
        <w:fldChar w:fldCharType="begin"/>
      </w:r>
      <w:r>
        <w:instrText xml:space="preserve"> PAGEREF _Toc23323 \h </w:instrText>
      </w:r>
      <w:r>
        <w:fldChar w:fldCharType="separate"/>
      </w:r>
      <w:r>
        <w:t>5</w:t>
      </w:r>
      <w:r>
        <w:fldChar w:fldCharType="end"/>
      </w:r>
      <w:r>
        <w:fldChar w:fldCharType="end"/>
      </w:r>
    </w:p>
    <w:p>
      <w:pPr>
        <w:pStyle w:val="23"/>
        <w:tabs>
          <w:tab w:val="right" w:leader="dot" w:pos="9355"/>
        </w:tabs>
      </w:pPr>
      <w:r>
        <w:fldChar w:fldCharType="begin"/>
      </w:r>
      <w:r>
        <w:instrText xml:space="preserve"> HYPERLINK \l _Toc16950 </w:instrText>
      </w:r>
      <w:r>
        <w:fldChar w:fldCharType="separate"/>
      </w:r>
      <w:r>
        <w:rPr>
          <w:rFonts w:hint="eastAsia"/>
          <w:bCs w:val="0"/>
          <w:lang w:val="en-US" w:eastAsia="zh-CN"/>
        </w:rPr>
        <w:t>3 同步注浆</w:t>
      </w:r>
      <w:r>
        <w:tab/>
      </w:r>
      <w:r>
        <w:fldChar w:fldCharType="begin"/>
      </w:r>
      <w:r>
        <w:instrText xml:space="preserve"> PAGEREF _Toc16950 \h </w:instrText>
      </w:r>
      <w:r>
        <w:fldChar w:fldCharType="separate"/>
      </w:r>
      <w:r>
        <w:t>5</w:t>
      </w:r>
      <w:r>
        <w:fldChar w:fldCharType="end"/>
      </w:r>
      <w:r>
        <w:fldChar w:fldCharType="end"/>
      </w:r>
    </w:p>
    <w:p>
      <w:pPr>
        <w:pStyle w:val="26"/>
        <w:tabs>
          <w:tab w:val="right" w:leader="dot" w:pos="9355"/>
        </w:tabs>
      </w:pPr>
      <w:r>
        <w:fldChar w:fldCharType="begin"/>
      </w:r>
      <w:r>
        <w:instrText xml:space="preserve"> HYPERLINK \l _Toc5317 </w:instrText>
      </w:r>
      <w:r>
        <w:fldChar w:fldCharType="separate"/>
      </w:r>
      <w:r>
        <w:rPr>
          <w:rFonts w:hint="eastAsia"/>
          <w:szCs w:val="28"/>
          <w:lang w:val="en-US" w:eastAsia="zh-CN"/>
        </w:rPr>
        <w:t>3.1人员配置</w:t>
      </w:r>
      <w:r>
        <w:tab/>
      </w:r>
      <w:r>
        <w:fldChar w:fldCharType="begin"/>
      </w:r>
      <w:r>
        <w:instrText xml:space="preserve"> PAGEREF _Toc5317 \h </w:instrText>
      </w:r>
      <w:r>
        <w:fldChar w:fldCharType="separate"/>
      </w:r>
      <w:r>
        <w:t>6</w:t>
      </w:r>
      <w:r>
        <w:fldChar w:fldCharType="end"/>
      </w:r>
      <w:r>
        <w:fldChar w:fldCharType="end"/>
      </w:r>
    </w:p>
    <w:p>
      <w:pPr>
        <w:pStyle w:val="26"/>
        <w:tabs>
          <w:tab w:val="right" w:leader="dot" w:pos="9355"/>
        </w:tabs>
      </w:pPr>
      <w:r>
        <w:fldChar w:fldCharType="begin"/>
      </w:r>
      <w:r>
        <w:instrText xml:space="preserve"> HYPERLINK \l _Toc21478 </w:instrText>
      </w:r>
      <w:r>
        <w:fldChar w:fldCharType="separate"/>
      </w:r>
      <w:r>
        <w:rPr>
          <w:rFonts w:hint="eastAsia"/>
          <w:szCs w:val="28"/>
          <w:lang w:val="en-US" w:eastAsia="zh-CN"/>
        </w:rPr>
        <w:t>3.2注浆目的</w:t>
      </w:r>
      <w:r>
        <w:tab/>
      </w:r>
      <w:r>
        <w:fldChar w:fldCharType="begin"/>
      </w:r>
      <w:r>
        <w:instrText xml:space="preserve"> PAGEREF _Toc21478 \h </w:instrText>
      </w:r>
      <w:r>
        <w:fldChar w:fldCharType="separate"/>
      </w:r>
      <w:r>
        <w:t>7</w:t>
      </w:r>
      <w:r>
        <w:fldChar w:fldCharType="end"/>
      </w:r>
      <w:r>
        <w:fldChar w:fldCharType="end"/>
      </w:r>
    </w:p>
    <w:p>
      <w:pPr>
        <w:pStyle w:val="26"/>
        <w:tabs>
          <w:tab w:val="right" w:leader="dot" w:pos="9355"/>
        </w:tabs>
      </w:pPr>
      <w:r>
        <w:fldChar w:fldCharType="begin"/>
      </w:r>
      <w:r>
        <w:instrText xml:space="preserve"> HYPERLINK \l _Toc18121 </w:instrText>
      </w:r>
      <w:r>
        <w:fldChar w:fldCharType="separate"/>
      </w:r>
      <w:r>
        <w:rPr>
          <w:rFonts w:hint="eastAsia"/>
          <w:szCs w:val="28"/>
          <w:lang w:val="en-US" w:eastAsia="zh-CN"/>
        </w:rPr>
        <w:t>3.3同步注浆原理</w:t>
      </w:r>
      <w:r>
        <w:tab/>
      </w:r>
      <w:r>
        <w:fldChar w:fldCharType="begin"/>
      </w:r>
      <w:r>
        <w:instrText xml:space="preserve"> PAGEREF _Toc18121 \h </w:instrText>
      </w:r>
      <w:r>
        <w:fldChar w:fldCharType="separate"/>
      </w:r>
      <w:r>
        <w:t>8</w:t>
      </w:r>
      <w:r>
        <w:fldChar w:fldCharType="end"/>
      </w:r>
      <w:r>
        <w:fldChar w:fldCharType="end"/>
      </w:r>
    </w:p>
    <w:p>
      <w:pPr>
        <w:pStyle w:val="26"/>
        <w:tabs>
          <w:tab w:val="right" w:leader="dot" w:pos="9355"/>
        </w:tabs>
      </w:pPr>
      <w:r>
        <w:fldChar w:fldCharType="begin"/>
      </w:r>
      <w:r>
        <w:instrText xml:space="preserve"> HYPERLINK \l _Toc7993 </w:instrText>
      </w:r>
      <w:r>
        <w:fldChar w:fldCharType="separate"/>
      </w:r>
      <w:r>
        <w:rPr>
          <w:rFonts w:hint="eastAsia"/>
          <w:szCs w:val="28"/>
          <w:lang w:val="en-US" w:eastAsia="zh-CN"/>
        </w:rPr>
        <w:t>3.4注浆质量控制措施：</w:t>
      </w:r>
      <w:r>
        <w:tab/>
      </w:r>
      <w:r>
        <w:fldChar w:fldCharType="begin"/>
      </w:r>
      <w:r>
        <w:instrText xml:space="preserve"> PAGEREF _Toc7993 \h </w:instrText>
      </w:r>
      <w:r>
        <w:fldChar w:fldCharType="separate"/>
      </w:r>
      <w:r>
        <w:t>9</w:t>
      </w:r>
      <w:r>
        <w:fldChar w:fldCharType="end"/>
      </w:r>
      <w:r>
        <w:fldChar w:fldCharType="end"/>
      </w:r>
    </w:p>
    <w:p>
      <w:pPr>
        <w:pStyle w:val="26"/>
        <w:tabs>
          <w:tab w:val="right" w:leader="dot" w:pos="9355"/>
        </w:tabs>
      </w:pPr>
      <w:r>
        <w:fldChar w:fldCharType="begin"/>
      </w:r>
      <w:r>
        <w:instrText xml:space="preserve"> HYPERLINK \l _Toc31951 </w:instrText>
      </w:r>
      <w:r>
        <w:fldChar w:fldCharType="separate"/>
      </w:r>
      <w:r>
        <w:rPr>
          <w:rFonts w:hint="eastAsia"/>
          <w:szCs w:val="28"/>
          <w:lang w:val="en-US" w:eastAsia="zh-CN"/>
        </w:rPr>
        <w:t>3.5同步注浆验收标准：</w:t>
      </w:r>
      <w:r>
        <w:tab/>
      </w:r>
      <w:r>
        <w:fldChar w:fldCharType="begin"/>
      </w:r>
      <w:r>
        <w:instrText xml:space="preserve"> PAGEREF _Toc31951 \h </w:instrText>
      </w:r>
      <w:r>
        <w:fldChar w:fldCharType="separate"/>
      </w:r>
      <w:r>
        <w:t>10</w:t>
      </w:r>
      <w:r>
        <w:fldChar w:fldCharType="end"/>
      </w:r>
      <w:r>
        <w:fldChar w:fldCharType="end"/>
      </w:r>
    </w:p>
    <w:p>
      <w:pPr>
        <w:pStyle w:val="26"/>
        <w:tabs>
          <w:tab w:val="right" w:leader="dot" w:pos="9355"/>
        </w:tabs>
      </w:pPr>
      <w:r>
        <w:fldChar w:fldCharType="begin"/>
      </w:r>
      <w:r>
        <w:instrText xml:space="preserve"> HYPERLINK \l _Toc204 </w:instrText>
      </w:r>
      <w:r>
        <w:fldChar w:fldCharType="separate"/>
      </w:r>
      <w:r>
        <w:rPr>
          <w:rFonts w:hint="eastAsia"/>
          <w:szCs w:val="28"/>
          <w:lang w:val="en-US" w:eastAsia="zh-CN"/>
        </w:rPr>
        <w:t>3.6同步注浆安全保证措施：</w:t>
      </w:r>
      <w:r>
        <w:tab/>
      </w:r>
      <w:r>
        <w:fldChar w:fldCharType="begin"/>
      </w:r>
      <w:r>
        <w:instrText xml:space="preserve"> PAGEREF _Toc204 \h </w:instrText>
      </w:r>
      <w:r>
        <w:fldChar w:fldCharType="separate"/>
      </w:r>
      <w:r>
        <w:t>10</w:t>
      </w:r>
      <w:r>
        <w:fldChar w:fldCharType="end"/>
      </w:r>
      <w:r>
        <w:fldChar w:fldCharType="end"/>
      </w:r>
    </w:p>
    <w:p>
      <w:pPr>
        <w:pStyle w:val="23"/>
        <w:tabs>
          <w:tab w:val="right" w:leader="dot" w:pos="9355"/>
        </w:tabs>
      </w:pPr>
      <w:r>
        <w:fldChar w:fldCharType="begin"/>
      </w:r>
      <w:r>
        <w:instrText xml:space="preserve"> HYPERLINK \l _Toc27207 </w:instrText>
      </w:r>
      <w:r>
        <w:fldChar w:fldCharType="separate"/>
      </w:r>
      <w:r>
        <w:rPr>
          <w:rFonts w:hint="eastAsia"/>
          <w:bCs w:val="0"/>
          <w:lang w:val="en-US" w:eastAsia="zh-CN"/>
        </w:rPr>
        <w:t>4二次注浆</w:t>
      </w:r>
      <w:r>
        <w:tab/>
      </w:r>
      <w:r>
        <w:fldChar w:fldCharType="begin"/>
      </w:r>
      <w:r>
        <w:instrText xml:space="preserve"> PAGEREF _Toc27207 \h </w:instrText>
      </w:r>
      <w:r>
        <w:fldChar w:fldCharType="separate"/>
      </w:r>
      <w:r>
        <w:t>10</w:t>
      </w:r>
      <w:r>
        <w:fldChar w:fldCharType="end"/>
      </w:r>
      <w:r>
        <w:fldChar w:fldCharType="end"/>
      </w:r>
    </w:p>
    <w:p>
      <w:pPr>
        <w:pStyle w:val="26"/>
        <w:tabs>
          <w:tab w:val="right" w:leader="dot" w:pos="9355"/>
        </w:tabs>
      </w:pPr>
      <w:r>
        <w:fldChar w:fldCharType="begin"/>
      </w:r>
      <w:r>
        <w:instrText xml:space="preserve"> HYPERLINK \l _Toc10864 </w:instrText>
      </w:r>
      <w:r>
        <w:fldChar w:fldCharType="separate"/>
      </w:r>
      <w:r>
        <w:rPr>
          <w:rFonts w:hint="eastAsia"/>
          <w:szCs w:val="28"/>
          <w:lang w:val="en-US" w:eastAsia="zh-CN"/>
        </w:rPr>
        <w:t>4.1二次注浆目的</w:t>
      </w:r>
      <w:r>
        <w:tab/>
      </w:r>
      <w:r>
        <w:fldChar w:fldCharType="begin"/>
      </w:r>
      <w:r>
        <w:instrText xml:space="preserve"> PAGEREF _Toc10864 \h </w:instrText>
      </w:r>
      <w:r>
        <w:fldChar w:fldCharType="separate"/>
      </w:r>
      <w:r>
        <w:t>10</w:t>
      </w:r>
      <w:r>
        <w:fldChar w:fldCharType="end"/>
      </w:r>
      <w:r>
        <w:fldChar w:fldCharType="end"/>
      </w:r>
    </w:p>
    <w:p>
      <w:pPr>
        <w:pStyle w:val="26"/>
        <w:tabs>
          <w:tab w:val="right" w:leader="dot" w:pos="9355"/>
        </w:tabs>
      </w:pPr>
      <w:r>
        <w:fldChar w:fldCharType="begin"/>
      </w:r>
      <w:r>
        <w:instrText xml:space="preserve"> HYPERLINK \l _Toc7514 </w:instrText>
      </w:r>
      <w:r>
        <w:fldChar w:fldCharType="separate"/>
      </w:r>
      <w:r>
        <w:rPr>
          <w:rFonts w:hint="eastAsia"/>
          <w:szCs w:val="28"/>
          <w:lang w:val="en-US" w:eastAsia="zh-CN"/>
        </w:rPr>
        <w:t>4.2浆液选择</w:t>
      </w:r>
      <w:r>
        <w:tab/>
      </w:r>
      <w:r>
        <w:fldChar w:fldCharType="begin"/>
      </w:r>
      <w:r>
        <w:instrText xml:space="preserve"> PAGEREF _Toc7514 \h </w:instrText>
      </w:r>
      <w:r>
        <w:fldChar w:fldCharType="separate"/>
      </w:r>
      <w:r>
        <w:t>10</w:t>
      </w:r>
      <w:r>
        <w:fldChar w:fldCharType="end"/>
      </w:r>
      <w:r>
        <w:fldChar w:fldCharType="end"/>
      </w:r>
    </w:p>
    <w:p>
      <w:pPr>
        <w:pStyle w:val="26"/>
        <w:tabs>
          <w:tab w:val="right" w:leader="dot" w:pos="9355"/>
        </w:tabs>
      </w:pPr>
      <w:r>
        <w:fldChar w:fldCharType="begin"/>
      </w:r>
      <w:r>
        <w:instrText xml:space="preserve"> HYPERLINK \l _Toc28378 </w:instrText>
      </w:r>
      <w:r>
        <w:fldChar w:fldCharType="separate"/>
      </w:r>
      <w:r>
        <w:rPr>
          <w:rFonts w:hint="eastAsia"/>
          <w:szCs w:val="28"/>
          <w:lang w:val="en-US" w:eastAsia="zh-CN"/>
        </w:rPr>
        <w:t>4.3施工准备</w:t>
      </w:r>
      <w:r>
        <w:tab/>
      </w:r>
      <w:r>
        <w:fldChar w:fldCharType="begin"/>
      </w:r>
      <w:r>
        <w:instrText xml:space="preserve"> PAGEREF _Toc28378 \h </w:instrText>
      </w:r>
      <w:r>
        <w:fldChar w:fldCharType="separate"/>
      </w:r>
      <w:r>
        <w:t>11</w:t>
      </w:r>
      <w:r>
        <w:fldChar w:fldCharType="end"/>
      </w:r>
      <w:r>
        <w:fldChar w:fldCharType="end"/>
      </w:r>
    </w:p>
    <w:p>
      <w:pPr>
        <w:pStyle w:val="26"/>
        <w:tabs>
          <w:tab w:val="right" w:leader="dot" w:pos="9355"/>
        </w:tabs>
      </w:pPr>
      <w:r>
        <w:fldChar w:fldCharType="begin"/>
      </w:r>
      <w:r>
        <w:instrText xml:space="preserve"> HYPERLINK \l _Toc28243 </w:instrText>
      </w:r>
      <w:r>
        <w:fldChar w:fldCharType="separate"/>
      </w:r>
      <w:r>
        <w:rPr>
          <w:rFonts w:hint="eastAsia"/>
          <w:szCs w:val="28"/>
          <w:lang w:val="en-US" w:eastAsia="zh-CN"/>
        </w:rPr>
        <w:t>4.4二次注浆前置条件</w:t>
      </w:r>
      <w:r>
        <w:tab/>
      </w:r>
      <w:r>
        <w:fldChar w:fldCharType="begin"/>
      </w:r>
      <w:r>
        <w:instrText xml:space="preserve"> PAGEREF _Toc28243 \h </w:instrText>
      </w:r>
      <w:r>
        <w:fldChar w:fldCharType="separate"/>
      </w:r>
      <w:r>
        <w:t>11</w:t>
      </w:r>
      <w:r>
        <w:fldChar w:fldCharType="end"/>
      </w:r>
      <w:r>
        <w:fldChar w:fldCharType="end"/>
      </w:r>
    </w:p>
    <w:p>
      <w:pPr>
        <w:pStyle w:val="23"/>
        <w:tabs>
          <w:tab w:val="right" w:leader="dot" w:pos="9355"/>
        </w:tabs>
      </w:pPr>
      <w:r>
        <w:fldChar w:fldCharType="begin"/>
      </w:r>
      <w:r>
        <w:instrText xml:space="preserve"> HYPERLINK \l _Toc31723 </w:instrText>
      </w:r>
      <w:r>
        <w:fldChar w:fldCharType="separate"/>
      </w:r>
      <w:r>
        <w:rPr>
          <w:rFonts w:hint="eastAsia"/>
          <w:bCs w:val="0"/>
          <w:lang w:val="en-US" w:eastAsia="zh-CN"/>
        </w:rPr>
        <w:t>5施工方案</w:t>
      </w:r>
      <w:r>
        <w:tab/>
      </w:r>
      <w:r>
        <w:fldChar w:fldCharType="begin"/>
      </w:r>
      <w:r>
        <w:instrText xml:space="preserve"> PAGEREF _Toc31723 \h </w:instrText>
      </w:r>
      <w:r>
        <w:fldChar w:fldCharType="separate"/>
      </w:r>
      <w:r>
        <w:t>12</w:t>
      </w:r>
      <w:r>
        <w:fldChar w:fldCharType="end"/>
      </w:r>
      <w:r>
        <w:fldChar w:fldCharType="end"/>
      </w:r>
    </w:p>
    <w:p>
      <w:pPr>
        <w:pStyle w:val="26"/>
        <w:tabs>
          <w:tab w:val="right" w:leader="dot" w:pos="9355"/>
        </w:tabs>
      </w:pPr>
      <w:r>
        <w:fldChar w:fldCharType="begin"/>
      </w:r>
      <w:r>
        <w:instrText xml:space="preserve"> HYPERLINK \l _Toc14152 </w:instrText>
      </w:r>
      <w:r>
        <w:fldChar w:fldCharType="separate"/>
      </w:r>
      <w:r>
        <w:rPr>
          <w:rFonts w:hint="eastAsia"/>
          <w:szCs w:val="28"/>
          <w:lang w:val="en-US" w:eastAsia="zh-CN"/>
        </w:rPr>
        <w:t>5.1施工工序</w:t>
      </w:r>
      <w:r>
        <w:tab/>
      </w:r>
      <w:r>
        <w:fldChar w:fldCharType="begin"/>
      </w:r>
      <w:r>
        <w:instrText xml:space="preserve"> PAGEREF _Toc14152 \h </w:instrText>
      </w:r>
      <w:r>
        <w:fldChar w:fldCharType="separate"/>
      </w:r>
      <w:r>
        <w:t>12</w:t>
      </w:r>
      <w:r>
        <w:fldChar w:fldCharType="end"/>
      </w:r>
      <w:r>
        <w:fldChar w:fldCharType="end"/>
      </w:r>
    </w:p>
    <w:p>
      <w:pPr>
        <w:pStyle w:val="26"/>
        <w:tabs>
          <w:tab w:val="right" w:leader="dot" w:pos="9355"/>
        </w:tabs>
      </w:pPr>
      <w:r>
        <w:fldChar w:fldCharType="begin"/>
      </w:r>
      <w:r>
        <w:instrText xml:space="preserve"> HYPERLINK \l _Toc54 </w:instrText>
      </w:r>
      <w:r>
        <w:fldChar w:fldCharType="separate"/>
      </w:r>
      <w:r>
        <w:rPr>
          <w:rFonts w:hint="eastAsia"/>
          <w:szCs w:val="28"/>
          <w:lang w:val="en-US" w:eastAsia="zh-CN"/>
        </w:rPr>
        <w:t>5.2 注浆压力</w:t>
      </w:r>
      <w:r>
        <w:tab/>
      </w:r>
      <w:r>
        <w:fldChar w:fldCharType="begin"/>
      </w:r>
      <w:r>
        <w:instrText xml:space="preserve"> PAGEREF _Toc54 \h </w:instrText>
      </w:r>
      <w:r>
        <w:fldChar w:fldCharType="separate"/>
      </w:r>
      <w:r>
        <w:t>12</w:t>
      </w:r>
      <w:r>
        <w:fldChar w:fldCharType="end"/>
      </w:r>
      <w:r>
        <w:fldChar w:fldCharType="end"/>
      </w:r>
    </w:p>
    <w:p>
      <w:pPr>
        <w:pStyle w:val="26"/>
        <w:tabs>
          <w:tab w:val="right" w:leader="dot" w:pos="9355"/>
        </w:tabs>
      </w:pPr>
      <w:r>
        <w:fldChar w:fldCharType="begin"/>
      </w:r>
      <w:r>
        <w:instrText xml:space="preserve"> HYPERLINK \l _Toc32266 </w:instrText>
      </w:r>
      <w:r>
        <w:fldChar w:fldCharType="separate"/>
      </w:r>
      <w:r>
        <w:rPr>
          <w:rFonts w:hint="eastAsia"/>
          <w:szCs w:val="28"/>
          <w:lang w:val="en-US" w:eastAsia="zh-CN"/>
        </w:rPr>
        <w:t>5.3浆液配比</w:t>
      </w:r>
      <w:r>
        <w:tab/>
      </w:r>
      <w:r>
        <w:fldChar w:fldCharType="begin"/>
      </w:r>
      <w:r>
        <w:instrText xml:space="preserve"> PAGEREF _Toc32266 \h </w:instrText>
      </w:r>
      <w:r>
        <w:fldChar w:fldCharType="separate"/>
      </w:r>
      <w:r>
        <w:t>12</w:t>
      </w:r>
      <w:r>
        <w:fldChar w:fldCharType="end"/>
      </w:r>
      <w:r>
        <w:fldChar w:fldCharType="end"/>
      </w:r>
    </w:p>
    <w:p>
      <w:pPr>
        <w:pStyle w:val="26"/>
        <w:tabs>
          <w:tab w:val="right" w:leader="dot" w:pos="9355"/>
        </w:tabs>
      </w:pPr>
      <w:r>
        <w:fldChar w:fldCharType="begin"/>
      </w:r>
      <w:r>
        <w:instrText xml:space="preserve"> HYPERLINK \l _Toc23976 </w:instrText>
      </w:r>
      <w:r>
        <w:fldChar w:fldCharType="separate"/>
      </w:r>
      <w:r>
        <w:rPr>
          <w:rFonts w:hint="eastAsia"/>
          <w:szCs w:val="28"/>
          <w:lang w:val="en-US" w:eastAsia="zh-CN"/>
        </w:rPr>
        <w:t>5.4注浆量</w:t>
      </w:r>
      <w:r>
        <w:tab/>
      </w:r>
      <w:r>
        <w:fldChar w:fldCharType="begin"/>
      </w:r>
      <w:r>
        <w:instrText xml:space="preserve"> PAGEREF _Toc23976 \h </w:instrText>
      </w:r>
      <w:r>
        <w:fldChar w:fldCharType="separate"/>
      </w:r>
      <w:r>
        <w:t>13</w:t>
      </w:r>
      <w:r>
        <w:fldChar w:fldCharType="end"/>
      </w:r>
      <w:r>
        <w:fldChar w:fldCharType="end"/>
      </w:r>
    </w:p>
    <w:p>
      <w:pPr>
        <w:pStyle w:val="26"/>
        <w:tabs>
          <w:tab w:val="right" w:leader="dot" w:pos="9355"/>
        </w:tabs>
      </w:pPr>
      <w:r>
        <w:fldChar w:fldCharType="begin"/>
      </w:r>
      <w:r>
        <w:instrText xml:space="preserve"> HYPERLINK \l _Toc19114 </w:instrText>
      </w:r>
      <w:r>
        <w:fldChar w:fldCharType="separate"/>
      </w:r>
      <w:r>
        <w:rPr>
          <w:rFonts w:hint="eastAsia"/>
          <w:szCs w:val="28"/>
          <w:lang w:val="en-US" w:eastAsia="zh-CN"/>
        </w:rPr>
        <w:t>5.5二次注浆验收标准：</w:t>
      </w:r>
      <w:r>
        <w:tab/>
      </w:r>
      <w:r>
        <w:fldChar w:fldCharType="begin"/>
      </w:r>
      <w:r>
        <w:instrText xml:space="preserve"> PAGEREF _Toc19114 \h </w:instrText>
      </w:r>
      <w:r>
        <w:fldChar w:fldCharType="separate"/>
      </w:r>
      <w:r>
        <w:t>13</w:t>
      </w:r>
      <w:r>
        <w:fldChar w:fldCharType="end"/>
      </w:r>
      <w:r>
        <w:fldChar w:fldCharType="end"/>
      </w:r>
    </w:p>
    <w:p>
      <w:pPr>
        <w:pStyle w:val="23"/>
        <w:tabs>
          <w:tab w:val="right" w:leader="dot" w:pos="9355"/>
        </w:tabs>
      </w:pPr>
      <w:r>
        <w:fldChar w:fldCharType="begin"/>
      </w:r>
      <w:r>
        <w:instrText xml:space="preserve"> HYPERLINK \l _Toc23170 </w:instrText>
      </w:r>
      <w:r>
        <w:fldChar w:fldCharType="separate"/>
      </w:r>
      <w:r>
        <w:rPr>
          <w:rFonts w:hint="eastAsia"/>
          <w:bCs w:val="0"/>
          <w:lang w:val="en-US" w:eastAsia="zh-CN"/>
        </w:rPr>
        <w:t>6 施工工艺</w:t>
      </w:r>
      <w:r>
        <w:tab/>
      </w:r>
      <w:r>
        <w:fldChar w:fldCharType="begin"/>
      </w:r>
      <w:r>
        <w:instrText xml:space="preserve"> PAGEREF _Toc23170 \h </w:instrText>
      </w:r>
      <w:r>
        <w:fldChar w:fldCharType="separate"/>
      </w:r>
      <w:r>
        <w:t>14</w:t>
      </w:r>
      <w:r>
        <w:fldChar w:fldCharType="end"/>
      </w:r>
      <w:r>
        <w:fldChar w:fldCharType="end"/>
      </w:r>
    </w:p>
    <w:p>
      <w:pPr>
        <w:pStyle w:val="26"/>
        <w:tabs>
          <w:tab w:val="right" w:leader="dot" w:pos="9355"/>
        </w:tabs>
      </w:pPr>
      <w:r>
        <w:fldChar w:fldCharType="begin"/>
      </w:r>
      <w:r>
        <w:instrText xml:space="preserve"> HYPERLINK \l _Toc30484 </w:instrText>
      </w:r>
      <w:r>
        <w:fldChar w:fldCharType="separate"/>
      </w:r>
      <w:r>
        <w:rPr>
          <w:rFonts w:hint="eastAsia"/>
          <w:szCs w:val="28"/>
          <w:lang w:val="en-US" w:eastAsia="zh-CN"/>
        </w:rPr>
        <w:t>6.1注浆位置</w:t>
      </w:r>
      <w:r>
        <w:tab/>
      </w:r>
      <w:r>
        <w:fldChar w:fldCharType="begin"/>
      </w:r>
      <w:r>
        <w:instrText xml:space="preserve"> PAGEREF _Toc30484 \h </w:instrText>
      </w:r>
      <w:r>
        <w:fldChar w:fldCharType="separate"/>
      </w:r>
      <w:r>
        <w:t>14</w:t>
      </w:r>
      <w:r>
        <w:fldChar w:fldCharType="end"/>
      </w:r>
      <w:r>
        <w:fldChar w:fldCharType="end"/>
      </w:r>
    </w:p>
    <w:p>
      <w:pPr>
        <w:pStyle w:val="26"/>
        <w:tabs>
          <w:tab w:val="right" w:leader="dot" w:pos="9355"/>
        </w:tabs>
      </w:pPr>
      <w:r>
        <w:fldChar w:fldCharType="begin"/>
      </w:r>
      <w:r>
        <w:instrText xml:space="preserve"> HYPERLINK \l _Toc2815 </w:instrText>
      </w:r>
      <w:r>
        <w:fldChar w:fldCharType="separate"/>
      </w:r>
      <w:r>
        <w:rPr>
          <w:rFonts w:hint="eastAsia"/>
          <w:szCs w:val="28"/>
          <w:lang w:val="en-US" w:eastAsia="zh-CN"/>
        </w:rPr>
        <w:t>6.2施工工艺</w:t>
      </w:r>
      <w:r>
        <w:tab/>
      </w:r>
      <w:r>
        <w:fldChar w:fldCharType="begin"/>
      </w:r>
      <w:r>
        <w:instrText xml:space="preserve"> PAGEREF _Toc2815 \h </w:instrText>
      </w:r>
      <w:r>
        <w:fldChar w:fldCharType="separate"/>
      </w:r>
      <w:r>
        <w:t>14</w:t>
      </w:r>
      <w:r>
        <w:fldChar w:fldCharType="end"/>
      </w:r>
      <w:r>
        <w:fldChar w:fldCharType="end"/>
      </w:r>
    </w:p>
    <w:p>
      <w:pPr>
        <w:pStyle w:val="26"/>
        <w:tabs>
          <w:tab w:val="right" w:leader="dot" w:pos="9355"/>
        </w:tabs>
      </w:pPr>
      <w:r>
        <w:fldChar w:fldCharType="begin"/>
      </w:r>
      <w:r>
        <w:instrText xml:space="preserve"> HYPERLINK \l _Toc26765 </w:instrText>
      </w:r>
      <w:r>
        <w:fldChar w:fldCharType="separate"/>
      </w:r>
      <w:r>
        <w:rPr>
          <w:rFonts w:hint="eastAsia"/>
          <w:szCs w:val="28"/>
          <w:lang w:val="en-US" w:eastAsia="zh-CN"/>
        </w:rPr>
        <w:t>6.3注浆孔封堵</w:t>
      </w:r>
      <w:r>
        <w:tab/>
      </w:r>
      <w:r>
        <w:fldChar w:fldCharType="begin"/>
      </w:r>
      <w:r>
        <w:instrText xml:space="preserve"> PAGEREF _Toc26765 \h </w:instrText>
      </w:r>
      <w:r>
        <w:fldChar w:fldCharType="separate"/>
      </w:r>
      <w:r>
        <w:t>15</w:t>
      </w:r>
      <w:r>
        <w:fldChar w:fldCharType="end"/>
      </w:r>
      <w:r>
        <w:fldChar w:fldCharType="end"/>
      </w:r>
    </w:p>
    <w:p>
      <w:pPr>
        <w:pStyle w:val="26"/>
        <w:tabs>
          <w:tab w:val="right" w:leader="dot" w:pos="9355"/>
        </w:tabs>
      </w:pPr>
      <w:r>
        <w:fldChar w:fldCharType="begin"/>
      </w:r>
      <w:r>
        <w:instrText xml:space="preserve"> HYPERLINK \l _Toc16737 </w:instrText>
      </w:r>
      <w:r>
        <w:fldChar w:fldCharType="separate"/>
      </w:r>
      <w:r>
        <w:rPr>
          <w:rFonts w:hint="eastAsia"/>
          <w:szCs w:val="28"/>
          <w:lang w:val="en-US" w:eastAsia="zh-CN"/>
        </w:rPr>
        <w:t>6.4二次注浆安全保证措施：</w:t>
      </w:r>
      <w:r>
        <w:tab/>
      </w:r>
      <w:r>
        <w:fldChar w:fldCharType="begin"/>
      </w:r>
      <w:r>
        <w:instrText xml:space="preserve"> PAGEREF _Toc16737 \h </w:instrText>
      </w:r>
      <w:r>
        <w:fldChar w:fldCharType="separate"/>
      </w:r>
      <w:r>
        <w:t>16</w:t>
      </w:r>
      <w:r>
        <w:fldChar w:fldCharType="end"/>
      </w:r>
      <w:r>
        <w:fldChar w:fldCharType="end"/>
      </w:r>
    </w:p>
    <w:p>
      <w:pPr>
        <w:pStyle w:val="23"/>
        <w:tabs>
          <w:tab w:val="right" w:leader="dot" w:pos="9355"/>
        </w:tabs>
      </w:pPr>
      <w:r>
        <w:fldChar w:fldCharType="begin"/>
      </w:r>
      <w:r>
        <w:instrText xml:space="preserve"> HYPERLINK \l _Toc27163 </w:instrText>
      </w:r>
      <w:r>
        <w:fldChar w:fldCharType="separate"/>
      </w:r>
      <w:r>
        <w:rPr>
          <w:rFonts w:hint="eastAsia"/>
          <w:bCs w:val="0"/>
          <w:lang w:val="en-US" w:eastAsia="zh-CN"/>
        </w:rPr>
        <w:t>7安全、文明施工、应急预案处置措施</w:t>
      </w:r>
      <w:r>
        <w:tab/>
      </w:r>
      <w:r>
        <w:fldChar w:fldCharType="begin"/>
      </w:r>
      <w:r>
        <w:instrText xml:space="preserve"> PAGEREF _Toc27163 \h </w:instrText>
      </w:r>
      <w:r>
        <w:fldChar w:fldCharType="separate"/>
      </w:r>
      <w:r>
        <w:t>16</w:t>
      </w:r>
      <w:r>
        <w:fldChar w:fldCharType="end"/>
      </w:r>
      <w:r>
        <w:fldChar w:fldCharType="end"/>
      </w:r>
    </w:p>
    <w:p>
      <w:pPr>
        <w:pStyle w:val="26"/>
        <w:tabs>
          <w:tab w:val="right" w:leader="dot" w:pos="9355"/>
        </w:tabs>
      </w:pPr>
      <w:r>
        <w:fldChar w:fldCharType="begin"/>
      </w:r>
      <w:r>
        <w:instrText xml:space="preserve"> HYPERLINK \l _Toc32573 </w:instrText>
      </w:r>
      <w:r>
        <w:fldChar w:fldCharType="separate"/>
      </w:r>
      <w:r>
        <w:rPr>
          <w:rFonts w:hint="eastAsia"/>
          <w:szCs w:val="28"/>
          <w:lang w:val="en-US" w:eastAsia="zh-CN"/>
        </w:rPr>
        <w:t>7.1安全保证措施</w:t>
      </w:r>
      <w:r>
        <w:tab/>
      </w:r>
      <w:r>
        <w:fldChar w:fldCharType="begin"/>
      </w:r>
      <w:r>
        <w:instrText xml:space="preserve"> PAGEREF _Toc32573 \h </w:instrText>
      </w:r>
      <w:r>
        <w:fldChar w:fldCharType="separate"/>
      </w:r>
      <w:r>
        <w:t>16</w:t>
      </w:r>
      <w:r>
        <w:fldChar w:fldCharType="end"/>
      </w:r>
      <w:r>
        <w:fldChar w:fldCharType="end"/>
      </w:r>
    </w:p>
    <w:p>
      <w:pPr>
        <w:pStyle w:val="26"/>
        <w:tabs>
          <w:tab w:val="right" w:leader="dot" w:pos="9355"/>
        </w:tabs>
      </w:pPr>
      <w:r>
        <w:fldChar w:fldCharType="begin"/>
      </w:r>
      <w:r>
        <w:instrText xml:space="preserve"> HYPERLINK \l _Toc22294 </w:instrText>
      </w:r>
      <w:r>
        <w:fldChar w:fldCharType="separate"/>
      </w:r>
      <w:r>
        <w:rPr>
          <w:rFonts w:hint="eastAsia"/>
          <w:szCs w:val="28"/>
          <w:lang w:val="en-US" w:eastAsia="zh-CN"/>
        </w:rPr>
        <w:t>7.2文明施工</w:t>
      </w:r>
      <w:r>
        <w:tab/>
      </w:r>
      <w:r>
        <w:fldChar w:fldCharType="begin"/>
      </w:r>
      <w:r>
        <w:instrText xml:space="preserve"> PAGEREF _Toc22294 \h </w:instrText>
      </w:r>
      <w:r>
        <w:fldChar w:fldCharType="separate"/>
      </w:r>
      <w:r>
        <w:t>17</w:t>
      </w:r>
      <w:r>
        <w:fldChar w:fldCharType="end"/>
      </w:r>
      <w:r>
        <w:fldChar w:fldCharType="end"/>
      </w:r>
    </w:p>
    <w:p>
      <w:pPr>
        <w:pStyle w:val="26"/>
        <w:tabs>
          <w:tab w:val="right" w:leader="dot" w:pos="9355"/>
        </w:tabs>
      </w:pPr>
      <w:r>
        <w:fldChar w:fldCharType="begin"/>
      </w:r>
      <w:r>
        <w:instrText xml:space="preserve"> HYPERLINK \l _Toc31287 </w:instrText>
      </w:r>
      <w:r>
        <w:fldChar w:fldCharType="separate"/>
      </w:r>
      <w:r>
        <w:rPr>
          <w:rFonts w:hint="eastAsia"/>
          <w:szCs w:val="28"/>
          <w:lang w:val="en-US" w:eastAsia="zh-CN"/>
        </w:rPr>
        <w:t>7.3应急预案</w:t>
      </w:r>
      <w:r>
        <w:tab/>
      </w:r>
      <w:r>
        <w:fldChar w:fldCharType="begin"/>
      </w:r>
      <w:r>
        <w:instrText xml:space="preserve"> PAGEREF _Toc31287 \h </w:instrText>
      </w:r>
      <w:r>
        <w:fldChar w:fldCharType="separate"/>
      </w:r>
      <w:r>
        <w:t>18</w:t>
      </w:r>
      <w:r>
        <w:fldChar w:fldCharType="end"/>
      </w:r>
      <w:r>
        <w:fldChar w:fldCharType="end"/>
      </w:r>
    </w:p>
    <w:p>
      <w:bookmarkStart w:id="238" w:name="_GoBack"/>
      <w:bookmarkEnd w:id="238"/>
      <w:r>
        <w:fldChar w:fldCharType="end"/>
      </w:r>
    </w:p>
    <w:p>
      <w:pPr>
        <w:pStyle w:val="58"/>
        <w:tabs>
          <w:tab w:val="center" w:pos="4677"/>
          <w:tab w:val="left" w:pos="7999"/>
        </w:tabs>
        <w:adjustRightInd w:val="0"/>
        <w:snapToGrid w:val="0"/>
        <w:spacing w:before="0" w:line="360" w:lineRule="auto"/>
        <w:ind w:left="280" w:right="280"/>
        <w:jc w:val="left"/>
        <w:rPr>
          <w:rFonts w:hint="eastAsia"/>
          <w:bCs/>
          <w:lang w:val="en-US" w:eastAsia="zh-CN"/>
        </w:rPr>
      </w:pPr>
      <w:r>
        <w:rPr>
          <w:rFonts w:ascii="方正仿宋_GBK" w:eastAsia="方正仿宋_GBK"/>
          <w:color w:val="auto"/>
          <w:szCs w:val="24"/>
        </w:rPr>
        <mc:AlternateContent>
          <mc:Choice Requires="wps">
            <w:drawing>
              <wp:anchor distT="0" distB="0" distL="114300" distR="114300" simplePos="0" relativeHeight="251659264" behindDoc="0" locked="0" layoutInCell="1" allowOverlap="1">
                <wp:simplePos x="0" y="0"/>
                <wp:positionH relativeFrom="column">
                  <wp:posOffset>2549525</wp:posOffset>
                </wp:positionH>
                <wp:positionV relativeFrom="paragraph">
                  <wp:posOffset>8898890</wp:posOffset>
                </wp:positionV>
                <wp:extent cx="647700" cy="180975"/>
                <wp:effectExtent l="11430" t="7620" r="7620" b="11430"/>
                <wp:wrapNone/>
                <wp:docPr id="10" name="矩形 2"/>
                <wp:cNvGraphicFramePr/>
                <a:graphic xmlns:a="http://schemas.openxmlformats.org/drawingml/2006/main">
                  <a:graphicData uri="http://schemas.microsoft.com/office/word/2010/wordprocessingShape">
                    <wps:wsp>
                      <wps:cNvSpPr>
                        <a:spLocks noChangeArrowheads="1"/>
                      </wps:cNvSpPr>
                      <wps:spPr bwMode="auto">
                        <a:xfrm>
                          <a:off x="0" y="0"/>
                          <a:ext cx="647700" cy="180975"/>
                        </a:xfrm>
                        <a:prstGeom prst="rect">
                          <a:avLst/>
                        </a:prstGeom>
                        <a:solidFill>
                          <a:srgbClr val="FFFFFF"/>
                        </a:solidFill>
                        <a:ln w="9525" cmpd="sng">
                          <a:solidFill>
                            <a:srgbClr val="FFFFFF"/>
                          </a:solidFill>
                          <a:miter lim="800000"/>
                        </a:ln>
                      </wps:spPr>
                      <wps:bodyPr rot="0" vert="horz" wrap="square" lIns="91440" tIns="45720" rIns="91440" bIns="45720" anchor="t" anchorCtr="0" upright="1">
                        <a:noAutofit/>
                      </wps:bodyPr>
                    </wps:wsp>
                  </a:graphicData>
                </a:graphic>
              </wp:anchor>
            </w:drawing>
          </mc:Choice>
          <mc:Fallback>
            <w:pict>
              <v:rect id="矩形 2" o:spid="_x0000_s1026" o:spt="1" style="position:absolute;left:0pt;margin-left:200.75pt;margin-top:700.7pt;height:14.25pt;width:51pt;z-index:251659264;mso-width-relative:page;mso-height-relative:page;" fillcolor="#FFFFFF" filled="t" stroked="t" coordsize="21600,21600" o:gfxdata="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wkoqNgAAAANAQAADwAAAAAAAAABACAAAAAiAAAAZHJzL2Rvd25y&#10;ZXYueG1sUEsBAhQAFAAAAAgAh07iQMToT143AgAAegQAAA4AAAAAAAAAAQAgAAAAJwEAAGRycy9l&#10;Mm9Eb2MueG1sUEsFBgAAAAAGAAYAWQEAANAFAAAAAA==&#10;">
                <v:fill on="t" focussize="0,0"/>
                <v:stroke color="#FFFFFF" miterlimit="8" joinstyle="miter"/>
                <v:imagedata o:title=""/>
                <o:lock v:ext="edit" aspectratio="f"/>
              </v:rect>
            </w:pict>
          </mc:Fallback>
        </mc:AlternateContent>
      </w:r>
      <w:r>
        <w:rPr>
          <w:rFonts w:hint="eastAsia"/>
          <w:bCs/>
          <w:lang w:val="en-US" w:eastAsia="zh-CN"/>
        </w:rPr>
        <w:tab/>
      </w:r>
      <w:r>
        <w:rPr>
          <w:rFonts w:hint="eastAsia"/>
          <w:bCs/>
          <w:lang w:val="en-US" w:eastAsia="zh-CN"/>
        </w:rPr>
        <w:tab/>
      </w:r>
    </w:p>
    <w:p>
      <w:pPr>
        <w:bidi w:val="0"/>
        <w:rPr>
          <w:lang w:val="zh-CN"/>
        </w:rPr>
      </w:pPr>
    </w:p>
    <w:p>
      <w:pPr>
        <w:tabs>
          <w:tab w:val="left" w:pos="7933"/>
        </w:tabs>
        <w:bidi w:val="0"/>
        <w:jc w:val="left"/>
        <w:rPr>
          <w:lang w:val="zh-CN"/>
        </w:rPr>
        <w:sectPr>
          <w:headerReference r:id="rId9" w:type="default"/>
          <w:pgSz w:w="11907" w:h="16840"/>
          <w:pgMar w:top="1418" w:right="1134" w:bottom="1418" w:left="1418" w:header="454" w:footer="992" w:gutter="0"/>
          <w:pgBorders>
            <w:top w:val="none" w:sz="0" w:space="0"/>
            <w:left w:val="none" w:sz="0" w:space="0"/>
            <w:bottom w:val="none" w:sz="0" w:space="0"/>
            <w:right w:val="none" w:sz="0" w:space="0"/>
          </w:pgBorders>
          <w:cols w:space="720" w:num="1"/>
          <w:docGrid w:type="linesAndChars" w:linePitch="381" w:charSpace="0"/>
        </w:sectPr>
      </w:pPr>
      <w:r>
        <w:rPr>
          <w:rFonts w:hint="eastAsia"/>
          <w:lang w:val="zh-CN"/>
        </w:rPr>
        <w:tab/>
      </w:r>
    </w:p>
    <w:bookmarkEnd w:id="0"/>
    <w:bookmarkEnd w:id="1"/>
    <w:p>
      <w:pPr>
        <w:pStyle w:val="82"/>
        <w:bidi w:val="0"/>
        <w:spacing w:line="360" w:lineRule="auto"/>
        <w:jc w:val="both"/>
        <w:rPr>
          <w:rFonts w:hint="eastAsia"/>
          <w:b/>
          <w:bCs w:val="0"/>
          <w:lang w:val="en-US" w:eastAsia="zh-CN"/>
        </w:rPr>
      </w:pPr>
      <w:bookmarkStart w:id="2" w:name="_Toc10838"/>
      <w:bookmarkStart w:id="3" w:name="_Toc29458"/>
      <w:bookmarkStart w:id="4" w:name="_Toc8833"/>
      <w:bookmarkStart w:id="5" w:name="_Toc25790"/>
      <w:r>
        <w:rPr>
          <w:rFonts w:hint="eastAsia"/>
          <w:b/>
          <w:bCs w:val="0"/>
          <w:lang w:val="en-US" w:eastAsia="zh-CN"/>
        </w:rPr>
        <w:t>1编制依据</w:t>
      </w:r>
      <w:bookmarkEnd w:id="2"/>
      <w:bookmarkEnd w:id="3"/>
      <w:bookmarkEnd w:id="4"/>
      <w:bookmarkEnd w:id="5"/>
    </w:p>
    <w:p>
      <w:pPr>
        <w:pStyle w:val="5"/>
        <w:bidi w:val="0"/>
        <w:spacing w:line="360" w:lineRule="auto"/>
        <w:rPr>
          <w:rFonts w:hint="eastAsia"/>
        </w:rPr>
      </w:pPr>
      <w:bookmarkStart w:id="6" w:name="_Toc439166229"/>
      <w:bookmarkStart w:id="7" w:name="_Toc16490605"/>
      <w:bookmarkStart w:id="8" w:name="_Toc410861474"/>
      <w:bookmarkStart w:id="9" w:name="_Toc493539778"/>
      <w:bookmarkStart w:id="10" w:name="_Toc494235120"/>
      <w:bookmarkStart w:id="11" w:name="_Toc21729"/>
      <w:bookmarkStart w:id="12" w:name="_Toc439165549"/>
      <w:bookmarkStart w:id="13" w:name="_Toc180638466"/>
      <w:bookmarkStart w:id="14" w:name="_Toc133248761"/>
      <w:bookmarkStart w:id="15" w:name="_Toc494234958"/>
      <w:bookmarkStart w:id="16" w:name="_Toc489305513"/>
      <w:bookmarkStart w:id="17" w:name="_Toc23290"/>
      <w:bookmarkStart w:id="18" w:name="_Toc493585883"/>
      <w:bookmarkStart w:id="19" w:name="_Toc439165857"/>
      <w:bookmarkStart w:id="20" w:name="_Toc10648"/>
      <w:bookmarkStart w:id="21" w:name="_Toc439166651"/>
      <w:bookmarkStart w:id="22" w:name="_Toc13627"/>
      <w:bookmarkStart w:id="23" w:name="_Toc494234640"/>
      <w:bookmarkStart w:id="24" w:name="_Toc4863"/>
      <w:bookmarkStart w:id="25" w:name="_Toc493585669"/>
      <w:r>
        <w:rPr>
          <w:rFonts w:hint="eastAsia"/>
          <w:lang w:val="en-US" w:eastAsia="zh-CN"/>
        </w:rPr>
        <w:t>1</w:t>
      </w:r>
      <w:r>
        <w:rPr>
          <w:rFonts w:hint="eastAsia"/>
        </w:rPr>
        <w:t>.1编制原则</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pPr>
        <w:pStyle w:val="84"/>
        <w:bidi w:val="0"/>
        <w:spacing w:line="360" w:lineRule="auto"/>
        <w:rPr>
          <w:rFonts w:hint="eastAsia"/>
        </w:rPr>
      </w:pPr>
      <w:bookmarkStart w:id="26" w:name="_Toc28844"/>
      <w:r>
        <w:rPr>
          <w:rFonts w:hint="eastAsia"/>
        </w:rPr>
        <w:t>⑴根据本工程地质、水文地质、周边环境的特点及设计图纸，结合</w:t>
      </w:r>
      <w:r>
        <w:rPr>
          <w:rFonts w:hint="eastAsia"/>
          <w:lang w:eastAsia="zh-CN"/>
        </w:rPr>
        <w:t>盾构</w:t>
      </w:r>
      <w:r>
        <w:rPr>
          <w:rFonts w:hint="eastAsia"/>
        </w:rPr>
        <w:t>工程的施工特点，制定安全、合理、经济、可行的施工方案。</w:t>
      </w:r>
    </w:p>
    <w:p>
      <w:pPr>
        <w:pStyle w:val="84"/>
        <w:bidi w:val="0"/>
        <w:spacing w:line="360" w:lineRule="auto"/>
        <w:rPr>
          <w:rFonts w:hint="eastAsia"/>
        </w:rPr>
      </w:pPr>
      <w:r>
        <w:rPr>
          <w:rFonts w:hint="eastAsia"/>
        </w:rPr>
        <w:t>⑵优化施工组织，合理配置资源，采取操作性强的技术措施，确保节点工期的实现，努力提前总工期。</w:t>
      </w:r>
    </w:p>
    <w:p>
      <w:pPr>
        <w:pStyle w:val="84"/>
        <w:bidi w:val="0"/>
        <w:spacing w:line="360" w:lineRule="auto"/>
        <w:rPr>
          <w:rFonts w:hint="eastAsia"/>
        </w:rPr>
      </w:pPr>
      <w:r>
        <w:rPr>
          <w:rFonts w:hint="eastAsia"/>
        </w:rPr>
        <w:t>⑶确立对质量终身负责的观念，完善质保体系，严格过程控制，精益求精，确保工程优质。</w:t>
      </w:r>
    </w:p>
    <w:p>
      <w:pPr>
        <w:pStyle w:val="84"/>
        <w:bidi w:val="0"/>
        <w:spacing w:line="360" w:lineRule="auto"/>
        <w:rPr>
          <w:rFonts w:hint="eastAsia"/>
        </w:rPr>
      </w:pPr>
      <w:r>
        <w:rPr>
          <w:rFonts w:hint="eastAsia"/>
        </w:rPr>
        <w:t>⑷在做好各项技术工作的基础上，及时总结提高，加大科研投入、推广新技术。</w:t>
      </w:r>
    </w:p>
    <w:p>
      <w:pPr>
        <w:pStyle w:val="84"/>
        <w:bidi w:val="0"/>
        <w:spacing w:line="360" w:lineRule="auto"/>
        <w:rPr>
          <w:rFonts w:hint="eastAsia"/>
        </w:rPr>
      </w:pPr>
      <w:r>
        <w:rPr>
          <w:rFonts w:hint="eastAsia"/>
        </w:rPr>
        <w:t>⑸坚持优化技术方案和推广应用“四新”成果，加强科技创新和技术攻关，应用新技术、新材料、新工艺、新设备，确保施工质量。</w:t>
      </w:r>
    </w:p>
    <w:p>
      <w:pPr>
        <w:pStyle w:val="84"/>
        <w:bidi w:val="0"/>
        <w:spacing w:line="360" w:lineRule="auto"/>
        <w:rPr>
          <w:rFonts w:hint="eastAsia"/>
          <w:lang w:val="en-US" w:eastAsia="zh-CN"/>
        </w:rPr>
      </w:pPr>
      <w:r>
        <w:rPr>
          <w:rFonts w:hint="eastAsia"/>
        </w:rPr>
        <w:t>⑹在施工中遵循“以人为本”的原则，贯彻文明施工，争创文明工地，千方百计减少扰民，尽力创造良好的施工、生活环境，保证职工安全健康。</w:t>
      </w:r>
    </w:p>
    <w:p>
      <w:pPr>
        <w:pStyle w:val="5"/>
        <w:bidi w:val="0"/>
        <w:spacing w:line="360" w:lineRule="auto"/>
        <w:rPr>
          <w:rFonts w:hint="eastAsia"/>
          <w:lang w:val="en-US" w:eastAsia="zh-CN"/>
        </w:rPr>
      </w:pPr>
      <w:bookmarkStart w:id="27" w:name="_Toc14588"/>
      <w:bookmarkStart w:id="28" w:name="_Toc26627"/>
      <w:bookmarkStart w:id="29" w:name="_Toc6400"/>
      <w:bookmarkStart w:id="30" w:name="_Toc17428"/>
      <w:r>
        <w:rPr>
          <w:rFonts w:hint="eastAsia"/>
          <w:lang w:val="en-US" w:eastAsia="zh-CN"/>
        </w:rPr>
        <w:t>1.2 编制依据</w:t>
      </w:r>
      <w:bookmarkEnd w:id="26"/>
      <w:bookmarkEnd w:id="27"/>
      <w:bookmarkEnd w:id="28"/>
      <w:bookmarkEnd w:id="29"/>
      <w:bookmarkEnd w:id="30"/>
    </w:p>
    <w:p>
      <w:pPr>
        <w:widowControl/>
        <w:spacing w:line="360" w:lineRule="auto"/>
        <w:ind w:left="0" w:leftChars="0" w:firstLine="0" w:firstLineChars="0"/>
        <w:jc w:val="both"/>
        <w:rPr>
          <w:rFonts w:hint="eastAsia"/>
          <w:kern w:val="2"/>
          <w:szCs w:val="24"/>
          <w:lang w:eastAsia="zh-CN" w:bidi="en-US"/>
        </w:rPr>
      </w:pPr>
      <w:bookmarkStart w:id="31" w:name="_Toc96786424"/>
      <w:r>
        <w:rPr>
          <w:rFonts w:hint="eastAsia"/>
          <w:kern w:val="2"/>
          <w:szCs w:val="24"/>
          <w:lang w:eastAsia="zh-CN" w:bidi="en-US"/>
        </w:rPr>
        <w:t>（1）新建重庆至黔江铁路招投标文件、合同、设计图纸；</w:t>
      </w:r>
    </w:p>
    <w:p>
      <w:pPr>
        <w:widowControl/>
        <w:spacing w:line="360" w:lineRule="auto"/>
        <w:ind w:left="0" w:leftChars="0" w:firstLine="0" w:firstLineChars="0"/>
        <w:jc w:val="both"/>
        <w:rPr>
          <w:rFonts w:hint="eastAsia"/>
          <w:kern w:val="2"/>
          <w:szCs w:val="24"/>
          <w:lang w:eastAsia="zh-CN" w:bidi="en-US"/>
        </w:rPr>
      </w:pPr>
      <w:r>
        <w:rPr>
          <w:rFonts w:hint="eastAsia"/>
          <w:kern w:val="2"/>
          <w:szCs w:val="24"/>
          <w:lang w:eastAsia="zh-CN" w:bidi="en-US"/>
        </w:rPr>
        <w:t>（</w:t>
      </w:r>
      <w:r>
        <w:rPr>
          <w:rFonts w:hint="eastAsia"/>
          <w:kern w:val="2"/>
          <w:szCs w:val="24"/>
          <w:lang w:val="en-US" w:eastAsia="zh-CN" w:bidi="en-US"/>
        </w:rPr>
        <w:t>2</w:t>
      </w:r>
      <w:r>
        <w:rPr>
          <w:rFonts w:hint="eastAsia"/>
          <w:kern w:val="2"/>
          <w:szCs w:val="24"/>
          <w:lang w:eastAsia="zh-CN" w:bidi="en-US"/>
        </w:rPr>
        <w:t>）《</w:t>
      </w:r>
      <w:r>
        <w:rPr>
          <w:rFonts w:hint="eastAsia"/>
          <w:kern w:val="2"/>
          <w:szCs w:val="24"/>
          <w:lang w:val="en-US" w:eastAsia="zh-CN" w:bidi="en-US"/>
        </w:rPr>
        <w:t>高速铁路隧道工程施工技术规程</w:t>
      </w:r>
      <w:r>
        <w:rPr>
          <w:rFonts w:hint="eastAsia"/>
          <w:kern w:val="2"/>
          <w:szCs w:val="24"/>
          <w:lang w:eastAsia="zh-CN" w:bidi="en-US"/>
        </w:rPr>
        <w:t>》（</w:t>
      </w:r>
      <w:r>
        <w:rPr>
          <w:rFonts w:hint="eastAsia"/>
          <w:kern w:val="2"/>
          <w:szCs w:val="24"/>
          <w:lang w:val="en-US" w:eastAsia="zh-CN" w:bidi="en-US"/>
        </w:rPr>
        <w:t>Q/CR9604-2015</w:t>
      </w:r>
      <w:r>
        <w:rPr>
          <w:rFonts w:hint="eastAsia"/>
          <w:kern w:val="2"/>
          <w:szCs w:val="24"/>
          <w:lang w:eastAsia="zh-CN" w:bidi="en-US"/>
        </w:rPr>
        <w:t>）</w:t>
      </w:r>
    </w:p>
    <w:p>
      <w:pPr>
        <w:widowControl/>
        <w:spacing w:line="360" w:lineRule="auto"/>
        <w:ind w:left="0" w:leftChars="0" w:firstLine="0" w:firstLineChars="0"/>
        <w:jc w:val="both"/>
        <w:rPr>
          <w:rFonts w:hint="eastAsia"/>
          <w:kern w:val="2"/>
          <w:szCs w:val="24"/>
          <w:lang w:eastAsia="zh-CN" w:bidi="en-US"/>
        </w:rPr>
      </w:pPr>
      <w:r>
        <w:rPr>
          <w:rFonts w:hint="eastAsia"/>
          <w:kern w:val="2"/>
          <w:szCs w:val="24"/>
          <w:lang w:eastAsia="zh-CN" w:bidi="en-US"/>
        </w:rPr>
        <w:t>（</w:t>
      </w:r>
      <w:r>
        <w:rPr>
          <w:rFonts w:hint="eastAsia"/>
          <w:kern w:val="2"/>
          <w:szCs w:val="24"/>
          <w:lang w:val="en-US" w:eastAsia="zh-CN" w:bidi="en-US"/>
        </w:rPr>
        <w:t>3</w:t>
      </w:r>
      <w:r>
        <w:rPr>
          <w:rFonts w:hint="eastAsia"/>
          <w:kern w:val="2"/>
          <w:szCs w:val="24"/>
          <w:lang w:eastAsia="zh-CN" w:bidi="en-US"/>
        </w:rPr>
        <w:t>）《</w:t>
      </w:r>
      <w:r>
        <w:rPr>
          <w:rFonts w:hint="eastAsia"/>
          <w:kern w:val="2"/>
          <w:szCs w:val="24"/>
          <w:lang w:val="en-US" w:eastAsia="zh-CN" w:bidi="en-US"/>
        </w:rPr>
        <w:t>盾构法隧道施工及验收规范</w:t>
      </w:r>
      <w:r>
        <w:rPr>
          <w:rFonts w:hint="eastAsia"/>
          <w:kern w:val="2"/>
          <w:szCs w:val="24"/>
          <w:lang w:eastAsia="zh-CN" w:bidi="en-US"/>
        </w:rPr>
        <w:t>》（</w:t>
      </w:r>
      <w:r>
        <w:rPr>
          <w:rFonts w:hint="eastAsia"/>
          <w:kern w:val="2"/>
          <w:szCs w:val="24"/>
          <w:lang w:val="en-US" w:eastAsia="zh-CN" w:bidi="en-US"/>
        </w:rPr>
        <w:t>GB 5044-2017</w:t>
      </w:r>
      <w:r>
        <w:rPr>
          <w:rFonts w:hint="eastAsia"/>
          <w:kern w:val="2"/>
          <w:szCs w:val="24"/>
          <w:lang w:eastAsia="zh-CN" w:bidi="en-US"/>
        </w:rPr>
        <w:t>)；</w:t>
      </w:r>
    </w:p>
    <w:p>
      <w:pPr>
        <w:widowControl/>
        <w:spacing w:line="360" w:lineRule="auto"/>
        <w:ind w:left="0" w:leftChars="0" w:firstLine="0" w:firstLineChars="0"/>
        <w:jc w:val="both"/>
        <w:rPr>
          <w:rFonts w:hint="eastAsia"/>
          <w:kern w:val="2"/>
          <w:szCs w:val="24"/>
          <w:lang w:eastAsia="zh-CN" w:bidi="en-US"/>
        </w:rPr>
      </w:pPr>
      <w:r>
        <w:rPr>
          <w:rFonts w:hint="eastAsia"/>
          <w:kern w:val="2"/>
          <w:szCs w:val="24"/>
          <w:lang w:eastAsia="zh-CN" w:bidi="en-US"/>
        </w:rPr>
        <w:t>（</w:t>
      </w:r>
      <w:r>
        <w:rPr>
          <w:rFonts w:hint="eastAsia"/>
          <w:kern w:val="2"/>
          <w:szCs w:val="24"/>
          <w:lang w:val="en-US" w:eastAsia="zh-CN" w:bidi="en-US"/>
        </w:rPr>
        <w:t>4</w:t>
      </w:r>
      <w:r>
        <w:rPr>
          <w:rFonts w:hint="eastAsia"/>
          <w:kern w:val="2"/>
          <w:szCs w:val="24"/>
          <w:lang w:eastAsia="zh-CN" w:bidi="en-US"/>
        </w:rPr>
        <w:t>）《铁路隧道工程施工安全技术规程》（TB 10304-2020）；</w:t>
      </w:r>
    </w:p>
    <w:p>
      <w:pPr>
        <w:widowControl/>
        <w:spacing w:line="360" w:lineRule="auto"/>
        <w:ind w:left="0" w:leftChars="0" w:firstLine="0" w:firstLineChars="0"/>
        <w:jc w:val="both"/>
        <w:rPr>
          <w:rFonts w:hint="eastAsia"/>
          <w:kern w:val="2"/>
          <w:szCs w:val="24"/>
          <w:lang w:eastAsia="zh-CN" w:bidi="en-US"/>
        </w:rPr>
      </w:pPr>
      <w:r>
        <w:rPr>
          <w:rFonts w:hint="eastAsia"/>
          <w:kern w:val="2"/>
          <w:szCs w:val="24"/>
          <w:lang w:eastAsia="zh-CN" w:bidi="en-US"/>
        </w:rPr>
        <w:t>（</w:t>
      </w:r>
      <w:r>
        <w:rPr>
          <w:rFonts w:hint="eastAsia"/>
          <w:kern w:val="2"/>
          <w:szCs w:val="24"/>
          <w:lang w:val="en-US" w:eastAsia="zh-CN" w:bidi="en-US"/>
        </w:rPr>
        <w:t>5</w:t>
      </w:r>
      <w:r>
        <w:rPr>
          <w:rFonts w:hint="eastAsia"/>
          <w:kern w:val="2"/>
          <w:szCs w:val="24"/>
          <w:lang w:eastAsia="zh-CN" w:bidi="en-US"/>
        </w:rPr>
        <w:t>）《</w:t>
      </w:r>
      <w:r>
        <w:rPr>
          <w:rFonts w:hint="eastAsia"/>
          <w:kern w:val="2"/>
          <w:szCs w:val="24"/>
          <w:lang w:val="en-US" w:eastAsia="zh-CN" w:bidi="en-US"/>
        </w:rPr>
        <w:t>铁路工程基本作业施工安全技术规程</w:t>
      </w:r>
      <w:r>
        <w:rPr>
          <w:rFonts w:hint="eastAsia"/>
          <w:kern w:val="2"/>
          <w:szCs w:val="24"/>
          <w:lang w:eastAsia="zh-CN" w:bidi="en-US"/>
        </w:rPr>
        <w:t>》（</w:t>
      </w:r>
      <w:r>
        <w:rPr>
          <w:rFonts w:hint="eastAsia"/>
          <w:kern w:val="2"/>
          <w:szCs w:val="24"/>
          <w:lang w:val="en-US" w:eastAsia="zh-CN" w:bidi="en-US"/>
        </w:rPr>
        <w:t>TB 10301-2020</w:t>
      </w:r>
      <w:r>
        <w:rPr>
          <w:rFonts w:hint="eastAsia"/>
          <w:kern w:val="2"/>
          <w:szCs w:val="24"/>
          <w:lang w:eastAsia="zh-CN" w:bidi="en-US"/>
        </w:rPr>
        <w:t>）；</w:t>
      </w:r>
    </w:p>
    <w:p>
      <w:pPr>
        <w:widowControl/>
        <w:spacing w:line="360" w:lineRule="auto"/>
        <w:ind w:left="0" w:leftChars="0" w:firstLine="0" w:firstLineChars="0"/>
        <w:jc w:val="both"/>
        <w:rPr>
          <w:rFonts w:hint="default"/>
          <w:kern w:val="2"/>
          <w:szCs w:val="24"/>
          <w:lang w:val="en-US" w:eastAsia="zh-CN" w:bidi="en-US"/>
        </w:rPr>
      </w:pPr>
      <w:r>
        <w:rPr>
          <w:rFonts w:hint="eastAsia"/>
          <w:kern w:val="2"/>
          <w:szCs w:val="24"/>
          <w:lang w:eastAsia="zh-CN" w:bidi="en-US"/>
        </w:rPr>
        <w:t>（</w:t>
      </w:r>
      <w:r>
        <w:rPr>
          <w:rFonts w:hint="eastAsia"/>
          <w:kern w:val="2"/>
          <w:szCs w:val="24"/>
          <w:lang w:val="en-US" w:eastAsia="zh-CN" w:bidi="en-US"/>
        </w:rPr>
        <w:t>6</w:t>
      </w:r>
      <w:r>
        <w:rPr>
          <w:rFonts w:hint="eastAsia"/>
          <w:kern w:val="2"/>
          <w:szCs w:val="24"/>
          <w:lang w:eastAsia="zh-CN" w:bidi="en-US"/>
        </w:rPr>
        <w:t>）《</w:t>
      </w:r>
      <w:r>
        <w:rPr>
          <w:rFonts w:hint="eastAsia"/>
          <w:kern w:val="2"/>
          <w:szCs w:val="24"/>
          <w:lang w:val="en-US" w:eastAsia="zh-CN" w:bidi="en-US"/>
        </w:rPr>
        <w:t>高速</w:t>
      </w:r>
      <w:r>
        <w:rPr>
          <w:rFonts w:hint="eastAsia"/>
          <w:kern w:val="2"/>
          <w:szCs w:val="24"/>
          <w:lang w:eastAsia="zh-CN" w:bidi="en-US"/>
        </w:rPr>
        <w:t>铁路隧道工程施工</w:t>
      </w:r>
      <w:r>
        <w:rPr>
          <w:rFonts w:hint="eastAsia"/>
          <w:kern w:val="2"/>
          <w:szCs w:val="24"/>
          <w:lang w:val="en-US" w:eastAsia="zh-CN" w:bidi="en-US"/>
        </w:rPr>
        <w:t>质量验收标准</w:t>
      </w:r>
      <w:r>
        <w:rPr>
          <w:rFonts w:hint="eastAsia"/>
          <w:kern w:val="2"/>
          <w:szCs w:val="24"/>
          <w:lang w:eastAsia="zh-CN" w:bidi="en-US"/>
        </w:rPr>
        <w:t>》（TB 10</w:t>
      </w:r>
      <w:r>
        <w:rPr>
          <w:rFonts w:hint="eastAsia"/>
          <w:kern w:val="2"/>
          <w:szCs w:val="24"/>
          <w:lang w:val="en-US" w:eastAsia="zh-CN" w:bidi="en-US"/>
        </w:rPr>
        <w:t>753-2018</w:t>
      </w:r>
      <w:r>
        <w:rPr>
          <w:rFonts w:hint="eastAsia"/>
          <w:kern w:val="2"/>
          <w:szCs w:val="24"/>
          <w:lang w:eastAsia="zh-CN" w:bidi="en-US"/>
        </w:rPr>
        <w:t>）；</w:t>
      </w:r>
    </w:p>
    <w:p>
      <w:pPr>
        <w:widowControl/>
        <w:spacing w:line="360" w:lineRule="auto"/>
        <w:ind w:left="0" w:leftChars="0" w:firstLine="0" w:firstLineChars="0"/>
        <w:jc w:val="both"/>
        <w:rPr>
          <w:rFonts w:hint="eastAsia"/>
          <w:kern w:val="2"/>
          <w:szCs w:val="24"/>
          <w:lang w:eastAsia="zh-CN" w:bidi="en-US"/>
        </w:rPr>
      </w:pPr>
      <w:r>
        <w:rPr>
          <w:rFonts w:hint="eastAsia"/>
          <w:kern w:val="2"/>
          <w:szCs w:val="24"/>
          <w:lang w:eastAsia="zh-CN" w:bidi="en-US"/>
        </w:rPr>
        <w:t>（</w:t>
      </w:r>
      <w:r>
        <w:rPr>
          <w:rFonts w:hint="eastAsia"/>
          <w:kern w:val="2"/>
          <w:szCs w:val="24"/>
          <w:lang w:val="en-US" w:eastAsia="zh-CN" w:bidi="en-US"/>
        </w:rPr>
        <w:t>7</w:t>
      </w:r>
      <w:r>
        <w:rPr>
          <w:rFonts w:hint="eastAsia"/>
          <w:kern w:val="2"/>
          <w:szCs w:val="24"/>
          <w:lang w:eastAsia="zh-CN" w:bidi="en-US"/>
        </w:rPr>
        <w:t>）同类铁路工程项目施工经验、施工工法、科技成果；</w:t>
      </w:r>
    </w:p>
    <w:p>
      <w:pPr>
        <w:widowControl/>
        <w:spacing w:line="360" w:lineRule="auto"/>
        <w:ind w:left="0" w:leftChars="0" w:firstLine="0" w:firstLineChars="0"/>
        <w:jc w:val="both"/>
        <w:rPr>
          <w:rFonts w:hint="eastAsia"/>
          <w:kern w:val="2"/>
          <w:szCs w:val="24"/>
          <w:lang w:val="en-US" w:eastAsia="zh-CN" w:bidi="en-US"/>
        </w:rPr>
      </w:pPr>
      <w:r>
        <w:rPr>
          <w:rFonts w:hint="eastAsia"/>
          <w:kern w:val="2"/>
          <w:szCs w:val="24"/>
          <w:lang w:eastAsia="zh-CN" w:bidi="en-US"/>
        </w:rPr>
        <w:t>（</w:t>
      </w:r>
      <w:r>
        <w:rPr>
          <w:rFonts w:hint="eastAsia"/>
          <w:kern w:val="2"/>
          <w:szCs w:val="24"/>
          <w:lang w:val="en-US" w:eastAsia="zh-CN" w:bidi="en-US"/>
        </w:rPr>
        <w:t>8）重庆长江隧道指导性施工组织设计</w:t>
      </w:r>
    </w:p>
    <w:bookmarkEnd w:id="31"/>
    <w:p>
      <w:pPr>
        <w:pStyle w:val="5"/>
        <w:bidi w:val="0"/>
        <w:spacing w:line="360" w:lineRule="auto"/>
        <w:rPr>
          <w:rFonts w:hint="eastAsia"/>
          <w:lang w:val="en-US" w:eastAsia="zh-CN"/>
        </w:rPr>
      </w:pPr>
      <w:bookmarkStart w:id="32" w:name="_Toc27190"/>
      <w:bookmarkStart w:id="33" w:name="_Toc11968"/>
      <w:bookmarkStart w:id="34" w:name="_Toc96786425"/>
      <w:bookmarkStart w:id="35" w:name="_Toc17524"/>
      <w:bookmarkStart w:id="36" w:name="_Toc840"/>
      <w:bookmarkStart w:id="37" w:name="_Toc17699"/>
      <w:r>
        <w:rPr>
          <w:rFonts w:hint="eastAsia"/>
          <w:lang w:val="en-US" w:eastAsia="zh-CN"/>
        </w:rPr>
        <w:t>1.3编制范围</w:t>
      </w:r>
      <w:bookmarkEnd w:id="32"/>
      <w:bookmarkEnd w:id="33"/>
      <w:bookmarkEnd w:id="34"/>
      <w:bookmarkEnd w:id="35"/>
      <w:bookmarkEnd w:id="36"/>
      <w:bookmarkEnd w:id="37"/>
    </w:p>
    <w:p>
      <w:pPr>
        <w:pStyle w:val="2"/>
        <w:spacing w:line="360" w:lineRule="auto"/>
        <w:ind w:left="0" w:leftChars="0" w:firstLine="480" w:firstLineChars="200"/>
        <w:rPr>
          <w:rFonts w:hint="eastAsia"/>
          <w:kern w:val="2"/>
          <w:szCs w:val="24"/>
          <w:lang w:val="en-US" w:eastAsia="zh-CN" w:bidi="en-US"/>
        </w:rPr>
      </w:pPr>
      <w:r>
        <w:rPr>
          <w:rFonts w:hint="eastAsia" w:ascii="宋体" w:hAnsi="宋体" w:eastAsia="宋体" w:cs="宋体"/>
          <w:kern w:val="2"/>
          <w:sz w:val="24"/>
          <w:szCs w:val="24"/>
          <w:lang w:eastAsia="zh-CN" w:bidi="en-US"/>
        </w:rPr>
        <w:t>本方案适用于新建重庆至黔江铁路重庆长江隧道</w:t>
      </w:r>
      <w:r>
        <w:rPr>
          <w:rFonts w:hint="eastAsia" w:ascii="宋体" w:hAnsi="宋体" w:eastAsia="宋体" w:cs="宋体"/>
          <w:kern w:val="2"/>
          <w:sz w:val="24"/>
          <w:szCs w:val="24"/>
          <w:lang w:val="en-US" w:eastAsia="zh-CN" w:bidi="en-US"/>
        </w:rPr>
        <w:t>工程同步注浆及二次注浆</w:t>
      </w:r>
      <w:r>
        <w:rPr>
          <w:rFonts w:hint="eastAsia" w:ascii="宋体" w:hAnsi="宋体" w:eastAsia="宋体" w:cs="宋体"/>
          <w:kern w:val="2"/>
          <w:sz w:val="24"/>
          <w:szCs w:val="24"/>
          <w:lang w:eastAsia="zh-CN" w:bidi="en-US"/>
        </w:rPr>
        <w:t>施工</w:t>
      </w:r>
      <w:r>
        <w:rPr>
          <w:rFonts w:hint="eastAsia"/>
          <w:kern w:val="2"/>
          <w:sz w:val="24"/>
          <w:szCs w:val="24"/>
          <w:lang w:eastAsia="zh-CN" w:bidi="en-US"/>
        </w:rPr>
        <w:t>。</w:t>
      </w:r>
      <w:r>
        <w:rPr>
          <w:rFonts w:hint="eastAsia"/>
          <w:kern w:val="2"/>
          <w:sz w:val="24"/>
          <w:szCs w:val="24"/>
          <w:lang w:val="en-US" w:eastAsia="zh-CN" w:bidi="en-US"/>
        </w:rPr>
        <w:t xml:space="preserve"> </w:t>
      </w:r>
      <w:r>
        <w:rPr>
          <w:rFonts w:hint="eastAsia"/>
          <w:kern w:val="2"/>
          <w:szCs w:val="24"/>
          <w:lang w:val="en-US" w:eastAsia="zh-CN" w:bidi="en-US"/>
        </w:rPr>
        <w:t xml:space="preserve">  </w:t>
      </w:r>
      <w:bookmarkStart w:id="38" w:name="_Toc18963"/>
      <w:bookmarkStart w:id="39" w:name="_Toc133248735"/>
    </w:p>
    <w:p>
      <w:pPr>
        <w:pStyle w:val="82"/>
        <w:bidi w:val="0"/>
        <w:spacing w:line="360" w:lineRule="auto"/>
        <w:rPr>
          <w:rFonts w:hint="eastAsia"/>
          <w:b/>
          <w:bCs w:val="0"/>
          <w:lang w:val="en-US" w:eastAsia="zh-CN"/>
        </w:rPr>
      </w:pPr>
      <w:bookmarkStart w:id="40" w:name="_Toc30680"/>
      <w:bookmarkStart w:id="41" w:name="_Toc28915"/>
    </w:p>
    <w:p>
      <w:pPr>
        <w:pStyle w:val="82"/>
        <w:bidi w:val="0"/>
        <w:spacing w:line="360" w:lineRule="auto"/>
        <w:rPr>
          <w:rFonts w:hint="eastAsia"/>
          <w:b/>
          <w:bCs w:val="0"/>
          <w:lang w:val="en-US" w:eastAsia="zh-CN"/>
        </w:rPr>
      </w:pPr>
    </w:p>
    <w:p>
      <w:pPr>
        <w:pStyle w:val="82"/>
        <w:bidi w:val="0"/>
        <w:spacing w:line="360" w:lineRule="auto"/>
        <w:ind w:firstLine="280" w:firstLineChars="100"/>
        <w:rPr>
          <w:rFonts w:hint="eastAsia"/>
          <w:b/>
          <w:bCs w:val="0"/>
          <w:lang w:val="en-US" w:eastAsia="zh-CN"/>
        </w:rPr>
      </w:pPr>
      <w:bookmarkStart w:id="42" w:name="_Toc18578"/>
      <w:bookmarkStart w:id="43" w:name="_Toc15022"/>
      <w:r>
        <w:rPr>
          <w:rFonts w:hint="eastAsia"/>
          <w:b/>
          <w:bCs w:val="0"/>
          <w:lang w:val="en-US" w:eastAsia="zh-CN"/>
        </w:rPr>
        <w:t>2工程概况</w:t>
      </w:r>
      <w:bookmarkEnd w:id="38"/>
      <w:bookmarkEnd w:id="39"/>
      <w:bookmarkEnd w:id="40"/>
      <w:bookmarkEnd w:id="41"/>
      <w:bookmarkEnd w:id="42"/>
      <w:bookmarkEnd w:id="43"/>
    </w:p>
    <w:p>
      <w:pPr>
        <w:pStyle w:val="5"/>
        <w:bidi w:val="0"/>
        <w:spacing w:line="360" w:lineRule="auto"/>
        <w:rPr>
          <w:rFonts w:hint="eastAsia"/>
          <w:lang w:val="en-US" w:eastAsia="zh-CN"/>
        </w:rPr>
      </w:pPr>
      <w:bookmarkStart w:id="44" w:name="_Toc133248736"/>
      <w:bookmarkStart w:id="45" w:name="_Toc31414"/>
      <w:bookmarkStart w:id="46" w:name="_Toc16910"/>
      <w:bookmarkStart w:id="47" w:name="_Toc1867"/>
      <w:bookmarkStart w:id="48" w:name="_Toc30570"/>
      <w:bookmarkStart w:id="49" w:name="_Toc6987"/>
      <w:r>
        <w:rPr>
          <w:rFonts w:hint="eastAsia"/>
          <w:lang w:val="en-US" w:eastAsia="zh-CN"/>
        </w:rPr>
        <w:t>2.1工程</w:t>
      </w:r>
      <w:bookmarkEnd w:id="44"/>
      <w:bookmarkStart w:id="50" w:name="_Toc133248737"/>
      <w:r>
        <w:rPr>
          <w:rFonts w:hint="eastAsia"/>
          <w:lang w:val="en-US" w:eastAsia="zh-CN"/>
        </w:rPr>
        <w:t>概述</w:t>
      </w:r>
      <w:bookmarkEnd w:id="45"/>
      <w:bookmarkEnd w:id="46"/>
      <w:bookmarkEnd w:id="47"/>
      <w:bookmarkEnd w:id="48"/>
      <w:bookmarkEnd w:id="49"/>
      <w:bookmarkEnd w:id="50"/>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本隧道位于重庆市渝中区、南岸区境内，为正线单洞双线隧道，盾构段起止里程DK3+805～DK7+650全长3845m，其中穿越长江段起止里程DK4+890-DK6+172长1282m，始发组装洞室里程DK7+650～DK7+700长50m，盾构机从3#斜井将盾构机部件运至始发组装洞室进行组装始发，始发段半径为1400m的右偏曲线半径，设计纵坡为30‰、24.312‰，呈主体“V”字加出口段下坡的形态，掘进至3845m至里程DK3+805抵达盾构机拆解洞室，盾构机拆解洞室里程DK3+765～DK3+805长40m，盾构机拆解采用洞内拆解后沿1#斜井通道运输出隧道转场。</w:t>
      </w:r>
    </w:p>
    <w:p>
      <w:pPr>
        <w:pStyle w:val="67"/>
        <w:spacing w:line="360" w:lineRule="auto"/>
        <w:ind w:left="0" w:leftChars="0" w:firstLine="480" w:firstLineChars="20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长江过江隧道盾构区间长3845m，采用1台φ12.66m泥水平衡盾构机施工。管片外径12.2m，内径11.1m，厚0.55m，环宽2m，采用6+2+1分块设计。混凝土设计强度等级C60，抗渗等级P15。</w:t>
      </w:r>
    </w:p>
    <w:p>
      <w:pPr>
        <w:widowControl w:val="0"/>
        <w:spacing w:line="360" w:lineRule="auto"/>
        <w:ind w:firstLine="0" w:firstLineChars="0"/>
        <w:jc w:val="center"/>
        <w:rPr>
          <w:rFonts w:hint="eastAsia" w:ascii="宋体" w:hAnsi="宋体" w:cs="宋体"/>
          <w:b/>
          <w:bCs/>
          <w:kern w:val="2"/>
          <w:szCs w:val="24"/>
          <w:lang w:val="zh-CN" w:eastAsia="zh-CN" w:bidi="ar-SA"/>
        </w:rPr>
      </w:pPr>
      <w:r>
        <w:rPr>
          <w:rFonts w:hint="default" w:ascii="Times New Roman" w:hAnsi="Times New Roman" w:eastAsia="宋体" w:cs="Times New Roman"/>
          <w:kern w:val="2"/>
          <w:sz w:val="24"/>
          <w:szCs w:val="24"/>
          <w:lang w:val="en-US" w:eastAsia="zh-CN" w:bidi="en-US"/>
        </w:rPr>
        <w:drawing>
          <wp:inline distT="0" distB="0" distL="114300" distR="114300">
            <wp:extent cx="5812790" cy="2446020"/>
            <wp:effectExtent l="0" t="0" r="8890" b="762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4"/>
                    <a:stretch>
                      <a:fillRect/>
                    </a:stretch>
                  </pic:blipFill>
                  <pic:spPr>
                    <a:xfrm>
                      <a:off x="0" y="0"/>
                      <a:ext cx="5812790" cy="2446020"/>
                    </a:xfrm>
                    <a:prstGeom prst="rect">
                      <a:avLst/>
                    </a:prstGeom>
                  </pic:spPr>
                </pic:pic>
              </a:graphicData>
            </a:graphic>
          </wp:inline>
        </w:drawing>
      </w:r>
      <w:r>
        <w:rPr>
          <w:rFonts w:hint="eastAsia" w:ascii="Times New Roman" w:hAnsi="Times New Roman" w:cs="Times New Roman"/>
          <w:kern w:val="2"/>
          <w:sz w:val="24"/>
          <w:szCs w:val="24"/>
          <w:lang w:val="en-US" w:eastAsia="zh-CN" w:bidi="en-US"/>
        </w:rPr>
        <w:t xml:space="preserve">          </w:t>
      </w:r>
      <w:r>
        <w:rPr>
          <w:rFonts w:hint="eastAsia" w:ascii="宋体" w:hAnsi="宋体" w:cs="宋体"/>
          <w:b/>
          <w:bCs/>
          <w:kern w:val="2"/>
          <w:szCs w:val="24"/>
          <w:lang w:val="zh-CN" w:eastAsia="zh-CN" w:bidi="ar-SA"/>
        </w:rPr>
        <w:t>图</w:t>
      </w:r>
      <w:r>
        <w:rPr>
          <w:rFonts w:hint="eastAsia" w:hAnsi="宋体" w:cs="宋体"/>
          <w:b/>
          <w:bCs/>
          <w:kern w:val="2"/>
          <w:szCs w:val="24"/>
          <w:lang w:val="en-US" w:eastAsia="zh-CN" w:bidi="ar-SA"/>
        </w:rPr>
        <w:t>2</w:t>
      </w:r>
      <w:r>
        <w:rPr>
          <w:rFonts w:hint="eastAsia" w:ascii="宋体" w:hAnsi="宋体" w:cs="宋体"/>
          <w:b/>
          <w:bCs/>
          <w:kern w:val="2"/>
          <w:szCs w:val="24"/>
          <w:lang w:val="zh-CN" w:eastAsia="zh-CN" w:bidi="ar-SA"/>
        </w:rPr>
        <w:t>.1-1 渝黔铁路长江隧道平面图</w:t>
      </w:r>
    </w:p>
    <w:p>
      <w:pPr>
        <w:pStyle w:val="67"/>
        <w:spacing w:line="360" w:lineRule="auto"/>
        <w:ind w:left="0" w:leftChars="0" w:firstLine="0" w:firstLineChars="0"/>
        <w:rPr>
          <w:rFonts w:hint="default" w:ascii="Times New Roman" w:hAnsi="Times New Roman" w:cs="Times New Roman"/>
          <w:kern w:val="2"/>
          <w:sz w:val="24"/>
          <w:szCs w:val="24"/>
          <w:lang w:val="en-US" w:eastAsia="zh-CN" w:bidi="en-US"/>
        </w:rPr>
      </w:pPr>
      <w:r>
        <w:rPr>
          <w:rFonts w:hint="default" w:ascii="Times New Roman" w:hAnsi="Times New Roman" w:cs="Times New Roman"/>
          <w:kern w:val="2"/>
          <w:sz w:val="24"/>
          <w:szCs w:val="24"/>
          <w:lang w:val="en-US" w:eastAsia="zh-CN" w:bidi="en-US"/>
        </w:rPr>
        <w:drawing>
          <wp:inline distT="0" distB="0" distL="114300" distR="114300">
            <wp:extent cx="5852160" cy="2381885"/>
            <wp:effectExtent l="0" t="0" r="0" b="10795"/>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15"/>
                    <a:stretch>
                      <a:fillRect/>
                    </a:stretch>
                  </pic:blipFill>
                  <pic:spPr>
                    <a:xfrm>
                      <a:off x="0" y="0"/>
                      <a:ext cx="5852160" cy="2381885"/>
                    </a:xfrm>
                    <a:prstGeom prst="rect">
                      <a:avLst/>
                    </a:prstGeom>
                  </pic:spPr>
                </pic:pic>
              </a:graphicData>
            </a:graphic>
          </wp:inline>
        </w:drawing>
      </w:r>
    </w:p>
    <w:p>
      <w:pPr>
        <w:widowControl w:val="0"/>
        <w:spacing w:line="360" w:lineRule="auto"/>
        <w:ind w:firstLine="0" w:firstLineChars="0"/>
        <w:jc w:val="center"/>
        <w:rPr>
          <w:rFonts w:hint="eastAsia" w:eastAsia="黑体" w:cs="Times New Roman"/>
          <w:kern w:val="0"/>
        </w:rPr>
      </w:pPr>
      <w:r>
        <w:rPr>
          <w:rFonts w:hint="eastAsia" w:ascii="Times New Roman" w:hAnsi="Times New Roman" w:cs="Times New Roman"/>
          <w:kern w:val="2"/>
          <w:sz w:val="24"/>
          <w:szCs w:val="24"/>
          <w:lang w:val="en-US" w:eastAsia="zh-CN" w:bidi="en-US"/>
        </w:rPr>
        <w:t xml:space="preserve">           </w:t>
      </w:r>
      <w:r>
        <w:rPr>
          <w:rFonts w:hint="eastAsia" w:ascii="宋体" w:hAnsi="宋体" w:cs="宋体"/>
          <w:b/>
          <w:bCs/>
          <w:kern w:val="2"/>
          <w:szCs w:val="24"/>
          <w:lang w:val="zh-CN" w:eastAsia="zh-CN" w:bidi="ar-SA"/>
        </w:rPr>
        <w:t>图</w:t>
      </w:r>
      <w:r>
        <w:rPr>
          <w:rFonts w:hint="eastAsia" w:hAnsi="宋体" w:cs="宋体"/>
          <w:b/>
          <w:bCs/>
          <w:kern w:val="2"/>
          <w:szCs w:val="24"/>
          <w:lang w:val="en-US" w:eastAsia="zh-CN" w:bidi="ar-SA"/>
        </w:rPr>
        <w:t>2</w:t>
      </w:r>
      <w:r>
        <w:rPr>
          <w:rFonts w:hint="eastAsia" w:ascii="宋体" w:hAnsi="宋体" w:cs="宋体"/>
          <w:b/>
          <w:bCs/>
          <w:kern w:val="2"/>
          <w:szCs w:val="24"/>
          <w:lang w:val="zh-CN" w:eastAsia="zh-CN" w:bidi="ar-SA"/>
        </w:rPr>
        <w:t>.</w:t>
      </w:r>
      <w:r>
        <w:rPr>
          <w:rFonts w:hint="eastAsia" w:hAnsi="宋体" w:cs="宋体"/>
          <w:b/>
          <w:bCs/>
          <w:kern w:val="2"/>
          <w:szCs w:val="24"/>
          <w:lang w:val="en-US" w:eastAsia="zh-CN" w:bidi="ar-SA"/>
        </w:rPr>
        <w:t>1</w:t>
      </w:r>
      <w:r>
        <w:rPr>
          <w:rFonts w:hint="eastAsia" w:ascii="宋体" w:hAnsi="宋体" w:cs="宋体"/>
          <w:b/>
          <w:bCs/>
          <w:kern w:val="2"/>
          <w:szCs w:val="24"/>
          <w:lang w:val="zh-CN" w:eastAsia="zh-CN" w:bidi="ar-SA"/>
        </w:rPr>
        <w:t>-2 渝黔铁路长江隧道剖面图</w:t>
      </w:r>
    </w:p>
    <w:p>
      <w:pPr>
        <w:pStyle w:val="5"/>
        <w:bidi w:val="0"/>
        <w:spacing w:line="360" w:lineRule="auto"/>
        <w:rPr>
          <w:rFonts w:hint="eastAsia"/>
          <w:lang w:val="en-US" w:eastAsia="zh-CN"/>
        </w:rPr>
      </w:pPr>
      <w:bookmarkStart w:id="51" w:name="_Toc133248739"/>
      <w:bookmarkStart w:id="52" w:name="_Toc3295"/>
      <w:bookmarkStart w:id="53" w:name="_Toc25948"/>
      <w:bookmarkStart w:id="54" w:name="_Toc111731951"/>
      <w:bookmarkStart w:id="55" w:name="_Toc32174"/>
      <w:bookmarkStart w:id="56" w:name="_Toc18435"/>
      <w:bookmarkStart w:id="57" w:name="_Toc6285"/>
      <w:r>
        <w:rPr>
          <w:rFonts w:hint="eastAsia"/>
          <w:lang w:val="en-US" w:eastAsia="zh-CN"/>
        </w:rPr>
        <w:t>2.2 地形地貌</w:t>
      </w:r>
      <w:bookmarkEnd w:id="51"/>
      <w:bookmarkEnd w:id="52"/>
      <w:bookmarkEnd w:id="53"/>
      <w:bookmarkEnd w:id="54"/>
      <w:bookmarkEnd w:id="55"/>
      <w:bookmarkEnd w:id="56"/>
      <w:bookmarkEnd w:id="57"/>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DK3+805~DK4+890隧道穿越渝中半岛城区，属浅丘地貌，地形起伏整体较小。由于该段位于城区范围内，原始地貌受人工改造较大，测区范围多为人工改造形成的既有边坡、陡坎，局部地形陡峭。地表标高193～340m，相对高差15～40m不等。地表植被多以人工种植的绿化带为主，植被不发育。</w:t>
      </w:r>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DK4+890~DK6+172隧道下穿长江，属于浅丘河谷地貌，河谷段地形整体平缓，地表标高154～165m。河床两侧为滨江路，滨江路地貌受人工改造为高15~25m的路堤填方岸坡，地表高程172～188m。地表植被不发育，多为道路和绿化用地。</w:t>
      </w:r>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DK6+172~DK7+605隧道穿越南坪城区，地貌受人工改造较大，河岸为高15~25m的路堤填方岸坡，地表高程172～188m，其余段落为城区，位于斜坡地段。地表植被不发育，多为既有道路与既有建筑。</w:t>
      </w:r>
    </w:p>
    <w:p>
      <w:pPr>
        <w:pStyle w:val="5"/>
        <w:bidi w:val="0"/>
        <w:spacing w:line="360" w:lineRule="auto"/>
        <w:rPr>
          <w:rFonts w:hint="eastAsia"/>
          <w:lang w:val="en-US" w:eastAsia="zh-CN"/>
        </w:rPr>
      </w:pPr>
      <w:bookmarkStart w:id="58" w:name="_Toc18897"/>
      <w:bookmarkStart w:id="59" w:name="_Toc15059"/>
      <w:bookmarkStart w:id="60" w:name="_Toc21400"/>
      <w:bookmarkStart w:id="61" w:name="_Toc133248740"/>
      <w:bookmarkStart w:id="62" w:name="_Toc17405"/>
      <w:bookmarkStart w:id="63" w:name="_Toc19681"/>
      <w:r>
        <w:rPr>
          <w:rFonts w:hint="eastAsia"/>
          <w:lang w:val="en-US" w:eastAsia="zh-CN"/>
        </w:rPr>
        <w:t>2.3地震动参数</w:t>
      </w:r>
      <w:bookmarkEnd w:id="58"/>
      <w:bookmarkEnd w:id="59"/>
      <w:bookmarkEnd w:id="60"/>
      <w:bookmarkEnd w:id="61"/>
      <w:bookmarkEnd w:id="62"/>
      <w:bookmarkEnd w:id="63"/>
    </w:p>
    <w:p>
      <w:pPr>
        <w:pStyle w:val="67"/>
        <w:spacing w:line="360" w:lineRule="auto"/>
        <w:ind w:left="0" w:leftChars="0" w:firstLine="480" w:firstLineChars="200"/>
        <w:rPr>
          <w:rFonts w:hint="eastAsia" w:ascii="Times New Roman" w:hAnsi="Times New Roman" w:eastAsia="宋体" w:cs="Times New Roman"/>
          <w:kern w:val="2"/>
          <w:sz w:val="24"/>
          <w:szCs w:val="24"/>
          <w:lang w:val="en-US" w:eastAsia="zh-CN" w:bidi="en-US"/>
        </w:rPr>
      </w:pPr>
      <w:r>
        <w:rPr>
          <w:rFonts w:hint="eastAsia" w:ascii="Times New Roman" w:hAnsi="Times New Roman" w:cs="Times New Roman"/>
          <w:kern w:val="2"/>
          <w:sz w:val="24"/>
          <w:szCs w:val="24"/>
          <w:lang w:val="en-US" w:eastAsia="zh-CN" w:bidi="en-US"/>
        </w:rPr>
        <w:t>（</w:t>
      </w:r>
      <w:r>
        <w:rPr>
          <w:rFonts w:hint="eastAsia" w:ascii="Times New Roman" w:hAnsi="Times New Roman" w:eastAsia="宋体" w:cs="Times New Roman"/>
          <w:kern w:val="2"/>
          <w:sz w:val="24"/>
          <w:szCs w:val="24"/>
          <w:lang w:val="en-US" w:eastAsia="zh-CN" w:bidi="en-US"/>
        </w:rPr>
        <w:t>1）地震场地安全性评价：</w:t>
      </w:r>
    </w:p>
    <w:p>
      <w:pPr>
        <w:pStyle w:val="67"/>
        <w:spacing w:line="360" w:lineRule="auto"/>
        <w:ind w:left="0" w:leftChars="0" w:firstLine="480" w:firstLineChars="20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根据《铁路工程抗震设计规范》长江隧道为水下隧道，抗震设防类别为A 类，下穿长江段场地土类别为中硬土，场地类别为II 类，其余段落场地土类别为岩石或坚硬土，场地类别为I类。</w:t>
      </w:r>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根据《新建重庆至黔江铁路 重要节点工程场地地震安全性评价报告》，隧道区地震动参数见下表示：</w:t>
      </w:r>
    </w:p>
    <w:p>
      <w:pPr>
        <w:pStyle w:val="83"/>
        <w:widowControl w:val="0"/>
        <w:spacing w:line="360" w:lineRule="auto"/>
        <w:ind w:firstLine="1200" w:firstLineChars="500"/>
        <w:jc w:val="both"/>
        <w:rPr>
          <w:rFonts w:hint="eastAsia" w:cs="宋体"/>
          <w:bCs/>
          <w:snapToGrid/>
          <w:spacing w:val="0"/>
          <w:kern w:val="2"/>
          <w:szCs w:val="24"/>
          <w:lang w:eastAsia="zh-CN" w:bidi="ar-SA"/>
        </w:rPr>
      </w:pPr>
      <w:r>
        <w:rPr>
          <w:rFonts w:hint="eastAsia" w:cs="宋体"/>
          <w:bCs/>
          <w:snapToGrid/>
          <w:spacing w:val="0"/>
          <w:kern w:val="2"/>
          <w:szCs w:val="24"/>
          <w:lang w:eastAsia="zh-CN" w:bidi="ar-SA"/>
        </w:rPr>
        <w:t>表</w:t>
      </w:r>
      <w:r>
        <w:rPr>
          <w:rFonts w:hint="eastAsia" w:cs="宋体"/>
          <w:bCs/>
          <w:snapToGrid/>
          <w:spacing w:val="0"/>
          <w:kern w:val="2"/>
          <w:szCs w:val="24"/>
          <w:lang w:val="en-US" w:eastAsia="zh-CN" w:bidi="ar-SA"/>
        </w:rPr>
        <w:t>2</w:t>
      </w:r>
      <w:r>
        <w:rPr>
          <w:rFonts w:hint="eastAsia" w:cs="宋体"/>
          <w:bCs/>
          <w:snapToGrid/>
          <w:spacing w:val="0"/>
          <w:kern w:val="2"/>
          <w:szCs w:val="24"/>
          <w:lang w:eastAsia="zh-CN" w:bidi="ar-SA"/>
        </w:rPr>
        <w:t>.</w:t>
      </w:r>
      <w:r>
        <w:rPr>
          <w:rFonts w:hint="eastAsia" w:cs="宋体"/>
          <w:bCs/>
          <w:snapToGrid/>
          <w:spacing w:val="0"/>
          <w:kern w:val="2"/>
          <w:szCs w:val="24"/>
          <w:lang w:val="en-US" w:eastAsia="zh-CN" w:bidi="ar-SA"/>
        </w:rPr>
        <w:t>1</w:t>
      </w:r>
      <w:r>
        <w:rPr>
          <w:rFonts w:hint="eastAsia" w:cs="宋体"/>
          <w:bCs/>
          <w:snapToGrid/>
          <w:spacing w:val="0"/>
          <w:kern w:val="2"/>
          <w:szCs w:val="24"/>
          <w:lang w:eastAsia="zh-CN" w:bidi="ar-SA"/>
        </w:rPr>
        <w:t>-</w:t>
      </w:r>
      <w:r>
        <w:rPr>
          <w:rFonts w:hint="eastAsia" w:cs="宋体"/>
          <w:bCs/>
          <w:snapToGrid/>
          <w:spacing w:val="0"/>
          <w:kern w:val="2"/>
          <w:szCs w:val="24"/>
          <w:lang w:val="en-US" w:eastAsia="zh-CN" w:bidi="ar-SA"/>
        </w:rPr>
        <w:t>3</w:t>
      </w:r>
      <w:r>
        <w:rPr>
          <w:rFonts w:hint="eastAsia" w:cs="宋体"/>
          <w:bCs/>
          <w:snapToGrid/>
          <w:spacing w:val="0"/>
          <w:kern w:val="2"/>
          <w:szCs w:val="24"/>
          <w:lang w:eastAsia="zh-CN" w:bidi="ar-SA"/>
        </w:rPr>
        <w:t>长江隧道场地基岩水平峰值加速度（单位：Gal）</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056"/>
        <w:gridCol w:w="951"/>
        <w:gridCol w:w="1529"/>
        <w:gridCol w:w="636"/>
        <w:gridCol w:w="741"/>
        <w:gridCol w:w="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restart"/>
            <w:vAlign w:val="center"/>
          </w:tcPr>
          <w:p>
            <w:pPr>
              <w:pStyle w:val="78"/>
              <w:spacing w:line="360" w:lineRule="auto"/>
            </w:pPr>
            <w:r>
              <w:rPr>
                <w:rFonts w:hint="eastAsia"/>
              </w:rPr>
              <w:t>场点名称</w:t>
            </w:r>
          </w:p>
        </w:tc>
        <w:tc>
          <w:tcPr>
            <w:tcW w:w="0" w:type="auto"/>
            <w:gridSpan w:val="2"/>
            <w:vAlign w:val="center"/>
          </w:tcPr>
          <w:p>
            <w:pPr>
              <w:pStyle w:val="78"/>
              <w:spacing w:line="360" w:lineRule="auto"/>
            </w:pPr>
            <w:r>
              <w:rPr>
                <w:rFonts w:hint="eastAsia"/>
              </w:rPr>
              <w:t>站点坐标</w:t>
            </w:r>
          </w:p>
        </w:tc>
        <w:tc>
          <w:tcPr>
            <w:tcW w:w="0" w:type="auto"/>
            <w:vAlign w:val="center"/>
          </w:tcPr>
          <w:p>
            <w:pPr>
              <w:pStyle w:val="78"/>
              <w:spacing w:line="360" w:lineRule="auto"/>
            </w:pPr>
            <w:r>
              <w:rPr>
                <w:rFonts w:hint="eastAsia"/>
              </w:rPr>
              <w:t>50年超越概率</w:t>
            </w:r>
          </w:p>
        </w:tc>
        <w:tc>
          <w:tcPr>
            <w:tcW w:w="0" w:type="auto"/>
            <w:gridSpan w:val="3"/>
            <w:vAlign w:val="center"/>
          </w:tcPr>
          <w:p>
            <w:pPr>
              <w:pStyle w:val="78"/>
              <w:spacing w:line="360" w:lineRule="auto"/>
            </w:pPr>
            <w:r>
              <w:rPr>
                <w:rFonts w:hint="eastAsia"/>
              </w:rPr>
              <w:t>100年超越概率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vMerge w:val="continue"/>
            <w:vAlign w:val="center"/>
          </w:tcPr>
          <w:p>
            <w:pPr>
              <w:pStyle w:val="78"/>
              <w:spacing w:line="360" w:lineRule="auto"/>
            </w:pPr>
          </w:p>
        </w:tc>
        <w:tc>
          <w:tcPr>
            <w:tcW w:w="0" w:type="auto"/>
            <w:vAlign w:val="center"/>
          </w:tcPr>
          <w:p>
            <w:pPr>
              <w:pStyle w:val="78"/>
              <w:spacing w:line="360" w:lineRule="auto"/>
            </w:pPr>
            <w:r>
              <w:rPr>
                <w:rFonts w:hint="eastAsia"/>
              </w:rPr>
              <w:t>经度</w:t>
            </w:r>
          </w:p>
        </w:tc>
        <w:tc>
          <w:tcPr>
            <w:tcW w:w="0" w:type="auto"/>
            <w:vAlign w:val="center"/>
          </w:tcPr>
          <w:p>
            <w:pPr>
              <w:pStyle w:val="78"/>
              <w:spacing w:line="360" w:lineRule="auto"/>
            </w:pPr>
            <w:r>
              <w:rPr>
                <w:rFonts w:hint="eastAsia"/>
              </w:rPr>
              <w:t>纬度</w:t>
            </w:r>
          </w:p>
        </w:tc>
        <w:tc>
          <w:tcPr>
            <w:tcW w:w="0" w:type="auto"/>
            <w:vAlign w:val="center"/>
          </w:tcPr>
          <w:p>
            <w:pPr>
              <w:pStyle w:val="78"/>
              <w:spacing w:line="360" w:lineRule="auto"/>
            </w:pPr>
            <w:r>
              <w:rPr>
                <w:rFonts w:hint="eastAsia"/>
              </w:rPr>
              <w:t>10%</w:t>
            </w:r>
          </w:p>
        </w:tc>
        <w:tc>
          <w:tcPr>
            <w:tcW w:w="0" w:type="auto"/>
            <w:vAlign w:val="center"/>
          </w:tcPr>
          <w:p>
            <w:pPr>
              <w:pStyle w:val="78"/>
              <w:spacing w:line="360" w:lineRule="auto"/>
            </w:pPr>
            <w:r>
              <w:rPr>
                <w:rFonts w:hint="eastAsia"/>
              </w:rPr>
              <w:t>10%</w:t>
            </w:r>
          </w:p>
        </w:tc>
        <w:tc>
          <w:tcPr>
            <w:tcW w:w="0" w:type="auto"/>
            <w:vAlign w:val="center"/>
          </w:tcPr>
          <w:p>
            <w:pPr>
              <w:pStyle w:val="78"/>
              <w:spacing w:line="360" w:lineRule="auto"/>
            </w:pPr>
            <w:r>
              <w:rPr>
                <w:rFonts w:hint="eastAsia"/>
              </w:rPr>
              <w:t>4%</w:t>
            </w:r>
          </w:p>
        </w:tc>
        <w:tc>
          <w:tcPr>
            <w:tcW w:w="0" w:type="auto"/>
            <w:vAlign w:val="center"/>
          </w:tcPr>
          <w:p>
            <w:pPr>
              <w:pStyle w:val="78"/>
              <w:spacing w:line="360" w:lineRule="auto"/>
            </w:pP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0" w:type="auto"/>
            <w:vAlign w:val="center"/>
          </w:tcPr>
          <w:p>
            <w:pPr>
              <w:pStyle w:val="78"/>
              <w:spacing w:line="360" w:lineRule="auto"/>
            </w:pPr>
            <w:r>
              <w:rPr>
                <w:rFonts w:hint="eastAsia"/>
              </w:rPr>
              <w:t>长江隧道中点</w:t>
            </w:r>
          </w:p>
        </w:tc>
        <w:tc>
          <w:tcPr>
            <w:tcW w:w="0" w:type="auto"/>
            <w:vAlign w:val="center"/>
          </w:tcPr>
          <w:p>
            <w:pPr>
              <w:pStyle w:val="78"/>
              <w:spacing w:line="360" w:lineRule="auto"/>
            </w:pPr>
            <w:r>
              <w:rPr>
                <w:rFonts w:hint="eastAsia"/>
              </w:rPr>
              <w:t>106.5880</w:t>
            </w:r>
          </w:p>
        </w:tc>
        <w:tc>
          <w:tcPr>
            <w:tcW w:w="0" w:type="auto"/>
            <w:vAlign w:val="center"/>
          </w:tcPr>
          <w:p>
            <w:pPr>
              <w:pStyle w:val="78"/>
              <w:spacing w:line="360" w:lineRule="auto"/>
            </w:pPr>
            <w:r>
              <w:rPr>
                <w:rFonts w:hint="eastAsia"/>
              </w:rPr>
              <w:t>29.5529</w:t>
            </w:r>
          </w:p>
        </w:tc>
        <w:tc>
          <w:tcPr>
            <w:tcW w:w="0" w:type="auto"/>
            <w:vAlign w:val="center"/>
          </w:tcPr>
          <w:p>
            <w:pPr>
              <w:pStyle w:val="78"/>
              <w:spacing w:line="360" w:lineRule="auto"/>
            </w:pPr>
            <w:r>
              <w:rPr>
                <w:rFonts w:hint="eastAsia"/>
              </w:rPr>
              <w:t>52.4</w:t>
            </w:r>
          </w:p>
        </w:tc>
        <w:tc>
          <w:tcPr>
            <w:tcW w:w="0" w:type="auto"/>
            <w:vAlign w:val="center"/>
          </w:tcPr>
          <w:p>
            <w:pPr>
              <w:pStyle w:val="78"/>
              <w:spacing w:line="360" w:lineRule="auto"/>
            </w:pPr>
            <w:r>
              <w:rPr>
                <w:rFonts w:hint="eastAsia"/>
              </w:rPr>
              <w:t>72.9</w:t>
            </w:r>
          </w:p>
        </w:tc>
        <w:tc>
          <w:tcPr>
            <w:tcW w:w="0" w:type="auto"/>
            <w:vAlign w:val="center"/>
          </w:tcPr>
          <w:p>
            <w:pPr>
              <w:pStyle w:val="78"/>
              <w:spacing w:line="360" w:lineRule="auto"/>
            </w:pPr>
            <w:r>
              <w:rPr>
                <w:rFonts w:hint="eastAsia"/>
              </w:rPr>
              <w:t>107.4</w:t>
            </w:r>
          </w:p>
        </w:tc>
        <w:tc>
          <w:tcPr>
            <w:tcW w:w="0" w:type="auto"/>
            <w:vAlign w:val="center"/>
          </w:tcPr>
          <w:p>
            <w:pPr>
              <w:pStyle w:val="78"/>
              <w:spacing w:line="360" w:lineRule="auto"/>
            </w:pPr>
            <w:r>
              <w:rPr>
                <w:rFonts w:hint="eastAsia"/>
              </w:rPr>
              <w:t>140.3</w:t>
            </w:r>
          </w:p>
        </w:tc>
      </w:tr>
    </w:tbl>
    <w:p>
      <w:pPr>
        <w:pStyle w:val="5"/>
        <w:bidi w:val="0"/>
        <w:spacing w:line="360" w:lineRule="auto"/>
        <w:rPr>
          <w:rFonts w:hint="eastAsia"/>
          <w:lang w:val="en-US" w:eastAsia="zh-CN"/>
        </w:rPr>
      </w:pPr>
      <w:bookmarkStart w:id="64" w:name="_Toc15911"/>
      <w:bookmarkStart w:id="65" w:name="_Toc8708"/>
      <w:bookmarkStart w:id="66" w:name="_Toc24302"/>
      <w:bookmarkStart w:id="67" w:name="_Toc31013"/>
      <w:bookmarkStart w:id="68" w:name="_Toc27835"/>
      <w:bookmarkStart w:id="69" w:name="_Toc133248741"/>
      <w:r>
        <w:rPr>
          <w:rFonts w:hint="eastAsia"/>
          <w:lang w:val="en-US" w:eastAsia="zh-CN"/>
        </w:rPr>
        <w:t>2.4地表水系</w:t>
      </w:r>
      <w:bookmarkEnd w:id="64"/>
      <w:bookmarkEnd w:id="65"/>
      <w:bookmarkEnd w:id="66"/>
      <w:bookmarkEnd w:id="67"/>
      <w:bookmarkEnd w:id="68"/>
      <w:bookmarkEnd w:id="69"/>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长江段为三峡水库工程近库尾段。据调查及收集资料，朝天门码头的枯、洪水位差幅特别大，百年来最高水位为193.23m（吴淞，黄海高程为191.83m）（1905年8月11日），最低水位为159.47m（吴淞，黄海高程为157.80m）（1937年4月1日），常水位170.40m。最大枯、洪水位差幅达34.03m，常年水位幅差25m左右。</w:t>
      </w:r>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2008年9月三峡工程试验性蓄水后，朝天门河段受蓄水影响，其水位较天然有一定变化，变化较大的时间主要是枯水期。朝天门码头近几年的年最高洪水位多出现在每年7月，2009年7月洪水位标高183.11m，2010年7月洪水位标高185.56m，最高为2012年7月24日，洪水位为188.2m（31年一遇）。</w:t>
      </w:r>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隧道与长江呈斜交关系，长江常年洪水位172.89米，百年一遇洪水位高程193.13米，2020年8月20日最高水位191.55m，隧道最低点底标高103.34m，最大水压9.3bar。过江段均为浅埋段，一般埋深小于30m，最小覆岩厚度约10m，基岩裂隙水补给水量丰富（受长江水补给），隧道施工过程中突、涌水以及隧道在高水压力作用下导致大范围的隧道破损和渗漏水，图</w:t>
      </w:r>
      <w:r>
        <w:rPr>
          <w:rFonts w:hint="eastAsia" w:ascii="Times New Roman" w:hAnsi="Times New Roman" w:cs="Times New Roman"/>
          <w:kern w:val="2"/>
          <w:sz w:val="24"/>
          <w:szCs w:val="24"/>
          <w:lang w:val="en-US" w:eastAsia="zh-CN" w:bidi="en-US"/>
        </w:rPr>
        <w:t>2.4-1</w:t>
      </w:r>
      <w:r>
        <w:rPr>
          <w:rFonts w:hint="eastAsia" w:ascii="Times New Roman" w:hAnsi="Times New Roman" w:eastAsia="宋体" w:cs="Times New Roman"/>
          <w:kern w:val="2"/>
          <w:sz w:val="24"/>
          <w:szCs w:val="24"/>
          <w:lang w:val="en-US" w:eastAsia="zh-CN" w:bidi="en-US"/>
        </w:rPr>
        <w:t>研究区水文单元划分示意图。</w:t>
      </w:r>
    </w:p>
    <w:p>
      <w:pPr>
        <w:widowControl w:val="0"/>
        <w:spacing w:line="360" w:lineRule="auto"/>
        <w:ind w:firstLine="0" w:firstLineChars="0"/>
        <w:jc w:val="both"/>
        <w:rPr>
          <w:rFonts w:hint="eastAsia" w:ascii="宋体" w:hAnsi="宋体" w:cs="宋体"/>
          <w:b/>
          <w:bCs/>
          <w:kern w:val="2"/>
          <w:szCs w:val="24"/>
          <w:lang w:val="zh-CN" w:eastAsia="zh-CN" w:bidi="ar-SA"/>
        </w:rPr>
      </w:pPr>
      <w:r>
        <w:rPr>
          <w:rFonts w:hint="default" w:ascii="Times New Roman" w:hAnsi="Times New Roman" w:cs="Times New Roman"/>
          <w:kern w:val="2"/>
          <w:sz w:val="24"/>
          <w:szCs w:val="24"/>
          <w:lang w:val="en-US" w:eastAsia="zh-CN" w:bidi="en-US"/>
        </w:rPr>
        <w:drawing>
          <wp:inline distT="0" distB="0" distL="114300" distR="114300">
            <wp:extent cx="5886450" cy="1499870"/>
            <wp:effectExtent l="0" t="0" r="11430" b="8890"/>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16"/>
                    <a:stretch>
                      <a:fillRect/>
                    </a:stretch>
                  </pic:blipFill>
                  <pic:spPr>
                    <a:xfrm>
                      <a:off x="0" y="0"/>
                      <a:ext cx="5886450" cy="1499870"/>
                    </a:xfrm>
                    <a:prstGeom prst="rect">
                      <a:avLst/>
                    </a:prstGeom>
                  </pic:spPr>
                </pic:pic>
              </a:graphicData>
            </a:graphic>
          </wp:inline>
        </w:drawing>
      </w:r>
      <w:r>
        <w:rPr>
          <w:rFonts w:hint="eastAsia" w:ascii="Times New Roman" w:hAnsi="Times New Roman" w:cs="Times New Roman"/>
          <w:kern w:val="2"/>
          <w:sz w:val="24"/>
          <w:szCs w:val="24"/>
          <w:lang w:val="en-US" w:eastAsia="zh-CN" w:bidi="en-US"/>
        </w:rPr>
        <w:t xml:space="preserve">                 </w:t>
      </w:r>
      <w:r>
        <w:rPr>
          <w:rFonts w:hint="eastAsia" w:ascii="宋体" w:hAnsi="宋体" w:cs="宋体"/>
          <w:b/>
          <w:bCs/>
          <w:kern w:val="2"/>
          <w:szCs w:val="24"/>
          <w:lang w:val="zh-CN" w:eastAsia="zh-CN" w:bidi="ar-SA"/>
        </w:rPr>
        <w:t>图</w:t>
      </w:r>
      <w:r>
        <w:rPr>
          <w:rFonts w:hint="eastAsia" w:hAnsi="宋体" w:cs="宋体"/>
          <w:b/>
          <w:bCs/>
          <w:kern w:val="2"/>
          <w:szCs w:val="24"/>
          <w:lang w:val="en-US" w:eastAsia="zh-CN" w:bidi="ar-SA"/>
        </w:rPr>
        <w:t>2.4</w:t>
      </w:r>
      <w:r>
        <w:rPr>
          <w:rFonts w:hint="eastAsia" w:ascii="宋体" w:hAnsi="宋体" w:cs="宋体"/>
          <w:b/>
          <w:bCs/>
          <w:kern w:val="2"/>
          <w:szCs w:val="24"/>
          <w:lang w:val="zh-CN" w:eastAsia="zh-CN" w:bidi="ar-SA"/>
        </w:rPr>
        <w:t>-</w:t>
      </w:r>
      <w:r>
        <w:rPr>
          <w:rFonts w:hint="eastAsia" w:hAnsi="宋体" w:cs="宋体"/>
          <w:b/>
          <w:bCs/>
          <w:kern w:val="2"/>
          <w:szCs w:val="24"/>
          <w:lang w:val="en-US" w:eastAsia="zh-CN" w:bidi="ar-SA"/>
        </w:rPr>
        <w:t>1</w:t>
      </w:r>
      <w:r>
        <w:rPr>
          <w:rFonts w:hint="eastAsia" w:ascii="宋体" w:hAnsi="宋体" w:cs="宋体"/>
          <w:b/>
          <w:bCs/>
          <w:kern w:val="2"/>
          <w:szCs w:val="24"/>
          <w:lang w:val="zh-CN" w:eastAsia="zh-CN" w:bidi="ar-SA"/>
        </w:rPr>
        <w:t>研究区水文单元划分示意图</w:t>
      </w:r>
    </w:p>
    <w:p>
      <w:pPr>
        <w:pStyle w:val="5"/>
        <w:bidi w:val="0"/>
        <w:spacing w:line="360" w:lineRule="auto"/>
        <w:rPr>
          <w:rFonts w:hint="eastAsia"/>
          <w:lang w:val="en-US" w:eastAsia="zh-CN"/>
        </w:rPr>
      </w:pPr>
      <w:bookmarkStart w:id="70" w:name="_Toc25729"/>
      <w:bookmarkStart w:id="71" w:name="_Toc11981"/>
      <w:bookmarkStart w:id="72" w:name="_Toc11514"/>
      <w:bookmarkStart w:id="73" w:name="_Toc28656"/>
      <w:bookmarkStart w:id="74" w:name="_Toc133248742"/>
      <w:bookmarkStart w:id="75" w:name="_Toc12301"/>
      <w:r>
        <w:rPr>
          <w:rFonts w:hint="eastAsia"/>
          <w:lang w:val="en-US" w:eastAsia="zh-CN"/>
        </w:rPr>
        <w:t>2.5地层岩性</w:t>
      </w:r>
      <w:bookmarkEnd w:id="70"/>
      <w:bookmarkEnd w:id="71"/>
      <w:bookmarkEnd w:id="72"/>
      <w:bookmarkEnd w:id="73"/>
      <w:bookmarkEnd w:id="74"/>
      <w:bookmarkEnd w:id="75"/>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盾构隧道洞身大部分位于侏罗系泥岩夹砂岩地层。泥岩：为灰黄色页岩，紫红色、棕褐色、灰紫色、紫灰色、深灰色、黑灰色，夹较多的灰绿色条带及斑块，裂隙被方解石脉，砂泥间没有明显的界线，互相交杂，较多砂质条纹，主要矿物成分为粘土矿物，薄层状构造为主，岩芯较破碎，裂隙少，质软，以长柱状为主，敲击声闷，易碎，泥质结构，泥质、钙质胶结，小刀易刻画。泥岩岩质软，遇水后易风化崩解，最大饱和抗压强度5.91MPa；砂岩最大饱和抗压强度35.5MPa。</w:t>
      </w:r>
    </w:p>
    <w:p>
      <w:pPr>
        <w:pStyle w:val="83"/>
        <w:widowControl w:val="0"/>
        <w:spacing w:line="360" w:lineRule="auto"/>
        <w:ind w:firstLine="0" w:firstLineChars="0"/>
        <w:rPr>
          <w:rFonts w:hint="eastAsia" w:cs="宋体"/>
          <w:bCs/>
          <w:snapToGrid/>
          <w:spacing w:val="0"/>
          <w:kern w:val="2"/>
          <w:szCs w:val="24"/>
          <w:lang w:eastAsia="zh-CN" w:bidi="ar-SA"/>
        </w:rPr>
      </w:pPr>
      <w:r>
        <w:rPr>
          <w:rFonts w:hint="eastAsia" w:cs="宋体"/>
          <w:bCs/>
          <w:snapToGrid/>
          <w:spacing w:val="0"/>
          <w:kern w:val="2"/>
          <w:szCs w:val="24"/>
          <w:lang w:val="en-US" w:eastAsia="zh-CN" w:bidi="ar-SA"/>
        </w:rPr>
        <w:t>表2.5-1</w:t>
      </w:r>
      <w:r>
        <w:rPr>
          <w:rFonts w:hint="eastAsia" w:cs="宋体"/>
          <w:bCs/>
          <w:snapToGrid/>
          <w:spacing w:val="0"/>
          <w:kern w:val="2"/>
          <w:szCs w:val="24"/>
          <w:lang w:eastAsia="zh-CN" w:bidi="ar-SA"/>
        </w:rPr>
        <w:t>围岩等级分布情况统计</w:t>
      </w:r>
    </w:p>
    <w:tbl>
      <w:tblPr>
        <w:tblStyle w:val="30"/>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778"/>
        <w:gridCol w:w="1487"/>
        <w:gridCol w:w="1487"/>
        <w:gridCol w:w="1487"/>
        <w:gridCol w:w="2628"/>
        <w:gridCol w:w="151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0"/>
              <w:spacing w:line="360" w:lineRule="auto"/>
            </w:pPr>
            <w:r>
              <w:t>序号</w:t>
            </w:r>
          </w:p>
        </w:tc>
        <w:tc>
          <w:tcPr>
            <w:tcW w:w="792" w:type="pct"/>
            <w:shd w:val="clear" w:color="auto" w:fill="auto"/>
            <w:tcMar>
              <w:top w:w="15" w:type="dxa"/>
              <w:left w:w="15" w:type="dxa"/>
              <w:bottom w:w="0" w:type="dxa"/>
              <w:right w:w="15" w:type="dxa"/>
            </w:tcMar>
            <w:vAlign w:val="center"/>
          </w:tcPr>
          <w:p>
            <w:pPr>
              <w:pStyle w:val="80"/>
              <w:spacing w:line="360" w:lineRule="auto"/>
            </w:pPr>
            <w:r>
              <w:t>起始里程</w:t>
            </w:r>
          </w:p>
        </w:tc>
        <w:tc>
          <w:tcPr>
            <w:tcW w:w="792" w:type="pct"/>
            <w:shd w:val="clear" w:color="auto" w:fill="auto"/>
            <w:tcMar>
              <w:top w:w="15" w:type="dxa"/>
              <w:left w:w="15" w:type="dxa"/>
              <w:bottom w:w="0" w:type="dxa"/>
              <w:right w:w="15" w:type="dxa"/>
            </w:tcMar>
            <w:vAlign w:val="center"/>
          </w:tcPr>
          <w:p>
            <w:pPr>
              <w:pStyle w:val="80"/>
              <w:spacing w:line="360" w:lineRule="auto"/>
            </w:pPr>
            <w:r>
              <w:t>结束里程</w:t>
            </w:r>
          </w:p>
        </w:tc>
        <w:tc>
          <w:tcPr>
            <w:tcW w:w="792" w:type="pct"/>
            <w:shd w:val="clear" w:color="auto" w:fill="auto"/>
            <w:tcMar>
              <w:top w:w="15" w:type="dxa"/>
              <w:left w:w="15" w:type="dxa"/>
              <w:bottom w:w="0" w:type="dxa"/>
              <w:right w:w="15" w:type="dxa"/>
            </w:tcMar>
            <w:vAlign w:val="center"/>
          </w:tcPr>
          <w:p>
            <w:pPr>
              <w:pStyle w:val="80"/>
              <w:spacing w:line="360" w:lineRule="auto"/>
            </w:pPr>
            <w:r>
              <w:t>围岩等级</w:t>
            </w:r>
          </w:p>
        </w:tc>
        <w:tc>
          <w:tcPr>
            <w:tcW w:w="1400" w:type="pct"/>
            <w:shd w:val="clear" w:color="auto" w:fill="auto"/>
            <w:tcMar>
              <w:top w:w="15" w:type="dxa"/>
              <w:left w:w="15" w:type="dxa"/>
              <w:bottom w:w="0" w:type="dxa"/>
              <w:right w:w="15" w:type="dxa"/>
            </w:tcMar>
            <w:vAlign w:val="center"/>
          </w:tcPr>
          <w:p>
            <w:pPr>
              <w:pStyle w:val="80"/>
              <w:spacing w:line="360" w:lineRule="auto"/>
            </w:pPr>
            <w:r>
              <w:t>围岩范围长度（m）</w:t>
            </w:r>
          </w:p>
        </w:tc>
        <w:tc>
          <w:tcPr>
            <w:tcW w:w="809" w:type="pct"/>
            <w:shd w:val="clear" w:color="auto" w:fill="auto"/>
            <w:tcMar>
              <w:top w:w="15" w:type="dxa"/>
              <w:left w:w="15" w:type="dxa"/>
              <w:bottom w:w="0" w:type="dxa"/>
              <w:right w:w="15" w:type="dxa"/>
            </w:tcMar>
            <w:vAlign w:val="center"/>
          </w:tcPr>
          <w:p>
            <w:pPr>
              <w:pStyle w:val="80"/>
              <w:spacing w:line="360" w:lineRule="auto"/>
            </w:pPr>
            <w:r>
              <w:t>备注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0"/>
              <w:spacing w:line="360" w:lineRule="auto"/>
            </w:pPr>
            <w:r>
              <w:t>1</w:t>
            </w:r>
          </w:p>
        </w:tc>
        <w:tc>
          <w:tcPr>
            <w:tcW w:w="792" w:type="pct"/>
            <w:shd w:val="clear" w:color="auto" w:fill="auto"/>
            <w:tcMar>
              <w:top w:w="15" w:type="dxa"/>
              <w:left w:w="15" w:type="dxa"/>
              <w:bottom w:w="0" w:type="dxa"/>
              <w:right w:w="15" w:type="dxa"/>
            </w:tcMar>
            <w:vAlign w:val="center"/>
          </w:tcPr>
          <w:p>
            <w:pPr>
              <w:pStyle w:val="80"/>
              <w:spacing w:line="360" w:lineRule="auto"/>
            </w:pPr>
            <w:r>
              <w:t>DK3+765</w:t>
            </w:r>
          </w:p>
        </w:tc>
        <w:tc>
          <w:tcPr>
            <w:tcW w:w="792" w:type="pct"/>
            <w:shd w:val="clear" w:color="auto" w:fill="auto"/>
            <w:tcMar>
              <w:top w:w="15" w:type="dxa"/>
              <w:left w:w="15" w:type="dxa"/>
              <w:bottom w:w="0" w:type="dxa"/>
              <w:right w:w="15" w:type="dxa"/>
            </w:tcMar>
            <w:vAlign w:val="center"/>
          </w:tcPr>
          <w:p>
            <w:pPr>
              <w:pStyle w:val="80"/>
              <w:spacing w:line="360" w:lineRule="auto"/>
            </w:pPr>
            <w:r>
              <w:t>DK3+805</w:t>
            </w:r>
          </w:p>
        </w:tc>
        <w:tc>
          <w:tcPr>
            <w:tcW w:w="792" w:type="pct"/>
            <w:shd w:val="clear" w:color="auto" w:fill="auto"/>
            <w:tcMar>
              <w:top w:w="15" w:type="dxa"/>
              <w:left w:w="15" w:type="dxa"/>
              <w:bottom w:w="0" w:type="dxa"/>
              <w:right w:w="15" w:type="dxa"/>
            </w:tcMar>
            <w:vAlign w:val="center"/>
          </w:tcPr>
          <w:p>
            <w:pPr>
              <w:pStyle w:val="80"/>
              <w:spacing w:line="360" w:lineRule="auto"/>
            </w:pPr>
            <w:r>
              <w:t>Ⅳ</w:t>
            </w:r>
          </w:p>
        </w:tc>
        <w:tc>
          <w:tcPr>
            <w:tcW w:w="1400" w:type="pct"/>
            <w:shd w:val="clear" w:color="auto" w:fill="auto"/>
            <w:tcMar>
              <w:top w:w="15" w:type="dxa"/>
              <w:left w:w="15" w:type="dxa"/>
              <w:bottom w:w="0" w:type="dxa"/>
              <w:right w:w="15" w:type="dxa"/>
            </w:tcMar>
            <w:vAlign w:val="center"/>
          </w:tcPr>
          <w:p>
            <w:pPr>
              <w:pStyle w:val="80"/>
              <w:spacing w:line="360" w:lineRule="auto"/>
            </w:pPr>
            <w:r>
              <w:t>40</w:t>
            </w:r>
          </w:p>
        </w:tc>
        <w:tc>
          <w:tcPr>
            <w:tcW w:w="809" w:type="pct"/>
            <w:shd w:val="clear" w:color="auto" w:fill="auto"/>
            <w:tcMar>
              <w:top w:w="15" w:type="dxa"/>
              <w:left w:w="15" w:type="dxa"/>
              <w:bottom w:w="0" w:type="dxa"/>
              <w:right w:w="15" w:type="dxa"/>
            </w:tcMar>
            <w:vAlign w:val="center"/>
          </w:tcPr>
          <w:p>
            <w:pPr>
              <w:pStyle w:val="80"/>
              <w:spacing w:line="360" w:lineRule="auto"/>
            </w:pPr>
            <w:r>
              <w:t>接收洞室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0"/>
              <w:spacing w:line="360" w:lineRule="auto"/>
            </w:pPr>
            <w:r>
              <w:t>2</w:t>
            </w:r>
          </w:p>
        </w:tc>
        <w:tc>
          <w:tcPr>
            <w:tcW w:w="792" w:type="pct"/>
            <w:shd w:val="clear" w:color="auto" w:fill="auto"/>
            <w:tcMar>
              <w:top w:w="15" w:type="dxa"/>
              <w:left w:w="15" w:type="dxa"/>
              <w:bottom w:w="0" w:type="dxa"/>
              <w:right w:w="15" w:type="dxa"/>
            </w:tcMar>
            <w:vAlign w:val="center"/>
          </w:tcPr>
          <w:p>
            <w:pPr>
              <w:pStyle w:val="80"/>
              <w:spacing w:line="360" w:lineRule="auto"/>
            </w:pPr>
            <w:r>
              <w:t>DK3+805</w:t>
            </w:r>
          </w:p>
        </w:tc>
        <w:tc>
          <w:tcPr>
            <w:tcW w:w="792" w:type="pct"/>
            <w:shd w:val="clear" w:color="auto" w:fill="auto"/>
            <w:tcMar>
              <w:top w:w="15" w:type="dxa"/>
              <w:left w:w="15" w:type="dxa"/>
              <w:bottom w:w="0" w:type="dxa"/>
              <w:right w:w="15" w:type="dxa"/>
            </w:tcMar>
            <w:vAlign w:val="center"/>
          </w:tcPr>
          <w:p>
            <w:pPr>
              <w:pStyle w:val="80"/>
              <w:spacing w:line="360" w:lineRule="auto"/>
            </w:pPr>
            <w:r>
              <w:t>DK4+863</w:t>
            </w:r>
          </w:p>
        </w:tc>
        <w:tc>
          <w:tcPr>
            <w:tcW w:w="792" w:type="pct"/>
            <w:shd w:val="clear" w:color="auto" w:fill="auto"/>
            <w:tcMar>
              <w:top w:w="15" w:type="dxa"/>
              <w:left w:w="15" w:type="dxa"/>
              <w:bottom w:w="0" w:type="dxa"/>
              <w:right w:w="15" w:type="dxa"/>
            </w:tcMar>
            <w:vAlign w:val="center"/>
          </w:tcPr>
          <w:p>
            <w:pPr>
              <w:pStyle w:val="80"/>
              <w:spacing w:line="360" w:lineRule="auto"/>
            </w:pPr>
            <w:r>
              <w:t>Ⅳ</w:t>
            </w:r>
          </w:p>
        </w:tc>
        <w:tc>
          <w:tcPr>
            <w:tcW w:w="1400" w:type="pct"/>
            <w:shd w:val="clear" w:color="auto" w:fill="auto"/>
            <w:tcMar>
              <w:top w:w="15" w:type="dxa"/>
              <w:left w:w="15" w:type="dxa"/>
              <w:bottom w:w="0" w:type="dxa"/>
              <w:right w:w="15" w:type="dxa"/>
            </w:tcMar>
            <w:vAlign w:val="center"/>
          </w:tcPr>
          <w:p>
            <w:pPr>
              <w:pStyle w:val="80"/>
              <w:spacing w:line="360" w:lineRule="auto"/>
            </w:pPr>
            <w:r>
              <w:t>1058</w:t>
            </w:r>
          </w:p>
        </w:tc>
        <w:tc>
          <w:tcPr>
            <w:tcW w:w="809" w:type="pct"/>
            <w:shd w:val="clear" w:color="auto" w:fill="auto"/>
            <w:tcMar>
              <w:top w:w="15" w:type="dxa"/>
              <w:left w:w="15" w:type="dxa"/>
              <w:bottom w:w="0" w:type="dxa"/>
              <w:right w:w="15" w:type="dxa"/>
            </w:tcMar>
            <w:vAlign w:val="center"/>
          </w:tcPr>
          <w:p>
            <w:pPr>
              <w:pStyle w:val="80"/>
              <w:spacing w:line="360" w:lineRule="auto"/>
            </w:pPr>
            <w:r>
              <w:t>陆域段</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0"/>
              <w:spacing w:line="360" w:lineRule="auto"/>
            </w:pPr>
            <w:r>
              <w:t>3</w:t>
            </w:r>
          </w:p>
        </w:tc>
        <w:tc>
          <w:tcPr>
            <w:tcW w:w="792" w:type="pct"/>
            <w:shd w:val="clear" w:color="auto" w:fill="auto"/>
            <w:tcMar>
              <w:top w:w="15" w:type="dxa"/>
              <w:left w:w="15" w:type="dxa"/>
              <w:bottom w:w="0" w:type="dxa"/>
              <w:right w:w="15" w:type="dxa"/>
            </w:tcMar>
            <w:vAlign w:val="center"/>
          </w:tcPr>
          <w:p>
            <w:pPr>
              <w:pStyle w:val="80"/>
              <w:spacing w:line="360" w:lineRule="auto"/>
            </w:pPr>
            <w:r>
              <w:t>DK4+863</w:t>
            </w:r>
          </w:p>
        </w:tc>
        <w:tc>
          <w:tcPr>
            <w:tcW w:w="792" w:type="pct"/>
            <w:shd w:val="clear" w:color="auto" w:fill="auto"/>
            <w:tcMar>
              <w:top w:w="15" w:type="dxa"/>
              <w:left w:w="15" w:type="dxa"/>
              <w:bottom w:w="0" w:type="dxa"/>
              <w:right w:w="15" w:type="dxa"/>
            </w:tcMar>
            <w:vAlign w:val="center"/>
          </w:tcPr>
          <w:p>
            <w:pPr>
              <w:pStyle w:val="80"/>
              <w:spacing w:line="360" w:lineRule="auto"/>
            </w:pPr>
            <w:r>
              <w:t>DK4+890</w:t>
            </w:r>
          </w:p>
        </w:tc>
        <w:tc>
          <w:tcPr>
            <w:tcW w:w="792" w:type="pct"/>
            <w:shd w:val="clear" w:color="auto" w:fill="auto"/>
            <w:tcMar>
              <w:top w:w="15" w:type="dxa"/>
              <w:left w:w="15" w:type="dxa"/>
              <w:bottom w:w="0" w:type="dxa"/>
              <w:right w:w="15" w:type="dxa"/>
            </w:tcMar>
            <w:vAlign w:val="center"/>
          </w:tcPr>
          <w:p>
            <w:pPr>
              <w:pStyle w:val="80"/>
              <w:spacing w:line="360" w:lineRule="auto"/>
            </w:pPr>
            <w:r>
              <w:t>Ⅴ</w:t>
            </w:r>
          </w:p>
        </w:tc>
        <w:tc>
          <w:tcPr>
            <w:tcW w:w="1400" w:type="pct"/>
            <w:shd w:val="clear" w:color="auto" w:fill="auto"/>
            <w:tcMar>
              <w:top w:w="15" w:type="dxa"/>
              <w:left w:w="15" w:type="dxa"/>
              <w:bottom w:w="0" w:type="dxa"/>
              <w:right w:w="15" w:type="dxa"/>
            </w:tcMar>
            <w:vAlign w:val="center"/>
          </w:tcPr>
          <w:p>
            <w:pPr>
              <w:pStyle w:val="80"/>
              <w:spacing w:line="360" w:lineRule="auto"/>
            </w:pPr>
            <w:r>
              <w:t>27</w:t>
            </w:r>
          </w:p>
        </w:tc>
        <w:tc>
          <w:tcPr>
            <w:tcW w:w="809" w:type="pct"/>
            <w:shd w:val="clear" w:color="auto" w:fill="auto"/>
            <w:tcMar>
              <w:top w:w="15" w:type="dxa"/>
              <w:left w:w="15" w:type="dxa"/>
              <w:bottom w:w="0" w:type="dxa"/>
              <w:right w:w="15" w:type="dxa"/>
            </w:tcMar>
            <w:vAlign w:val="center"/>
          </w:tcPr>
          <w:p>
            <w:pPr>
              <w:pStyle w:val="80"/>
              <w:spacing w:line="360" w:lineRule="auto"/>
            </w:pPr>
            <w:r>
              <w:t>陆域段</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0"/>
              <w:spacing w:line="360" w:lineRule="auto"/>
            </w:pPr>
            <w:r>
              <w:t>4</w:t>
            </w:r>
          </w:p>
        </w:tc>
        <w:tc>
          <w:tcPr>
            <w:tcW w:w="792" w:type="pct"/>
            <w:shd w:val="clear" w:color="auto" w:fill="auto"/>
            <w:tcMar>
              <w:top w:w="15" w:type="dxa"/>
              <w:left w:w="15" w:type="dxa"/>
              <w:bottom w:w="0" w:type="dxa"/>
              <w:right w:w="15" w:type="dxa"/>
            </w:tcMar>
            <w:vAlign w:val="center"/>
          </w:tcPr>
          <w:p>
            <w:pPr>
              <w:pStyle w:val="80"/>
              <w:spacing w:line="360" w:lineRule="auto"/>
            </w:pPr>
            <w:r>
              <w:t>DK4+890</w:t>
            </w:r>
          </w:p>
        </w:tc>
        <w:tc>
          <w:tcPr>
            <w:tcW w:w="792" w:type="pct"/>
            <w:shd w:val="clear" w:color="auto" w:fill="auto"/>
            <w:tcMar>
              <w:top w:w="15" w:type="dxa"/>
              <w:left w:w="15" w:type="dxa"/>
              <w:bottom w:w="0" w:type="dxa"/>
              <w:right w:w="15" w:type="dxa"/>
            </w:tcMar>
            <w:vAlign w:val="center"/>
          </w:tcPr>
          <w:p>
            <w:pPr>
              <w:pStyle w:val="80"/>
              <w:spacing w:line="360" w:lineRule="auto"/>
            </w:pPr>
            <w:r>
              <w:t>DK6+172</w:t>
            </w:r>
          </w:p>
        </w:tc>
        <w:tc>
          <w:tcPr>
            <w:tcW w:w="792" w:type="pct"/>
            <w:shd w:val="clear" w:color="auto" w:fill="auto"/>
            <w:tcMar>
              <w:top w:w="15" w:type="dxa"/>
              <w:left w:w="15" w:type="dxa"/>
              <w:bottom w:w="0" w:type="dxa"/>
              <w:right w:w="15" w:type="dxa"/>
            </w:tcMar>
            <w:vAlign w:val="center"/>
          </w:tcPr>
          <w:p>
            <w:pPr>
              <w:pStyle w:val="80"/>
              <w:spacing w:line="360" w:lineRule="auto"/>
            </w:pPr>
            <w:r>
              <w:t>Ⅴ</w:t>
            </w:r>
          </w:p>
        </w:tc>
        <w:tc>
          <w:tcPr>
            <w:tcW w:w="1400" w:type="pct"/>
            <w:shd w:val="clear" w:color="auto" w:fill="auto"/>
            <w:tcMar>
              <w:top w:w="15" w:type="dxa"/>
              <w:left w:w="15" w:type="dxa"/>
              <w:bottom w:w="0" w:type="dxa"/>
              <w:right w:w="15" w:type="dxa"/>
            </w:tcMar>
            <w:vAlign w:val="center"/>
          </w:tcPr>
          <w:p>
            <w:pPr>
              <w:pStyle w:val="80"/>
              <w:spacing w:line="360" w:lineRule="auto"/>
            </w:pPr>
            <w:r>
              <w:t>1282</w:t>
            </w:r>
          </w:p>
        </w:tc>
        <w:tc>
          <w:tcPr>
            <w:tcW w:w="809" w:type="pct"/>
            <w:shd w:val="clear" w:color="auto" w:fill="auto"/>
            <w:tcMar>
              <w:top w:w="15" w:type="dxa"/>
              <w:left w:w="15" w:type="dxa"/>
              <w:bottom w:w="0" w:type="dxa"/>
              <w:right w:w="15" w:type="dxa"/>
            </w:tcMar>
            <w:vAlign w:val="center"/>
          </w:tcPr>
          <w:p>
            <w:pPr>
              <w:pStyle w:val="80"/>
              <w:spacing w:line="360" w:lineRule="auto"/>
            </w:pPr>
            <w:r>
              <w:t>下穿长江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0"/>
              <w:spacing w:line="360" w:lineRule="auto"/>
            </w:pPr>
            <w:r>
              <w:t>5</w:t>
            </w:r>
          </w:p>
        </w:tc>
        <w:tc>
          <w:tcPr>
            <w:tcW w:w="792" w:type="pct"/>
            <w:shd w:val="clear" w:color="auto" w:fill="auto"/>
            <w:tcMar>
              <w:top w:w="15" w:type="dxa"/>
              <w:left w:w="15" w:type="dxa"/>
              <w:bottom w:w="0" w:type="dxa"/>
              <w:right w:w="15" w:type="dxa"/>
            </w:tcMar>
            <w:vAlign w:val="center"/>
          </w:tcPr>
          <w:p>
            <w:pPr>
              <w:pStyle w:val="80"/>
              <w:spacing w:line="360" w:lineRule="auto"/>
            </w:pPr>
            <w:r>
              <w:t>DK6+172</w:t>
            </w:r>
          </w:p>
        </w:tc>
        <w:tc>
          <w:tcPr>
            <w:tcW w:w="792" w:type="pct"/>
            <w:shd w:val="clear" w:color="auto" w:fill="auto"/>
            <w:tcMar>
              <w:top w:w="15" w:type="dxa"/>
              <w:left w:w="15" w:type="dxa"/>
              <w:bottom w:w="0" w:type="dxa"/>
              <w:right w:w="15" w:type="dxa"/>
            </w:tcMar>
            <w:vAlign w:val="center"/>
          </w:tcPr>
          <w:p>
            <w:pPr>
              <w:pStyle w:val="80"/>
              <w:spacing w:line="360" w:lineRule="auto"/>
            </w:pPr>
            <w:r>
              <w:t>DK7+650</w:t>
            </w:r>
          </w:p>
        </w:tc>
        <w:tc>
          <w:tcPr>
            <w:tcW w:w="792" w:type="pct"/>
            <w:shd w:val="clear" w:color="auto" w:fill="auto"/>
            <w:tcMar>
              <w:top w:w="15" w:type="dxa"/>
              <w:left w:w="15" w:type="dxa"/>
              <w:bottom w:w="0" w:type="dxa"/>
              <w:right w:w="15" w:type="dxa"/>
            </w:tcMar>
            <w:vAlign w:val="center"/>
          </w:tcPr>
          <w:p>
            <w:pPr>
              <w:pStyle w:val="80"/>
              <w:spacing w:line="360" w:lineRule="auto"/>
            </w:pPr>
            <w:r>
              <w:t>Ⅳ</w:t>
            </w:r>
          </w:p>
        </w:tc>
        <w:tc>
          <w:tcPr>
            <w:tcW w:w="1400" w:type="pct"/>
            <w:shd w:val="clear" w:color="auto" w:fill="auto"/>
            <w:tcMar>
              <w:top w:w="15" w:type="dxa"/>
              <w:left w:w="15" w:type="dxa"/>
              <w:bottom w:w="0" w:type="dxa"/>
              <w:right w:w="15" w:type="dxa"/>
            </w:tcMar>
            <w:vAlign w:val="center"/>
          </w:tcPr>
          <w:p>
            <w:pPr>
              <w:pStyle w:val="80"/>
              <w:spacing w:line="360" w:lineRule="auto"/>
            </w:pPr>
            <w:r>
              <w:t>1478</w:t>
            </w:r>
          </w:p>
        </w:tc>
        <w:tc>
          <w:tcPr>
            <w:tcW w:w="809" w:type="pct"/>
            <w:shd w:val="clear" w:color="auto" w:fill="auto"/>
            <w:tcMar>
              <w:top w:w="15" w:type="dxa"/>
              <w:left w:w="15" w:type="dxa"/>
              <w:bottom w:w="0" w:type="dxa"/>
              <w:right w:w="15" w:type="dxa"/>
            </w:tcMar>
            <w:vAlign w:val="center"/>
          </w:tcPr>
          <w:p>
            <w:pPr>
              <w:pStyle w:val="80"/>
              <w:spacing w:line="360" w:lineRule="auto"/>
            </w:pPr>
            <w:r>
              <w:t>陆域段</w:t>
            </w:r>
          </w:p>
        </w:tc>
      </w:tr>
    </w:tbl>
    <w:p>
      <w:pPr>
        <w:pStyle w:val="5"/>
        <w:bidi w:val="0"/>
        <w:spacing w:line="360" w:lineRule="auto"/>
        <w:rPr>
          <w:rFonts w:hint="eastAsia"/>
          <w:lang w:val="en-US" w:eastAsia="zh-CN"/>
        </w:rPr>
      </w:pPr>
      <w:bookmarkStart w:id="76" w:name="_Toc21559"/>
      <w:bookmarkStart w:id="77" w:name="_Toc133248743"/>
      <w:bookmarkStart w:id="78" w:name="_Toc32402"/>
      <w:bookmarkStart w:id="79" w:name="_Toc20330"/>
      <w:bookmarkStart w:id="80" w:name="_Toc21794"/>
      <w:bookmarkStart w:id="81" w:name="_Toc10688"/>
      <w:r>
        <w:rPr>
          <w:rFonts w:hint="eastAsia"/>
          <w:lang w:val="en-US" w:eastAsia="zh-CN"/>
        </w:rPr>
        <w:t>2.6不良地质</w:t>
      </w:r>
      <w:bookmarkEnd w:id="76"/>
      <w:bookmarkEnd w:id="77"/>
      <w:bookmarkEnd w:id="78"/>
      <w:bookmarkEnd w:id="79"/>
      <w:bookmarkEnd w:id="80"/>
      <w:bookmarkEnd w:id="81"/>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隧道长江段存在节理裂隙发育，围岩完整性较差，施工过程中存在拱顶坍塌的风险。裂隙带与长江河床内饱水卵石层联通，施工过程中发生涌水涌泥或江水倒灌的风险较高。</w:t>
      </w:r>
    </w:p>
    <w:p>
      <w:pPr>
        <w:pStyle w:val="5"/>
        <w:bidi w:val="0"/>
        <w:spacing w:line="360" w:lineRule="auto"/>
        <w:rPr>
          <w:rFonts w:hint="eastAsia"/>
          <w:lang w:val="en-US" w:eastAsia="zh-CN"/>
        </w:rPr>
      </w:pPr>
      <w:bookmarkStart w:id="82" w:name="_Toc178"/>
      <w:bookmarkStart w:id="83" w:name="_Toc23323"/>
      <w:bookmarkStart w:id="84" w:name="_Toc2933"/>
      <w:bookmarkStart w:id="85" w:name="_Toc133248744"/>
      <w:bookmarkStart w:id="86" w:name="_Toc18130"/>
      <w:bookmarkStart w:id="87" w:name="_Toc23074"/>
      <w:r>
        <w:rPr>
          <w:rFonts w:hint="eastAsia"/>
          <w:lang w:val="en-US" w:eastAsia="zh-CN"/>
        </w:rPr>
        <w:t>2.7环境地质</w:t>
      </w:r>
      <w:bookmarkEnd w:id="82"/>
      <w:bookmarkEnd w:id="83"/>
      <w:bookmarkEnd w:id="84"/>
      <w:bookmarkEnd w:id="85"/>
      <w:bookmarkEnd w:id="86"/>
      <w:bookmarkEnd w:id="87"/>
    </w:p>
    <w:p>
      <w:pPr>
        <w:pStyle w:val="67"/>
        <w:spacing w:line="360" w:lineRule="auto"/>
        <w:ind w:firstLine="480"/>
        <w:rPr>
          <w:rFonts w:hint="eastAsia"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该隧道部分穿越可溶岩段落，隧道施工对地表环境将产生较大的影响，将产生地表水的渗漏、疏干地下水并导致地表出现塌陷等环境问题。</w:t>
      </w:r>
    </w:p>
    <w:p>
      <w:pPr>
        <w:pStyle w:val="82"/>
        <w:bidi w:val="0"/>
        <w:spacing w:line="360" w:lineRule="auto"/>
        <w:rPr>
          <w:rFonts w:hint="eastAsia"/>
          <w:b/>
          <w:bCs w:val="0"/>
          <w:lang w:val="en-US" w:eastAsia="zh-CN"/>
        </w:rPr>
      </w:pPr>
      <w:bookmarkStart w:id="88" w:name="_Toc133248829"/>
      <w:bookmarkStart w:id="89" w:name="_Toc2658"/>
      <w:bookmarkStart w:id="90" w:name="_Toc634"/>
      <w:bookmarkStart w:id="91" w:name="_Toc13768"/>
      <w:bookmarkStart w:id="92" w:name="_Toc16950"/>
      <w:bookmarkStart w:id="93" w:name="_Toc80176184"/>
      <w:r>
        <w:rPr>
          <w:rFonts w:hint="eastAsia"/>
          <w:b/>
          <w:bCs w:val="0"/>
          <w:lang w:val="en-US" w:eastAsia="zh-CN"/>
        </w:rPr>
        <w:t>3 同步注浆</w:t>
      </w:r>
      <w:bookmarkEnd w:id="88"/>
      <w:bookmarkEnd w:id="89"/>
      <w:bookmarkEnd w:id="90"/>
      <w:bookmarkEnd w:id="91"/>
      <w:bookmarkEnd w:id="92"/>
      <w:bookmarkEnd w:id="93"/>
    </w:p>
    <w:p>
      <w:pPr>
        <w:numPr>
          <w:ilvl w:val="0"/>
          <w:numId w:val="1"/>
        </w:numPr>
        <w:spacing w:line="360" w:lineRule="auto"/>
        <w:ind w:firstLine="480"/>
        <w:rPr>
          <w:kern w:val="2"/>
          <w:lang w:eastAsia="zh-CN" w:bidi="ar-SA"/>
        </w:rPr>
      </w:pPr>
      <w:r>
        <w:rPr>
          <w:rFonts w:hint="eastAsia" w:ascii="Times New Roman" w:hAnsi="Times New Roman" w:cs="Times New Roman"/>
          <w:color w:val="000000"/>
        </w:rPr>
        <w:t>盾构机开挖直径与管片外径径相差为46cm，盾构掘进施工过程中，管片脱出盾尾后与刀盘开挖围岩轮廓间的空隙必然会引起地层沉降，盾构同步注浆是及时有效填充空隙的措施</w:t>
      </w:r>
      <w:r>
        <w:rPr>
          <w:rFonts w:hint="eastAsia" w:ascii="Times New Roman" w:hAnsi="Times New Roman" w:cs="Times New Roman"/>
          <w:color w:val="000000"/>
          <w:lang w:eastAsia="zh-CN"/>
        </w:rPr>
        <w:t>，</w:t>
      </w:r>
      <w:r>
        <w:rPr>
          <w:kern w:val="2"/>
          <w:lang w:eastAsia="zh-CN" w:bidi="ar-SA"/>
        </w:rPr>
        <w:t>盾构施工引起的地层损失和盾构隧道周围受扰动或受剪切破坏的重塑土的再固结以及地下水的渗透，是导致地表、建筑物以及管线沉降的重要原因。为了减少和防止沉降，在盾构掘进过程中，要尽快在脱出盾尾的衬砌管片背后同步注入足量的浆液材料充填盾尾环形建筑空隙。</w:t>
      </w:r>
    </w:p>
    <w:p>
      <w:pPr>
        <w:numPr>
          <w:ilvl w:val="0"/>
          <w:numId w:val="0"/>
        </w:numPr>
        <w:spacing w:line="360" w:lineRule="auto"/>
        <w:ind w:firstLine="480" w:firstLineChars="200"/>
        <w:rPr>
          <w:rFonts w:ascii="Times New Roman" w:hAnsi="Times New Roman" w:cs="Times New Roman"/>
          <w:color w:val="000000"/>
        </w:rPr>
      </w:pPr>
      <w:r>
        <w:rPr>
          <w:rFonts w:hint="eastAsia"/>
          <w:lang w:eastAsia="zh-CN"/>
        </w:rPr>
        <w:t>（</w:t>
      </w:r>
      <w:r>
        <w:rPr>
          <w:rFonts w:hint="eastAsia"/>
          <w:lang w:val="en-US" w:eastAsia="zh-CN"/>
        </w:rPr>
        <w:t>2）</w:t>
      </w:r>
      <w:r>
        <w:rPr>
          <w:rFonts w:hint="eastAsia"/>
          <w:lang w:eastAsia="zh-CN"/>
        </w:rPr>
        <w:t>分析研究地下盾构施工段地层结构，对隧道同步注浆的原材料进行比选及配合比进行优化设计，</w:t>
      </w:r>
      <w:r>
        <w:rPr>
          <w:rFonts w:hint="eastAsia" w:ascii="Times New Roman" w:hAnsi="Times New Roman" w:cs="Times New Roman"/>
          <w:color w:val="000000"/>
        </w:rPr>
        <w:t>根据以往盾构施工经验，结合本工程地层情况，同步注浆拟采用表</w:t>
      </w:r>
      <w:r>
        <w:rPr>
          <w:rFonts w:hint="eastAsia" w:ascii="Times New Roman" w:hAnsi="Times New Roman" w:cs="Times New Roman"/>
          <w:color w:val="000000"/>
          <w:lang w:val="en-US" w:eastAsia="zh-CN"/>
        </w:rPr>
        <w:t>3.1-1</w:t>
      </w:r>
      <w:r>
        <w:rPr>
          <w:rFonts w:hint="eastAsia" w:ascii="Times New Roman" w:hAnsi="Times New Roman" w:cs="Times New Roman"/>
          <w:color w:val="000000"/>
        </w:rPr>
        <w:t>所示的配合比</w:t>
      </w:r>
      <w:r>
        <w:rPr>
          <w:rFonts w:ascii="Times New Roman" w:hAnsi="Times New Roman" w:cs="Times New Roman"/>
          <w:color w:val="000000"/>
        </w:rPr>
        <w:t>。</w:t>
      </w:r>
    </w:p>
    <w:p>
      <w:pPr>
        <w:pStyle w:val="67"/>
        <w:numPr>
          <w:ilvl w:val="0"/>
          <w:numId w:val="0"/>
        </w:numPr>
        <w:spacing w:line="360" w:lineRule="auto"/>
        <w:ind w:firstLine="1680" w:firstLineChars="800"/>
        <w:rPr>
          <w:rFonts w:ascii="Times New Roman" w:hAnsi="Times New Roman" w:cs="Times New Roman"/>
          <w:color w:val="000000"/>
        </w:rPr>
      </w:pPr>
      <w:r>
        <w:rPr>
          <w:rFonts w:hint="eastAsia" w:ascii="Times New Roman" w:hAnsi="Times New Roman" w:cs="Times New Roman"/>
          <w:b/>
          <w:sz w:val="21"/>
          <w:lang w:val="en-US" w:eastAsia="zh-CN"/>
        </w:rPr>
        <w:t xml:space="preserve">      </w:t>
      </w:r>
      <w:r>
        <w:rPr>
          <w:rFonts w:ascii="Times New Roman" w:hAnsi="Times New Roman" w:cs="Times New Roman"/>
          <w:b/>
          <w:sz w:val="21"/>
        </w:rPr>
        <w:t>表</w:t>
      </w:r>
      <w:r>
        <w:rPr>
          <w:rFonts w:hint="eastAsia" w:ascii="Times New Roman" w:hAnsi="Times New Roman" w:cs="Times New Roman"/>
          <w:b/>
          <w:sz w:val="21"/>
          <w:lang w:val="en-US" w:eastAsia="zh-CN"/>
        </w:rPr>
        <w:t>3.1-1</w:t>
      </w:r>
      <w:r>
        <w:rPr>
          <w:rFonts w:ascii="Times New Roman" w:hAnsi="Times New Roman" w:cs="Times New Roman"/>
          <w:b/>
          <w:sz w:val="21"/>
        </w:rPr>
        <w:t>同步注浆材料初拟配合比</w:t>
      </w:r>
    </w:p>
    <w:tbl>
      <w:tblPr>
        <w:tblStyle w:val="30"/>
        <w:tblW w:w="9570" w:type="dxa"/>
        <w:jc w:val="center"/>
        <w:tblBorders>
          <w:top w:val="single" w:color="auto" w:sz="4" w:space="0"/>
          <w:left w:val="single" w:color="auto" w:sz="4" w:space="0"/>
          <w:bottom w:val="single" w:color="auto" w:sz="4" w:space="0"/>
          <w:right w:val="single" w:color="auto" w:sz="4" w:space="0"/>
          <w:insideH w:val="single" w:color="auto" w:sz="8" w:space="0"/>
          <w:insideV w:val="single" w:color="auto" w:sz="8" w:space="0"/>
        </w:tblBorders>
        <w:tblLayout w:type="fixed"/>
        <w:tblCellMar>
          <w:top w:w="0" w:type="dxa"/>
          <w:left w:w="108" w:type="dxa"/>
          <w:bottom w:w="0" w:type="dxa"/>
          <w:right w:w="108" w:type="dxa"/>
        </w:tblCellMar>
      </w:tblPr>
      <w:tblGrid>
        <w:gridCol w:w="722"/>
        <w:gridCol w:w="1169"/>
        <w:gridCol w:w="1403"/>
        <w:gridCol w:w="1592"/>
        <w:gridCol w:w="1250"/>
        <w:gridCol w:w="1365"/>
        <w:gridCol w:w="2069"/>
      </w:tblGrid>
      <w:tr>
        <w:tblPrEx>
          <w:tblBorders>
            <w:top w:val="single" w:color="auto" w:sz="4" w:space="0"/>
            <w:left w:val="single" w:color="auto" w:sz="4" w:space="0"/>
            <w:bottom w:val="single" w:color="auto" w:sz="4" w:space="0"/>
            <w:right w:val="single" w:color="auto" w:sz="4" w:space="0"/>
            <w:insideH w:val="single" w:color="auto" w:sz="8" w:space="0"/>
            <w:insideV w:val="single" w:color="auto" w:sz="8" w:space="0"/>
          </w:tblBorders>
          <w:tblCellMar>
            <w:top w:w="0" w:type="dxa"/>
            <w:left w:w="108" w:type="dxa"/>
            <w:bottom w:w="0" w:type="dxa"/>
            <w:right w:w="108" w:type="dxa"/>
          </w:tblCellMar>
        </w:tblPrEx>
        <w:trPr>
          <w:cantSplit/>
          <w:trHeight w:val="636" w:hRule="atLeast"/>
          <w:jc w:val="center"/>
        </w:trPr>
        <w:tc>
          <w:tcPr>
            <w:tcW w:w="722" w:type="dxa"/>
            <w:tcBorders>
              <w:bottom w:val="single" w:color="auto" w:sz="4" w:space="0"/>
              <w:right w:val="single" w:color="auto" w:sz="4" w:space="0"/>
            </w:tcBorders>
            <w:shd w:val="clear" w:color="auto" w:fill="auto"/>
            <w:vAlign w:val="center"/>
          </w:tcPr>
          <w:p>
            <w:pPr>
              <w:spacing w:line="360" w:lineRule="auto"/>
              <w:ind w:firstLine="0" w:firstLineChars="0"/>
              <w:jc w:val="center"/>
              <w:rPr>
                <w:sz w:val="21"/>
              </w:rPr>
            </w:pPr>
            <w:r>
              <w:rPr>
                <w:sz w:val="21"/>
              </w:rPr>
              <w:t>组别</w:t>
            </w:r>
          </w:p>
        </w:tc>
        <w:tc>
          <w:tcPr>
            <w:tcW w:w="1169" w:type="dxa"/>
            <w:tcBorders>
              <w:left w:val="single" w:color="auto" w:sz="4" w:space="0"/>
              <w:bottom w:val="single" w:color="auto" w:sz="4" w:space="0"/>
              <w:right w:val="single" w:color="auto" w:sz="4" w:space="0"/>
            </w:tcBorders>
            <w:shd w:val="clear" w:color="auto" w:fill="auto"/>
            <w:vAlign w:val="center"/>
          </w:tcPr>
          <w:p>
            <w:pPr>
              <w:spacing w:line="360" w:lineRule="auto"/>
              <w:ind w:firstLine="0" w:firstLineChars="0"/>
              <w:jc w:val="center"/>
              <w:rPr>
                <w:sz w:val="21"/>
              </w:rPr>
            </w:pPr>
            <w:r>
              <w:rPr>
                <w:sz w:val="21"/>
              </w:rPr>
              <w:t>水泥(kg)</w:t>
            </w:r>
          </w:p>
        </w:tc>
        <w:tc>
          <w:tcPr>
            <w:tcW w:w="1403" w:type="dxa"/>
            <w:tcBorders>
              <w:left w:val="single" w:color="auto" w:sz="4" w:space="0"/>
              <w:bottom w:val="single" w:color="auto" w:sz="4" w:space="0"/>
              <w:right w:val="single" w:color="auto" w:sz="4" w:space="0"/>
            </w:tcBorders>
            <w:shd w:val="clear" w:color="auto" w:fill="auto"/>
            <w:vAlign w:val="center"/>
          </w:tcPr>
          <w:p>
            <w:pPr>
              <w:spacing w:line="360" w:lineRule="auto"/>
              <w:ind w:firstLine="0" w:firstLineChars="0"/>
              <w:jc w:val="center"/>
              <w:rPr>
                <w:sz w:val="21"/>
              </w:rPr>
            </w:pPr>
            <w:r>
              <w:rPr>
                <w:sz w:val="21"/>
              </w:rPr>
              <w:t>粉煤灰(kg)</w:t>
            </w:r>
          </w:p>
        </w:tc>
        <w:tc>
          <w:tcPr>
            <w:tcW w:w="1592" w:type="dxa"/>
            <w:tcBorders>
              <w:left w:val="single" w:color="auto" w:sz="4" w:space="0"/>
              <w:bottom w:val="single" w:color="auto" w:sz="4" w:space="0"/>
              <w:right w:val="single" w:color="auto" w:sz="4" w:space="0"/>
            </w:tcBorders>
            <w:shd w:val="clear" w:color="auto" w:fill="auto"/>
            <w:vAlign w:val="center"/>
          </w:tcPr>
          <w:p>
            <w:pPr>
              <w:spacing w:line="360" w:lineRule="auto"/>
              <w:ind w:firstLine="0" w:firstLineChars="0"/>
              <w:jc w:val="center"/>
              <w:rPr>
                <w:sz w:val="21"/>
              </w:rPr>
            </w:pPr>
            <w:r>
              <w:rPr>
                <w:sz w:val="21"/>
              </w:rPr>
              <w:t>膨润土(kg)</w:t>
            </w:r>
          </w:p>
        </w:tc>
        <w:tc>
          <w:tcPr>
            <w:tcW w:w="1250" w:type="dxa"/>
            <w:tcBorders>
              <w:left w:val="single" w:color="auto" w:sz="4" w:space="0"/>
              <w:bottom w:val="single" w:color="auto" w:sz="4" w:space="0"/>
              <w:right w:val="single" w:color="auto" w:sz="4" w:space="0"/>
            </w:tcBorders>
            <w:shd w:val="clear" w:color="auto" w:fill="auto"/>
            <w:vAlign w:val="center"/>
          </w:tcPr>
          <w:p>
            <w:pPr>
              <w:spacing w:line="360" w:lineRule="auto"/>
              <w:ind w:firstLine="0" w:firstLineChars="0"/>
              <w:jc w:val="center"/>
              <w:rPr>
                <w:sz w:val="21"/>
              </w:rPr>
            </w:pPr>
            <w:r>
              <w:rPr>
                <w:sz w:val="21"/>
              </w:rPr>
              <w:t>砂(kg)</w:t>
            </w:r>
          </w:p>
        </w:tc>
        <w:tc>
          <w:tcPr>
            <w:tcW w:w="1365" w:type="dxa"/>
            <w:tcBorders>
              <w:left w:val="single" w:color="auto" w:sz="4" w:space="0"/>
              <w:bottom w:val="single" w:color="auto" w:sz="4" w:space="0"/>
              <w:right w:val="single" w:color="auto" w:sz="4" w:space="0"/>
            </w:tcBorders>
            <w:shd w:val="clear" w:color="auto" w:fill="auto"/>
            <w:vAlign w:val="center"/>
          </w:tcPr>
          <w:p>
            <w:pPr>
              <w:spacing w:line="360" w:lineRule="auto"/>
              <w:ind w:firstLine="0" w:firstLineChars="0"/>
              <w:jc w:val="center"/>
              <w:rPr>
                <w:sz w:val="21"/>
              </w:rPr>
            </w:pPr>
            <w:r>
              <w:rPr>
                <w:sz w:val="21"/>
              </w:rPr>
              <w:t>水(kg)</w:t>
            </w:r>
          </w:p>
        </w:tc>
        <w:tc>
          <w:tcPr>
            <w:tcW w:w="2069" w:type="dxa"/>
            <w:tcBorders>
              <w:left w:val="single" w:color="auto" w:sz="4" w:space="0"/>
              <w:bottom w:val="single" w:color="auto" w:sz="4" w:space="0"/>
            </w:tcBorders>
            <w:shd w:val="clear" w:color="auto" w:fill="auto"/>
            <w:vAlign w:val="center"/>
          </w:tcPr>
          <w:p>
            <w:pPr>
              <w:spacing w:line="360" w:lineRule="auto"/>
              <w:ind w:firstLine="0" w:firstLineChars="0"/>
              <w:jc w:val="center"/>
              <w:rPr>
                <w:sz w:val="21"/>
              </w:rPr>
            </w:pPr>
            <w:r>
              <w:rPr>
                <w:sz w:val="21"/>
              </w:rPr>
              <w:t>外加剂</w:t>
            </w:r>
          </w:p>
        </w:tc>
      </w:tr>
      <w:tr>
        <w:tblPrEx>
          <w:tblBorders>
            <w:top w:val="single" w:color="auto" w:sz="4" w:space="0"/>
            <w:left w:val="single" w:color="auto" w:sz="4" w:space="0"/>
            <w:bottom w:val="single" w:color="auto" w:sz="4" w:space="0"/>
            <w:right w:val="single" w:color="auto" w:sz="4" w:space="0"/>
            <w:insideH w:val="single" w:color="auto" w:sz="8" w:space="0"/>
            <w:insideV w:val="single" w:color="auto" w:sz="8" w:space="0"/>
          </w:tblBorders>
          <w:tblCellMar>
            <w:top w:w="0" w:type="dxa"/>
            <w:left w:w="108" w:type="dxa"/>
            <w:bottom w:w="0" w:type="dxa"/>
            <w:right w:w="108" w:type="dxa"/>
          </w:tblCellMar>
        </w:tblPrEx>
        <w:trPr>
          <w:cantSplit/>
          <w:trHeight w:val="402" w:hRule="atLeast"/>
          <w:jc w:val="center"/>
        </w:trPr>
        <w:tc>
          <w:tcPr>
            <w:tcW w:w="722" w:type="dxa"/>
            <w:tcBorders>
              <w:top w:val="single" w:color="auto" w:sz="4" w:space="0"/>
              <w:right w:val="single" w:color="auto" w:sz="4" w:space="0"/>
            </w:tcBorders>
            <w:shd w:val="clear" w:color="auto" w:fill="auto"/>
            <w:vAlign w:val="center"/>
          </w:tcPr>
          <w:p>
            <w:pPr>
              <w:spacing w:line="360" w:lineRule="auto"/>
              <w:ind w:firstLine="0" w:firstLineChars="0"/>
              <w:jc w:val="center"/>
              <w:rPr>
                <w:sz w:val="21"/>
              </w:rPr>
            </w:pPr>
            <w:r>
              <w:rPr>
                <w:sz w:val="21"/>
              </w:rPr>
              <w:t>1</w:t>
            </w:r>
          </w:p>
        </w:tc>
        <w:tc>
          <w:tcPr>
            <w:tcW w:w="1169" w:type="dxa"/>
            <w:tcBorders>
              <w:top w:val="single" w:color="auto" w:sz="4" w:space="0"/>
              <w:left w:val="single" w:color="auto" w:sz="4" w:space="0"/>
              <w:right w:val="single" w:color="auto" w:sz="4" w:space="0"/>
            </w:tcBorders>
            <w:shd w:val="clear" w:color="auto" w:fill="auto"/>
            <w:vAlign w:val="center"/>
          </w:tcPr>
          <w:p>
            <w:pPr>
              <w:spacing w:line="360" w:lineRule="auto"/>
              <w:ind w:firstLine="0" w:firstLineChars="0"/>
              <w:jc w:val="center"/>
              <w:rPr>
                <w:rFonts w:hint="default" w:eastAsia="宋体"/>
                <w:sz w:val="21"/>
                <w:lang w:val="en-US" w:eastAsia="zh-CN"/>
              </w:rPr>
            </w:pPr>
            <w:r>
              <w:rPr>
                <w:rFonts w:hint="eastAsia"/>
                <w:sz w:val="21"/>
                <w:lang w:val="en-US" w:eastAsia="zh-CN"/>
              </w:rPr>
              <w:t>207</w:t>
            </w:r>
          </w:p>
        </w:tc>
        <w:tc>
          <w:tcPr>
            <w:tcW w:w="1403" w:type="dxa"/>
            <w:tcBorders>
              <w:top w:val="single" w:color="auto" w:sz="4" w:space="0"/>
              <w:left w:val="single" w:color="auto" w:sz="4" w:space="0"/>
              <w:right w:val="single" w:color="auto" w:sz="4" w:space="0"/>
            </w:tcBorders>
            <w:shd w:val="clear" w:color="auto" w:fill="auto"/>
            <w:vAlign w:val="center"/>
          </w:tcPr>
          <w:p>
            <w:pPr>
              <w:spacing w:line="360" w:lineRule="auto"/>
              <w:ind w:firstLine="0" w:firstLineChars="0"/>
              <w:jc w:val="center"/>
              <w:rPr>
                <w:sz w:val="21"/>
              </w:rPr>
            </w:pPr>
            <w:r>
              <w:rPr>
                <w:rFonts w:hint="eastAsia"/>
                <w:sz w:val="21"/>
                <w:lang w:val="en-US" w:eastAsia="zh-CN"/>
              </w:rPr>
              <w:t>324</w:t>
            </w:r>
          </w:p>
        </w:tc>
        <w:tc>
          <w:tcPr>
            <w:tcW w:w="1592" w:type="dxa"/>
            <w:tcBorders>
              <w:top w:val="single" w:color="auto" w:sz="4" w:space="0"/>
              <w:left w:val="single" w:color="auto" w:sz="4" w:space="0"/>
              <w:right w:val="single" w:color="auto" w:sz="4" w:space="0"/>
            </w:tcBorders>
            <w:shd w:val="clear" w:color="auto" w:fill="auto"/>
            <w:vAlign w:val="center"/>
          </w:tcPr>
          <w:p>
            <w:pPr>
              <w:spacing w:line="360" w:lineRule="auto"/>
              <w:ind w:firstLine="0" w:firstLineChars="0"/>
              <w:jc w:val="center"/>
              <w:rPr>
                <w:sz w:val="21"/>
              </w:rPr>
            </w:pPr>
            <w:r>
              <w:rPr>
                <w:rFonts w:hint="eastAsia"/>
                <w:sz w:val="21"/>
                <w:lang w:val="en-US" w:eastAsia="zh-CN"/>
              </w:rPr>
              <w:t>45</w:t>
            </w:r>
          </w:p>
        </w:tc>
        <w:tc>
          <w:tcPr>
            <w:tcW w:w="1250" w:type="dxa"/>
            <w:tcBorders>
              <w:top w:val="single" w:color="auto" w:sz="4" w:space="0"/>
              <w:left w:val="single" w:color="auto" w:sz="4" w:space="0"/>
              <w:right w:val="single" w:color="auto" w:sz="4" w:space="0"/>
            </w:tcBorders>
            <w:shd w:val="clear" w:color="auto" w:fill="auto"/>
            <w:vAlign w:val="center"/>
          </w:tcPr>
          <w:p>
            <w:pPr>
              <w:spacing w:line="360" w:lineRule="auto"/>
              <w:ind w:firstLine="0" w:firstLineChars="0"/>
              <w:jc w:val="center"/>
              <w:rPr>
                <w:sz w:val="21"/>
              </w:rPr>
            </w:pPr>
            <w:r>
              <w:rPr>
                <w:rFonts w:hint="eastAsia"/>
                <w:sz w:val="21"/>
                <w:lang w:val="en-US" w:eastAsia="zh-CN"/>
              </w:rPr>
              <w:t>773</w:t>
            </w:r>
          </w:p>
        </w:tc>
        <w:tc>
          <w:tcPr>
            <w:tcW w:w="1365" w:type="dxa"/>
            <w:tcBorders>
              <w:top w:val="single" w:color="auto" w:sz="4" w:space="0"/>
              <w:left w:val="single" w:color="auto" w:sz="4" w:space="0"/>
              <w:right w:val="single" w:color="auto" w:sz="4" w:space="0"/>
            </w:tcBorders>
            <w:shd w:val="clear" w:color="auto" w:fill="auto"/>
            <w:vAlign w:val="center"/>
          </w:tcPr>
          <w:p>
            <w:pPr>
              <w:spacing w:line="360" w:lineRule="auto"/>
              <w:ind w:firstLine="0" w:firstLineChars="0"/>
              <w:jc w:val="center"/>
              <w:rPr>
                <w:sz w:val="21"/>
              </w:rPr>
            </w:pPr>
            <w:r>
              <w:rPr>
                <w:rFonts w:hint="eastAsia"/>
                <w:sz w:val="21"/>
                <w:lang w:val="en-US" w:eastAsia="zh-CN"/>
              </w:rPr>
              <w:t>451</w:t>
            </w:r>
          </w:p>
        </w:tc>
        <w:tc>
          <w:tcPr>
            <w:tcW w:w="2069" w:type="dxa"/>
            <w:tcBorders>
              <w:top w:val="single" w:color="auto" w:sz="4" w:space="0"/>
              <w:left w:val="single" w:color="auto" w:sz="4" w:space="0"/>
            </w:tcBorders>
            <w:shd w:val="clear" w:color="auto" w:fill="auto"/>
            <w:vAlign w:val="center"/>
          </w:tcPr>
          <w:p>
            <w:pPr>
              <w:spacing w:line="360" w:lineRule="auto"/>
              <w:ind w:firstLine="0" w:firstLineChars="0"/>
              <w:jc w:val="center"/>
              <w:rPr>
                <w:sz w:val="21"/>
              </w:rPr>
            </w:pPr>
            <w:r>
              <w:rPr>
                <w:sz w:val="21"/>
              </w:rPr>
              <w:t>需要根据试验加入</w:t>
            </w:r>
          </w:p>
        </w:tc>
      </w:tr>
    </w:tbl>
    <w:p>
      <w:pPr>
        <w:pStyle w:val="85"/>
        <w:spacing w:line="360" w:lineRule="auto"/>
        <w:rPr>
          <w:rFonts w:ascii="Times New Roman" w:hAnsi="Times New Roman" w:cs="Times New Roman"/>
          <w:color w:val="000000"/>
        </w:rPr>
      </w:pPr>
      <w:r>
        <w:rPr>
          <w:rFonts w:hint="eastAsia" w:ascii="Times New Roman" w:hAnsi="Times New Roman" w:cs="Times New Roman"/>
          <w:color w:val="000000"/>
          <w:lang w:eastAsia="zh-CN"/>
        </w:rPr>
        <w:t>（</w:t>
      </w:r>
      <w:r>
        <w:rPr>
          <w:rFonts w:hint="eastAsia" w:ascii="Times New Roman" w:hAnsi="Times New Roman" w:cs="Times New Roman"/>
          <w:color w:val="000000"/>
          <w:lang w:val="en-US" w:eastAsia="zh-CN"/>
        </w:rPr>
        <w:t>3）</w:t>
      </w:r>
      <w:r>
        <w:rPr>
          <w:rFonts w:hint="eastAsia" w:ascii="Times New Roman" w:hAnsi="Times New Roman" w:cs="Times New Roman"/>
          <w:color w:val="000000"/>
        </w:rPr>
        <w:t>在施工中，根据具体地层条件、地下水情况及周边条件等，通过现场试验优化确定最合理的配合比</w:t>
      </w:r>
      <w:r>
        <w:rPr>
          <w:rFonts w:hint="eastAsia" w:ascii="Times New Roman" w:hAnsi="Times New Roman" w:cs="Times New Roman"/>
          <w:color w:val="000000"/>
          <w:lang w:val="en-US" w:eastAsia="zh-CN"/>
        </w:rPr>
        <w:t>,</w:t>
      </w:r>
      <w:r>
        <w:rPr>
          <w:rFonts w:hint="eastAsia" w:ascii="Times New Roman" w:hAnsi="Times New Roman" w:cs="Times New Roman"/>
          <w:color w:val="000000"/>
        </w:rPr>
        <w:t>通过调研及室内试验的的手段，选择具有可调控注浆时间的外加剂，研究出具有高抗渗，凝结时间可调的注浆材料</w:t>
      </w:r>
      <w:r>
        <w:rPr>
          <w:rFonts w:hint="eastAsia" w:ascii="Times New Roman" w:hAnsi="Times New Roman" w:cs="Times New Roman"/>
          <w:color w:val="000000"/>
          <w:lang w:val="en-US" w:eastAsia="zh-CN"/>
        </w:rPr>
        <w:t>,</w:t>
      </w:r>
      <w:r>
        <w:rPr>
          <w:rFonts w:hint="eastAsia" w:ascii="Times New Roman" w:hAnsi="Times New Roman" w:cs="Times New Roman"/>
          <w:color w:val="000000"/>
        </w:rPr>
        <w:t>试验内容：根据对浆液性能的要求，需要测试如下项目：浆液的初凝、终凝时间、浆液稠度、浆液泌水率（即浆液稳定性）。</w:t>
      </w:r>
    </w:p>
    <w:p>
      <w:pPr>
        <w:pStyle w:val="85"/>
        <w:spacing w:line="360" w:lineRule="auto"/>
        <w:rPr>
          <w:rFonts w:ascii="Times New Roman" w:hAnsi="Times New Roman" w:cs="Times New Roman"/>
          <w:color w:val="000000"/>
        </w:rPr>
      </w:pPr>
      <w:r>
        <w:rPr>
          <w:rFonts w:hint="eastAsia" w:ascii="Times New Roman" w:hAnsi="Times New Roman" w:cs="Times New Roman"/>
          <w:color w:val="000000"/>
          <w:lang w:val="en-US" w:eastAsia="zh-CN"/>
        </w:rPr>
        <w:t>(4)</w:t>
      </w:r>
      <w:r>
        <w:rPr>
          <w:rFonts w:hint="eastAsia" w:ascii="Times New Roman" w:hAnsi="Times New Roman" w:cs="Times New Roman"/>
          <w:color w:val="000000"/>
        </w:rPr>
        <w:t>研究同步注浆工艺及参数，保证浆液在管片背后均匀压注，以保证盾构掘进过程中对周边环境影响的控制</w:t>
      </w:r>
      <w:r>
        <w:rPr>
          <w:rFonts w:hint="eastAsia" w:ascii="Times New Roman" w:hAnsi="Times New Roman" w:cs="Times New Roman"/>
          <w:color w:val="000000"/>
          <w:lang w:val="en-US" w:eastAsia="zh-CN"/>
        </w:rPr>
        <w:t>,</w:t>
      </w:r>
      <w:r>
        <w:rPr>
          <w:rFonts w:hint="eastAsia" w:ascii="Times New Roman" w:hAnsi="Times New Roman" w:cs="Times New Roman"/>
          <w:color w:val="000000"/>
        </w:rPr>
        <w:t>研究与掘进参数匹配的注浆参数，包括：注浆压力、注浆量、注浆速度</w:t>
      </w:r>
      <w:r>
        <w:rPr>
          <w:rFonts w:hint="eastAsia" w:ascii="Times New Roman" w:hAnsi="Times New Roman" w:cs="Times New Roman"/>
          <w:color w:val="000000"/>
          <w:lang w:val="en-US" w:eastAsia="zh-CN"/>
        </w:rPr>
        <w:t>,</w:t>
      </w:r>
      <w:r>
        <w:rPr>
          <w:rFonts w:hint="eastAsia" w:ascii="Times New Roman" w:hAnsi="Times New Roman" w:cs="Times New Roman"/>
          <w:color w:val="000000"/>
        </w:rPr>
        <w:t>当盾尾通过两道洞门密封后开始实施同步注浆。注浆浆液选择水泥砂浆，水泥砂浆的初凝时间在6小时左右。注浆压力应大于泥水仓压力0.1～0.2bar。注浆量应满足规范要求的充盈系数</w:t>
      </w:r>
      <w:r>
        <w:rPr>
          <w:rFonts w:ascii="Times New Roman" w:hAnsi="Times New Roman" w:cs="Times New Roman"/>
          <w:color w:val="000000"/>
        </w:rPr>
        <w:t>。</w:t>
      </w:r>
    </w:p>
    <w:p>
      <w:pPr>
        <w:pStyle w:val="85"/>
        <w:snapToGrid/>
        <w:spacing w:line="360" w:lineRule="auto"/>
        <w:jc w:val="both"/>
        <w:rPr>
          <w:rFonts w:ascii="Times New Roman" w:hAnsi="Times New Roman" w:cs="Times New Roman"/>
          <w:color w:val="000000"/>
        </w:rPr>
      </w:pPr>
      <w:r>
        <w:rPr>
          <w:rFonts w:ascii="Times New Roman" w:hAnsi="Times New Roman" w:cs="Times New Roman"/>
          <w:color w:val="000000"/>
        </w:rPr>
        <w:t>理论注浆量为：V＝π(6.33</w:t>
      </w:r>
      <w:r>
        <w:rPr>
          <w:rFonts w:ascii="Times New Roman" w:hAnsi="Times New Roman" w:cs="Times New Roman"/>
          <w:color w:val="000000"/>
          <w:vertAlign w:val="superscript"/>
        </w:rPr>
        <w:t>2</w:t>
      </w:r>
      <w:r>
        <w:rPr>
          <w:rFonts w:ascii="Times New Roman" w:hAnsi="Times New Roman" w:cs="Times New Roman"/>
          <w:color w:val="000000"/>
        </w:rPr>
        <w:t>－6.1</w:t>
      </w:r>
      <w:r>
        <w:rPr>
          <w:rFonts w:ascii="Times New Roman" w:hAnsi="Times New Roman" w:cs="Times New Roman"/>
          <w:color w:val="000000"/>
          <w:vertAlign w:val="superscript"/>
        </w:rPr>
        <w:t>2</w:t>
      </w:r>
      <w:r>
        <w:rPr>
          <w:rFonts w:ascii="Times New Roman" w:hAnsi="Times New Roman" w:cs="Times New Roman"/>
          <w:color w:val="000000"/>
        </w:rPr>
        <w:t>)*2</w:t>
      </w:r>
      <w:r>
        <w:rPr>
          <w:rFonts w:hint="eastAsia" w:ascii="Times New Roman" w:hAnsi="Times New Roman" w:cs="Times New Roman"/>
          <w:color w:val="000000"/>
        </w:rPr>
        <w:t>≈</w:t>
      </w:r>
      <w:r>
        <w:rPr>
          <w:rFonts w:ascii="Times New Roman" w:hAnsi="Times New Roman" w:cs="Times New Roman"/>
          <w:color w:val="000000"/>
        </w:rPr>
        <w:t>18</w:t>
      </w:r>
      <w:r>
        <w:rPr>
          <w:rFonts w:hint="eastAsia" w:ascii="Times New Roman" w:hAnsi="Times New Roman" w:cs="Times New Roman"/>
          <w:color w:val="000000"/>
        </w:rPr>
        <w:t>m³</w:t>
      </w:r>
    </w:p>
    <w:p>
      <w:pPr>
        <w:pStyle w:val="85"/>
        <w:numPr>
          <w:ilvl w:val="0"/>
          <w:numId w:val="2"/>
        </w:numPr>
        <w:snapToGrid/>
        <w:spacing w:line="360" w:lineRule="auto"/>
        <w:jc w:val="both"/>
        <w:rPr>
          <w:rFonts w:hint="eastAsia" w:ascii="Times New Roman" w:hAnsi="Times New Roman" w:cs="Times New Roman"/>
          <w:color w:val="000000"/>
        </w:rPr>
      </w:pPr>
      <w:r>
        <w:rPr>
          <w:rFonts w:ascii="Times New Roman" w:hAnsi="Times New Roman" w:cs="Times New Roman"/>
          <w:color w:val="000000"/>
        </w:rPr>
        <w:t>由于始发端头加固后地层空隙率很小，故实际的注浆量为理论建筑空隙的1</w:t>
      </w:r>
      <w:r>
        <w:rPr>
          <w:rFonts w:hint="eastAsia" w:ascii="Times New Roman" w:hAnsi="Times New Roman" w:cs="Times New Roman"/>
          <w:color w:val="000000"/>
          <w:lang w:val="en-US" w:eastAsia="zh-CN"/>
        </w:rPr>
        <w:t>3</w:t>
      </w:r>
      <w:r>
        <w:rPr>
          <w:rFonts w:ascii="Times New Roman" w:hAnsi="Times New Roman" w:cs="Times New Roman"/>
          <w:color w:val="000000"/>
        </w:rPr>
        <w:t>0%～</w:t>
      </w:r>
      <w:r>
        <w:rPr>
          <w:rFonts w:hint="eastAsia" w:ascii="Times New Roman" w:hAnsi="Times New Roman" w:cs="Times New Roman"/>
          <w:color w:val="000000"/>
          <w:lang w:val="en-US" w:eastAsia="zh-CN"/>
        </w:rPr>
        <w:t>25</w:t>
      </w:r>
      <w:r>
        <w:rPr>
          <w:rFonts w:ascii="Times New Roman" w:hAnsi="Times New Roman" w:cs="Times New Roman"/>
          <w:color w:val="000000"/>
        </w:rPr>
        <w:t>0%，即2</w:t>
      </w:r>
      <w:r>
        <w:rPr>
          <w:rFonts w:hint="eastAsia" w:ascii="Times New Roman" w:hAnsi="Times New Roman" w:cs="Times New Roman"/>
          <w:color w:val="000000"/>
          <w:lang w:val="en-US" w:eastAsia="zh-CN"/>
        </w:rPr>
        <w:t>3.4</w:t>
      </w:r>
      <w:r>
        <w:rPr>
          <w:rFonts w:ascii="Times New Roman" w:hAnsi="Times New Roman" w:cs="Times New Roman"/>
          <w:color w:val="000000"/>
        </w:rPr>
        <w:t>～</w:t>
      </w:r>
      <w:r>
        <w:rPr>
          <w:rFonts w:hint="eastAsia" w:ascii="Times New Roman" w:hAnsi="Times New Roman" w:cs="Times New Roman"/>
          <w:color w:val="000000"/>
          <w:lang w:val="en-US" w:eastAsia="zh-CN"/>
        </w:rPr>
        <w:t>45</w:t>
      </w:r>
      <w:r>
        <w:rPr>
          <w:rFonts w:hint="eastAsia" w:ascii="Times New Roman" w:hAnsi="Times New Roman" w:cs="Times New Roman"/>
          <w:color w:val="000000"/>
        </w:rPr>
        <w:t>m³</w:t>
      </w:r>
      <w:r>
        <w:rPr>
          <w:rFonts w:hint="eastAsia" w:ascii="Times New Roman" w:hAnsi="Times New Roman" w:cs="Times New Roman"/>
          <w:color w:val="000000"/>
          <w:lang w:val="en-US" w:eastAsia="zh-CN"/>
        </w:rPr>
        <w:t xml:space="preserve"> </w:t>
      </w:r>
      <w:bookmarkStart w:id="94" w:name="_Hlk69492340"/>
      <w:r>
        <w:rPr>
          <w:rFonts w:hint="eastAsia" w:ascii="Times New Roman" w:hAnsi="Times New Roman" w:cs="Times New Roman"/>
          <w:color w:val="000000"/>
          <w:lang w:val="en-US" w:eastAsia="zh-CN"/>
        </w:rPr>
        <w:t>,</w:t>
      </w:r>
      <w:r>
        <w:rPr>
          <w:rFonts w:hint="eastAsia" w:ascii="Times New Roman" w:hAnsi="Times New Roman" w:cs="Times New Roman"/>
          <w:color w:val="000000"/>
        </w:rPr>
        <w:t>在试验段施工中，研究同步注浆工艺及参数，保证浆液在管片背后均匀压注，以控制盾构掘进引起的周边沉降尽可能小。研究的注浆参数包括注浆压力、注浆量及各管路注浆量分配等，判断最适合围岩地层的注浆量。</w:t>
      </w:r>
      <w:bookmarkStart w:id="95" w:name="_Toc42576358"/>
      <w:bookmarkStart w:id="96" w:name="_Toc78833662"/>
    </w:p>
    <w:p>
      <w:pPr>
        <w:pStyle w:val="5"/>
        <w:bidi w:val="0"/>
        <w:spacing w:line="360" w:lineRule="auto"/>
        <w:rPr>
          <w:rFonts w:hint="eastAsia"/>
          <w:sz w:val="28"/>
          <w:szCs w:val="28"/>
          <w:lang w:val="en-US" w:eastAsia="zh-CN"/>
        </w:rPr>
      </w:pPr>
      <w:bookmarkStart w:id="97" w:name="_Toc5317"/>
      <w:bookmarkStart w:id="98" w:name="_Toc26413"/>
      <w:r>
        <w:rPr>
          <w:rFonts w:hint="eastAsia"/>
          <w:sz w:val="28"/>
          <w:szCs w:val="28"/>
          <w:lang w:val="en-US" w:eastAsia="zh-CN"/>
        </w:rPr>
        <w:t>3.1人员配置</w:t>
      </w:r>
      <w:bookmarkEnd w:id="97"/>
      <w:bookmarkEnd w:id="98"/>
    </w:p>
    <w:p>
      <w:pPr>
        <w:pStyle w:val="88"/>
        <w:ind w:firstLine="480"/>
        <w:rPr>
          <w:rFonts w:hint="eastAsia"/>
          <w:lang w:eastAsia="zh-CN"/>
        </w:rPr>
      </w:pPr>
      <w:r>
        <w:t>注浆参数</w:t>
      </w:r>
      <w:r>
        <w:rPr>
          <w:rFonts w:hint="eastAsia"/>
        </w:rPr>
        <w:t>、</w:t>
      </w:r>
      <w:r>
        <w:t>注浆压力的指令由机长下达</w:t>
      </w:r>
      <w:r>
        <w:rPr>
          <w:rFonts w:hint="eastAsia"/>
        </w:rPr>
        <w:t>，</w:t>
      </w:r>
      <w:r>
        <w:t>每次注浆前</w:t>
      </w:r>
      <w:r>
        <w:rPr>
          <w:rFonts w:hint="eastAsia"/>
        </w:rPr>
        <w:t>，</w:t>
      </w:r>
      <w:r>
        <w:t>注浆手必须与机长进行确认</w:t>
      </w:r>
      <w:r>
        <w:rPr>
          <w:rFonts w:hint="eastAsia"/>
        </w:rPr>
        <w:t>，</w:t>
      </w:r>
      <w:r>
        <w:t>严禁私自更改注浆参数</w:t>
      </w:r>
      <w:r>
        <w:rPr>
          <w:rFonts w:hint="eastAsia"/>
          <w:lang w:eastAsia="zh-CN"/>
        </w:rPr>
        <w:t>，</w:t>
      </w:r>
      <w:r>
        <w:rPr>
          <w:rFonts w:hint="eastAsia"/>
        </w:rPr>
        <w:t>注浆组单班共计5人</w:t>
      </w:r>
      <w:r>
        <w:rPr>
          <w:rFonts w:hint="eastAsia"/>
          <w:lang w:eastAsia="zh-CN"/>
        </w:rPr>
        <w:t>。</w:t>
      </w:r>
    </w:p>
    <w:p>
      <w:pPr>
        <w:pStyle w:val="88"/>
        <w:ind w:firstLine="480"/>
        <w:jc w:val="center"/>
        <w:rPr>
          <w:rFonts w:hint="eastAsia"/>
          <w:lang w:val="en-US" w:eastAsia="zh-CN"/>
        </w:rPr>
      </w:pPr>
      <w:r>
        <w:rPr>
          <w:rFonts w:hint="eastAsia"/>
          <w:lang w:val="en-US" w:eastAsia="zh-CN"/>
        </w:rPr>
        <w:t>表3.1-1注浆人员配置</w:t>
      </w:r>
    </w:p>
    <w:tbl>
      <w:tblPr>
        <w:tblStyle w:val="31"/>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82"/>
        <w:gridCol w:w="1654"/>
        <w:gridCol w:w="1374"/>
        <w:gridCol w:w="50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7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序号</w:t>
            </w:r>
          </w:p>
        </w:tc>
        <w:tc>
          <w:tcPr>
            <w:tcW w:w="86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工种</w:t>
            </w:r>
          </w:p>
        </w:tc>
        <w:tc>
          <w:tcPr>
            <w:tcW w:w="718"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人数</w:t>
            </w:r>
          </w:p>
        </w:tc>
        <w:tc>
          <w:tcPr>
            <w:tcW w:w="264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职责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7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1</w:t>
            </w:r>
          </w:p>
        </w:tc>
        <w:tc>
          <w:tcPr>
            <w:tcW w:w="86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注浆手</w:t>
            </w:r>
          </w:p>
        </w:tc>
        <w:tc>
          <w:tcPr>
            <w:tcW w:w="718"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1</w:t>
            </w:r>
          </w:p>
        </w:tc>
        <w:tc>
          <w:tcPr>
            <w:tcW w:w="264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注浆速度的调节，注浆压力的监控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7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2</w:t>
            </w:r>
          </w:p>
        </w:tc>
        <w:tc>
          <w:tcPr>
            <w:tcW w:w="86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注浆辅助</w:t>
            </w:r>
          </w:p>
        </w:tc>
        <w:tc>
          <w:tcPr>
            <w:tcW w:w="718"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2</w:t>
            </w:r>
          </w:p>
        </w:tc>
        <w:tc>
          <w:tcPr>
            <w:tcW w:w="264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负责盾构机砂浆输送管路的开闭、储浆罐砂浆存放量、储浆罐搅拌轴开闭、各注浆管路巡视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7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3</w:t>
            </w:r>
          </w:p>
        </w:tc>
        <w:tc>
          <w:tcPr>
            <w:tcW w:w="86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地泵操作手</w:t>
            </w:r>
          </w:p>
        </w:tc>
        <w:tc>
          <w:tcPr>
            <w:tcW w:w="718"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1</w:t>
            </w:r>
          </w:p>
        </w:tc>
        <w:tc>
          <w:tcPr>
            <w:tcW w:w="2644" w:type="pct"/>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负责将砂浆车内砂浆利用地泵泵送至储浆罐</w:t>
            </w:r>
          </w:p>
        </w:tc>
      </w:tr>
    </w:tbl>
    <w:p>
      <w:pPr>
        <w:pStyle w:val="88"/>
        <w:ind w:firstLine="480"/>
        <w:jc w:val="center"/>
        <w:rPr>
          <w:rFonts w:hint="default"/>
          <w:lang w:val="en-US" w:eastAsia="zh-CN"/>
        </w:rPr>
      </w:pPr>
      <w:r>
        <w:rPr>
          <w:rFonts w:hint="eastAsia"/>
          <w:lang w:val="en-US" w:eastAsia="zh-CN"/>
        </w:rPr>
        <w:t>表3.1-2</w:t>
      </w:r>
      <w:r>
        <w:rPr>
          <w:rFonts w:hint="eastAsia" w:hAnsi="宋体" w:cs="宋体"/>
          <w:b/>
          <w:bCs/>
          <w:szCs w:val="21"/>
        </w:rPr>
        <w:t>主要机械设备表</w:t>
      </w:r>
    </w:p>
    <w:tbl>
      <w:tblPr>
        <w:tblStyle w:val="30"/>
        <w:tblW w:w="0" w:type="auto"/>
        <w:jc w:val="center"/>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69"/>
        <w:gridCol w:w="2331"/>
        <w:gridCol w:w="2503"/>
        <w:gridCol w:w="3386"/>
      </w:tblGrid>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12" w:hRule="exact"/>
          <w:tblHeader/>
          <w:jc w:val="center"/>
        </w:trPr>
        <w:tc>
          <w:tcPr>
            <w:tcW w:w="1369"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序号</w:t>
            </w:r>
          </w:p>
        </w:tc>
        <w:tc>
          <w:tcPr>
            <w:tcW w:w="2331"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机械名称</w:t>
            </w:r>
          </w:p>
        </w:tc>
        <w:tc>
          <w:tcPr>
            <w:tcW w:w="2503"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规格型号</w:t>
            </w:r>
          </w:p>
        </w:tc>
        <w:tc>
          <w:tcPr>
            <w:tcW w:w="3386"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数量</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4" w:hRule="exact"/>
          <w:jc w:val="center"/>
        </w:trPr>
        <w:tc>
          <w:tcPr>
            <w:tcW w:w="1369"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1</w:t>
            </w:r>
          </w:p>
        </w:tc>
        <w:tc>
          <w:tcPr>
            <w:tcW w:w="2331"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注浆泵</w:t>
            </w:r>
          </w:p>
        </w:tc>
        <w:tc>
          <w:tcPr>
            <w:tcW w:w="2503"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SCHWING KSP20</w:t>
            </w:r>
          </w:p>
        </w:tc>
        <w:tc>
          <w:tcPr>
            <w:tcW w:w="3386"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6台</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369"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2</w:t>
            </w:r>
          </w:p>
        </w:tc>
        <w:tc>
          <w:tcPr>
            <w:tcW w:w="2331"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注浆管</w:t>
            </w:r>
          </w:p>
        </w:tc>
        <w:tc>
          <w:tcPr>
            <w:tcW w:w="2503"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DN65</w:t>
            </w:r>
          </w:p>
        </w:tc>
        <w:tc>
          <w:tcPr>
            <w:tcW w:w="3386"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6条</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369"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2</w:t>
            </w:r>
          </w:p>
        </w:tc>
        <w:tc>
          <w:tcPr>
            <w:tcW w:w="2331"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拖拽式转浆泵</w:t>
            </w:r>
          </w:p>
        </w:tc>
        <w:tc>
          <w:tcPr>
            <w:tcW w:w="2503"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TB6016CB0413</w:t>
            </w:r>
          </w:p>
        </w:tc>
        <w:tc>
          <w:tcPr>
            <w:tcW w:w="3386"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1台</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369"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3</w:t>
            </w:r>
          </w:p>
        </w:tc>
        <w:tc>
          <w:tcPr>
            <w:tcW w:w="2331"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de-DE" w:eastAsia="zh-CN"/>
              </w:rPr>
              <w:t>砂浆搅拌站</w:t>
            </w:r>
          </w:p>
        </w:tc>
        <w:tc>
          <w:tcPr>
            <w:tcW w:w="2503"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de-DE" w:eastAsia="zh-CN"/>
              </w:rPr>
              <w:t>HZS50</w:t>
            </w:r>
          </w:p>
        </w:tc>
        <w:tc>
          <w:tcPr>
            <w:tcW w:w="3386"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2套</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369"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4</w:t>
            </w:r>
          </w:p>
        </w:tc>
        <w:tc>
          <w:tcPr>
            <w:tcW w:w="2331" w:type="dxa"/>
            <w:noWrap w:val="0"/>
            <w:vAlign w:val="center"/>
          </w:tcPr>
          <w:p>
            <w:pPr>
              <w:spacing w:line="360" w:lineRule="auto"/>
              <w:ind w:firstLine="0" w:firstLineChars="0"/>
              <w:jc w:val="center"/>
              <w:rPr>
                <w:rFonts w:hint="eastAsia" w:hAnsi="宋体" w:cs="宋体"/>
                <w:b w:val="0"/>
                <w:bCs/>
                <w:szCs w:val="21"/>
                <w:lang w:val="en-US" w:eastAsia="zh-CN"/>
              </w:rPr>
            </w:pPr>
            <w:r>
              <w:rPr>
                <w:rFonts w:hint="eastAsia" w:hAnsi="宋体" w:cs="宋体"/>
                <w:b w:val="0"/>
                <w:bCs/>
                <w:szCs w:val="21"/>
                <w:lang w:val="en-US" w:eastAsia="zh-CN"/>
              </w:rPr>
              <w:t>砂浆运输车</w:t>
            </w:r>
          </w:p>
        </w:tc>
        <w:tc>
          <w:tcPr>
            <w:tcW w:w="2503"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CCY5317</w:t>
            </w:r>
          </w:p>
        </w:tc>
        <w:tc>
          <w:tcPr>
            <w:tcW w:w="3386" w:type="dxa"/>
            <w:noWrap w:val="0"/>
            <w:vAlign w:val="center"/>
          </w:tcPr>
          <w:p>
            <w:pPr>
              <w:spacing w:line="360" w:lineRule="auto"/>
              <w:ind w:firstLine="0" w:firstLineChars="0"/>
              <w:jc w:val="center"/>
              <w:rPr>
                <w:rFonts w:hint="default" w:hAnsi="宋体" w:cs="宋体"/>
                <w:b w:val="0"/>
                <w:bCs/>
                <w:szCs w:val="21"/>
                <w:lang w:val="en-US" w:eastAsia="zh-CN"/>
              </w:rPr>
            </w:pPr>
            <w:r>
              <w:rPr>
                <w:rFonts w:hint="eastAsia" w:hAnsi="宋体" w:cs="宋体"/>
                <w:b w:val="0"/>
                <w:bCs/>
                <w:szCs w:val="21"/>
                <w:lang w:val="en-US" w:eastAsia="zh-CN"/>
              </w:rPr>
              <w:t>3辆</w:t>
            </w:r>
          </w:p>
        </w:tc>
      </w:tr>
    </w:tbl>
    <w:p>
      <w:pPr>
        <w:pStyle w:val="5"/>
        <w:bidi w:val="0"/>
        <w:spacing w:line="360" w:lineRule="auto"/>
        <w:rPr>
          <w:rFonts w:hint="eastAsia"/>
          <w:sz w:val="28"/>
          <w:szCs w:val="28"/>
          <w:lang w:val="en-US" w:eastAsia="zh-CN"/>
        </w:rPr>
      </w:pPr>
      <w:bookmarkStart w:id="99" w:name="_Toc29926"/>
      <w:bookmarkStart w:id="100" w:name="_Toc21478"/>
      <w:bookmarkStart w:id="101" w:name="_Toc16727"/>
      <w:bookmarkStart w:id="102" w:name="_Toc12432"/>
      <w:r>
        <w:rPr>
          <w:rFonts w:hint="eastAsia"/>
          <w:sz w:val="28"/>
          <w:szCs w:val="28"/>
          <w:lang w:val="en-US" w:eastAsia="zh-CN"/>
        </w:rPr>
        <w:t>3.2注浆目的</w:t>
      </w:r>
      <w:bookmarkEnd w:id="95"/>
      <w:bookmarkEnd w:id="96"/>
      <w:bookmarkEnd w:id="99"/>
      <w:bookmarkEnd w:id="100"/>
      <w:bookmarkEnd w:id="101"/>
      <w:bookmarkEnd w:id="102"/>
    </w:p>
    <w:p>
      <w:pPr>
        <w:spacing w:line="360" w:lineRule="auto"/>
        <w:ind w:firstLine="480"/>
        <w:rPr>
          <w:kern w:val="2"/>
          <w:lang w:eastAsia="zh-CN" w:bidi="ar-SA"/>
        </w:rPr>
      </w:pPr>
      <w:r>
        <w:rPr>
          <w:kern w:val="2"/>
          <w:lang w:eastAsia="zh-CN" w:bidi="ar-SA"/>
        </w:rPr>
        <w:t>管片衬砌背后注浆是盾构施工中的十分重要的工序，其目的主要有以下三个方面：</w:t>
      </w:r>
    </w:p>
    <w:p>
      <w:pPr>
        <w:spacing w:line="360" w:lineRule="auto"/>
        <w:ind w:firstLine="480"/>
        <w:rPr>
          <w:kern w:val="2"/>
          <w:lang w:eastAsia="zh-CN" w:bidi="ar-SA"/>
        </w:rPr>
      </w:pPr>
      <w:r>
        <w:rPr>
          <w:kern w:val="2"/>
          <w:lang w:eastAsia="zh-CN" w:bidi="ar-SA"/>
        </w:rPr>
        <w:t>（1）及时填充盾尾建筑空隙，支撑管片周围岩体，有效地控制地表沉降；</w:t>
      </w:r>
    </w:p>
    <w:p>
      <w:pPr>
        <w:spacing w:line="360" w:lineRule="auto"/>
        <w:ind w:firstLine="480"/>
        <w:rPr>
          <w:kern w:val="2"/>
          <w:lang w:eastAsia="zh-CN" w:bidi="ar-SA"/>
        </w:rPr>
      </w:pPr>
      <w:r>
        <w:rPr>
          <w:kern w:val="2"/>
          <w:lang w:eastAsia="zh-CN" w:bidi="ar-SA"/>
        </w:rPr>
        <w:t>（2）凝结的浆液将作为盾构施工隧道的第一道防水屏障，增强隧道的防水能力；</w:t>
      </w:r>
    </w:p>
    <w:p>
      <w:pPr>
        <w:spacing w:line="360" w:lineRule="auto"/>
        <w:ind w:firstLine="480"/>
        <w:jc w:val="center"/>
        <w:rPr>
          <w:rFonts w:hint="eastAsia" w:eastAsia="宋体"/>
          <w:lang w:val="en-US" w:eastAsia="zh-CN"/>
        </w:rPr>
      </w:pPr>
      <w:r>
        <w:rPr>
          <w:kern w:val="2"/>
          <w:lang w:eastAsia="zh-CN" w:bidi="ar-SA"/>
        </w:rPr>
        <w:t>（3）为管片提供早期的稳定并使管片与周围岩体一体化，有利于盾构掘进方向的控制，并能确保盾构隧道的最终稳定注浆工艺流程见图</w:t>
      </w:r>
      <w:r>
        <w:rPr>
          <w:rFonts w:hint="eastAsia"/>
          <w:kern w:val="2"/>
          <w:lang w:val="en-US" w:eastAsia="zh-CN" w:bidi="ar-SA"/>
        </w:rPr>
        <w:t xml:space="preserve">             </w:t>
      </w:r>
      <w:r>
        <w:drawing>
          <wp:inline distT="0" distB="0" distL="0" distR="0">
            <wp:extent cx="3529965" cy="2381250"/>
            <wp:effectExtent l="0" t="0" r="5715" b="11430"/>
            <wp:docPr id="524"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5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536606" cy="2381250"/>
                    </a:xfrm>
                    <a:prstGeom prst="rect">
                      <a:avLst/>
                    </a:prstGeom>
                    <a:noFill/>
                  </pic:spPr>
                </pic:pic>
              </a:graphicData>
            </a:graphic>
          </wp:inline>
        </w:drawing>
      </w:r>
    </w:p>
    <w:p>
      <w:pPr>
        <w:pStyle w:val="79"/>
        <w:spacing w:line="360" w:lineRule="auto"/>
        <w:rPr>
          <w:rFonts w:hint="eastAsia"/>
          <w:sz w:val="21"/>
          <w:szCs w:val="21"/>
        </w:rPr>
      </w:pPr>
      <w:r>
        <w:rPr>
          <w:rFonts w:hint="eastAsia"/>
          <w:sz w:val="21"/>
          <w:szCs w:val="21"/>
        </w:rPr>
        <w:t>图</w:t>
      </w:r>
      <w:r>
        <w:rPr>
          <w:rFonts w:hint="eastAsia"/>
          <w:sz w:val="21"/>
          <w:szCs w:val="21"/>
          <w:lang w:val="en-US" w:eastAsia="zh-CN"/>
        </w:rPr>
        <w:t>3.1-1</w:t>
      </w:r>
      <w:r>
        <w:rPr>
          <w:rFonts w:hint="eastAsia"/>
          <w:sz w:val="21"/>
          <w:szCs w:val="21"/>
        </w:rPr>
        <w:t>注浆工艺流程图</w:t>
      </w:r>
    </w:p>
    <w:p>
      <w:pPr>
        <w:pStyle w:val="5"/>
        <w:bidi w:val="0"/>
        <w:spacing w:line="360" w:lineRule="auto"/>
        <w:rPr>
          <w:rFonts w:hint="eastAsia"/>
          <w:sz w:val="28"/>
          <w:szCs w:val="28"/>
          <w:lang w:val="en-US" w:eastAsia="zh-CN"/>
        </w:rPr>
      </w:pPr>
      <w:bookmarkStart w:id="103" w:name="_Toc30143"/>
      <w:bookmarkStart w:id="104" w:name="_Toc70103505"/>
      <w:bookmarkStart w:id="105" w:name="_Toc19295"/>
      <w:bookmarkStart w:id="106" w:name="_Toc24793"/>
      <w:bookmarkStart w:id="107" w:name="_Toc18121"/>
      <w:r>
        <w:rPr>
          <w:rFonts w:hint="eastAsia"/>
          <w:sz w:val="28"/>
          <w:szCs w:val="28"/>
          <w:lang w:val="en-US" w:eastAsia="zh-CN"/>
        </w:rPr>
        <w:t>3.3同步注浆原理</w:t>
      </w:r>
      <w:bookmarkEnd w:id="103"/>
      <w:bookmarkEnd w:id="104"/>
      <w:bookmarkEnd w:id="105"/>
      <w:bookmarkEnd w:id="106"/>
      <w:bookmarkEnd w:id="107"/>
    </w:p>
    <w:p>
      <w:pPr>
        <w:pStyle w:val="88"/>
        <w:spacing w:line="360" w:lineRule="auto"/>
        <w:ind w:left="0" w:leftChars="0" w:firstLine="480" w:firstLineChars="200"/>
      </w:pPr>
      <w:r>
        <w:rPr>
          <w:rFonts w:hint="eastAsia"/>
          <w:lang w:eastAsia="zh-CN"/>
        </w:rPr>
        <w:t>（</w:t>
      </w:r>
      <w:r>
        <w:rPr>
          <w:rFonts w:hint="eastAsia"/>
          <w:lang w:val="en-US" w:eastAsia="zh-CN"/>
        </w:rPr>
        <w:t>1）</w:t>
      </w:r>
      <w:r>
        <w:rPr>
          <w:rFonts w:hint="eastAsia"/>
        </w:rPr>
        <w:t>盾构施工引起的地层损失和盾构隧道周围受扰动或受剪切破坏的重塑土的再固结以及地下水的渗透，是导致地表、建筑物以及管线沉降的重要原因。为了减少和防止沉降，在盾构掘进过程中，要尽快在脱出盾尾的衬砌管片背后同步注入足量的浆液材料充填盾尾环形建筑空隙。</w:t>
      </w:r>
    </w:p>
    <w:p>
      <w:pPr>
        <w:pStyle w:val="88"/>
        <w:spacing w:line="360" w:lineRule="auto"/>
        <w:ind w:left="0" w:leftChars="0" w:firstLine="480" w:firstLineChars="200"/>
      </w:pPr>
      <w:r>
        <w:rPr>
          <w:rFonts w:hint="eastAsia"/>
          <w:lang w:eastAsia="zh-CN"/>
        </w:rPr>
        <w:t>（</w:t>
      </w:r>
      <w:r>
        <w:rPr>
          <w:rFonts w:hint="eastAsia"/>
          <w:lang w:val="en-US" w:eastAsia="zh-CN"/>
        </w:rPr>
        <w:t>2）</w:t>
      </w:r>
      <w:r>
        <w:rPr>
          <w:rFonts w:hint="eastAsia"/>
        </w:rPr>
        <w:t>同步注浆采用盾构机自带的双活塞注浆泵在盾尾处</w:t>
      </w:r>
      <w:r>
        <w:rPr>
          <w:rFonts w:hint="eastAsia"/>
          <w:lang w:val="en-US" w:eastAsia="zh-CN"/>
        </w:rPr>
        <w:t>6</w:t>
      </w:r>
      <w:r>
        <w:rPr>
          <w:rFonts w:hint="eastAsia"/>
        </w:rPr>
        <w:t>路同时注入，可以及时填充管片与地层间环形空隙、控制地层变形、稳定管片结构、加强隧道结构自防水能力。</w:t>
      </w:r>
    </w:p>
    <w:p>
      <w:pPr>
        <w:pStyle w:val="88"/>
        <w:spacing w:line="360" w:lineRule="auto"/>
        <w:ind w:left="0" w:leftChars="0" w:firstLine="480" w:firstLineChars="200"/>
      </w:pPr>
      <w:r>
        <w:rPr>
          <w:rFonts w:hint="eastAsia"/>
          <w:lang w:eastAsia="zh-CN"/>
        </w:rPr>
        <w:t>（</w:t>
      </w:r>
      <w:r>
        <w:rPr>
          <w:rFonts w:hint="eastAsia"/>
          <w:lang w:val="en-US" w:eastAsia="zh-CN"/>
        </w:rPr>
        <w:t>3）</w:t>
      </w:r>
      <w:r>
        <w:rPr>
          <w:rFonts w:hint="eastAsia"/>
        </w:rPr>
        <w:t>注浆根据需要采用自动或手动模式，自管片由盾构司机在操作室内利用控制程序调整注浆速度以匹配掘进速度;手动模式下，由注浆手通过注浆控制面板控制。由于控制室内更容易获得注浆及掘进的各种数据，并可以及时地根据这些数据作出相应调整，因此,在推进过程应当采用控制室控制模式；而掘进前准备阶段及掘进后清理调整阶段采用手动控制较为合适。</w:t>
      </w:r>
    </w:p>
    <w:p>
      <w:pPr>
        <w:spacing w:line="360" w:lineRule="auto"/>
        <w:ind w:left="0" w:leftChars="0" w:firstLine="480" w:firstLineChars="200"/>
        <w:rPr>
          <w:kern w:val="2"/>
          <w:lang w:eastAsia="zh-CN" w:bidi="ar-SA"/>
        </w:rPr>
      </w:pPr>
      <w:r>
        <w:rPr>
          <w:kern w:val="2"/>
          <w:lang w:eastAsia="zh-CN" w:bidi="ar-SA"/>
        </w:rPr>
        <w:t>（</w:t>
      </w:r>
      <w:r>
        <w:rPr>
          <w:rFonts w:hint="eastAsia"/>
          <w:kern w:val="2"/>
          <w:lang w:val="en-US" w:eastAsia="zh-CN" w:bidi="ar-SA"/>
        </w:rPr>
        <w:t>4</w:t>
      </w:r>
      <w:r>
        <w:rPr>
          <w:kern w:val="2"/>
          <w:lang w:eastAsia="zh-CN" w:bidi="ar-SA"/>
        </w:rPr>
        <w:t>）浆液主要性能指标胶凝时间：一般为</w:t>
      </w:r>
      <w:r>
        <w:rPr>
          <w:rFonts w:hint="eastAsia"/>
          <w:kern w:val="2"/>
          <w:lang w:val="en-US" w:eastAsia="zh-CN" w:bidi="ar-SA"/>
        </w:rPr>
        <w:t>6</w:t>
      </w:r>
      <w:r>
        <w:rPr>
          <w:kern w:val="2"/>
          <w:lang w:eastAsia="zh-CN" w:bidi="ar-SA"/>
        </w:rPr>
        <w:t>～10h，根据地层条件和掘进速度，通过现场试验加入促凝剂及变更配比来调整胶凝时间。对于强透水地层和需要注浆提供较高的早期强度的地段，可通过现场试验进一步调整配比和加入早强剂，进一步缩短胶凝时间，获得早期强度，保证良好的注浆效果。</w:t>
      </w:r>
    </w:p>
    <w:p>
      <w:pPr>
        <w:spacing w:line="360" w:lineRule="auto"/>
        <w:ind w:firstLine="480"/>
        <w:rPr>
          <w:kern w:val="2"/>
          <w:lang w:eastAsia="zh-CN" w:bidi="ar-SA"/>
        </w:rPr>
      </w:pPr>
      <w:r>
        <w:rPr>
          <w:kern w:val="2"/>
          <w:lang w:eastAsia="zh-CN" w:bidi="ar-SA"/>
        </w:rPr>
        <w:t>固结体强度：一天不小于0.2MPa（相当于软质岩层无侧限抗压强度），28天不小于2.5MPa（略大于强风化岩天然抗压强度）。</w:t>
      </w:r>
    </w:p>
    <w:p>
      <w:pPr>
        <w:spacing w:line="360" w:lineRule="auto"/>
        <w:ind w:firstLine="480"/>
        <w:rPr>
          <w:kern w:val="2"/>
          <w:lang w:eastAsia="zh-CN" w:bidi="ar-SA"/>
        </w:rPr>
      </w:pPr>
      <w:r>
        <w:rPr>
          <w:kern w:val="2"/>
          <w:lang w:eastAsia="zh-CN" w:bidi="ar-SA"/>
        </w:rPr>
        <w:t>浆液结石率：&gt;95%，即固结收缩率&lt;5%。</w:t>
      </w:r>
    </w:p>
    <w:p>
      <w:pPr>
        <w:spacing w:line="360" w:lineRule="auto"/>
        <w:ind w:firstLine="480"/>
        <w:rPr>
          <w:rFonts w:hint="default"/>
          <w:kern w:val="2"/>
          <w:lang w:val="en-US" w:eastAsia="zh-CN" w:bidi="ar-SA"/>
        </w:rPr>
      </w:pPr>
      <w:r>
        <w:rPr>
          <w:kern w:val="2"/>
          <w:lang w:eastAsia="zh-CN" w:bidi="ar-SA"/>
        </w:rPr>
        <w:t>浆液稠度：8～12cm</w:t>
      </w:r>
      <w:r>
        <w:rPr>
          <w:rFonts w:hint="eastAsia"/>
          <w:kern w:val="2"/>
          <w:lang w:val="en-US" w:eastAsia="zh-CN" w:bidi="ar-SA"/>
        </w:rPr>
        <w:t>da'</w:t>
      </w:r>
    </w:p>
    <w:p>
      <w:pPr>
        <w:spacing w:line="360" w:lineRule="auto"/>
        <w:ind w:firstLine="480"/>
        <w:rPr>
          <w:kern w:val="2"/>
          <w:lang w:eastAsia="zh-CN" w:bidi="ar-SA"/>
        </w:rPr>
      </w:pPr>
      <w:r>
        <w:rPr>
          <w:kern w:val="2"/>
          <w:lang w:eastAsia="zh-CN" w:bidi="ar-SA"/>
        </w:rPr>
        <w:t>浆液稳定性：倾析率（静置沉淀后上浮水体积与总体积之比）小于5%。</w:t>
      </w:r>
    </w:p>
    <w:p>
      <w:pPr>
        <w:spacing w:line="360" w:lineRule="auto"/>
        <w:ind w:firstLine="480"/>
        <w:rPr>
          <w:kern w:val="2"/>
          <w:lang w:eastAsia="zh-CN" w:bidi="ar-SA"/>
        </w:rPr>
      </w:pPr>
      <w:r>
        <w:rPr>
          <w:kern w:val="2"/>
          <w:lang w:eastAsia="zh-CN" w:bidi="ar-SA"/>
        </w:rPr>
        <w:t>（</w:t>
      </w:r>
      <w:r>
        <w:rPr>
          <w:rFonts w:hint="eastAsia"/>
          <w:kern w:val="2"/>
          <w:lang w:val="en-US" w:eastAsia="zh-CN" w:bidi="ar-SA"/>
        </w:rPr>
        <w:t>5</w:t>
      </w:r>
      <w:r>
        <w:rPr>
          <w:kern w:val="2"/>
          <w:lang w:eastAsia="zh-CN" w:bidi="ar-SA"/>
        </w:rPr>
        <w:t>）注浆设备配制</w:t>
      </w:r>
    </w:p>
    <w:p>
      <w:pPr>
        <w:spacing w:line="360" w:lineRule="auto"/>
        <w:ind w:firstLine="480"/>
        <w:rPr>
          <w:kern w:val="2"/>
          <w:lang w:val="de-DE" w:eastAsia="zh-CN" w:bidi="ar-SA"/>
        </w:rPr>
      </w:pPr>
      <w:r>
        <w:rPr>
          <w:kern w:val="2"/>
          <w:lang w:val="de-DE" w:eastAsia="zh-CN" w:bidi="ar-SA"/>
        </w:rPr>
        <w:t>搅拌站：盾构机在洞外施工场地配置自行设计建造的砂浆搅拌站一座，搅拌能力50m³/h。</w:t>
      </w:r>
    </w:p>
    <w:p>
      <w:pPr>
        <w:spacing w:line="360" w:lineRule="auto"/>
        <w:ind w:firstLine="480"/>
        <w:rPr>
          <w:kern w:val="2"/>
          <w:lang w:val="de-DE" w:eastAsia="zh-CN" w:bidi="ar-SA"/>
        </w:rPr>
      </w:pPr>
      <w:r>
        <w:rPr>
          <w:kern w:val="2"/>
          <w:lang w:val="de-DE" w:eastAsia="zh-CN" w:bidi="ar-SA"/>
        </w:rPr>
        <w:t>运输系统：砂浆运输车，带有自搅拌功能。</w:t>
      </w:r>
    </w:p>
    <w:p>
      <w:pPr>
        <w:spacing w:line="360" w:lineRule="auto"/>
        <w:ind w:firstLine="480"/>
        <w:rPr>
          <w:kern w:val="2"/>
          <w:lang w:eastAsia="zh-CN" w:bidi="ar-SA"/>
        </w:rPr>
      </w:pPr>
      <w:r>
        <w:rPr>
          <w:kern w:val="2"/>
          <w:lang w:eastAsia="zh-CN" w:bidi="ar-SA"/>
        </w:rPr>
        <w:t>（</w:t>
      </w:r>
      <w:r>
        <w:rPr>
          <w:rFonts w:hint="eastAsia"/>
          <w:kern w:val="2"/>
          <w:lang w:val="en-US" w:eastAsia="zh-CN" w:bidi="ar-SA"/>
        </w:rPr>
        <w:t>6</w:t>
      </w:r>
      <w:r>
        <w:rPr>
          <w:kern w:val="2"/>
          <w:lang w:eastAsia="zh-CN" w:bidi="ar-SA"/>
        </w:rPr>
        <w:t>）主要参数</w:t>
      </w:r>
    </w:p>
    <w:p>
      <w:pPr>
        <w:spacing w:line="360" w:lineRule="auto"/>
        <w:ind w:firstLine="480"/>
        <w:rPr>
          <w:kern w:val="2"/>
          <w:lang w:eastAsia="zh-CN" w:bidi="ar-SA"/>
        </w:rPr>
      </w:pPr>
      <w:r>
        <w:rPr>
          <w:rFonts w:hint="eastAsia" w:ascii="宋体" w:hAnsi="宋体" w:cs="宋体"/>
          <w:kern w:val="2"/>
          <w:lang w:eastAsia="zh-CN" w:bidi="ar-SA"/>
        </w:rPr>
        <w:t>①</w:t>
      </w:r>
      <w:r>
        <w:rPr>
          <w:kern w:val="2"/>
          <w:lang w:eastAsia="zh-CN" w:bidi="ar-SA"/>
        </w:rPr>
        <w:t>注浆压力</w:t>
      </w:r>
    </w:p>
    <w:p>
      <w:pPr>
        <w:spacing w:line="360" w:lineRule="auto"/>
        <w:ind w:firstLine="480"/>
        <w:rPr>
          <w:kern w:val="2"/>
          <w:lang w:eastAsia="zh-CN" w:bidi="ar-SA"/>
        </w:rPr>
      </w:pPr>
      <w:r>
        <w:rPr>
          <w:kern w:val="2"/>
          <w:lang w:eastAsia="zh-CN" w:bidi="ar-SA"/>
        </w:rPr>
        <w:t>同步注浆时要求在地层中的浆液压力大于该点的静止水压及土压力之和，做到尽量填补而不宜劈裂。注浆压力过大，隧道将会被浆液扰动而造成后期地层沉降及隧道本身的沉降，并易造成跑浆；而注浆压力过小，浆液填充速度过慢，填充不充足，会使地表变形增大，本工程同步注浆压力设定为0.3～0.5MPa，并根据监控量测结果作适当调整。</w:t>
      </w:r>
    </w:p>
    <w:p>
      <w:pPr>
        <w:spacing w:line="360" w:lineRule="auto"/>
        <w:ind w:firstLine="480"/>
        <w:rPr>
          <w:kern w:val="2"/>
          <w:lang w:eastAsia="zh-CN" w:bidi="ar-SA"/>
        </w:rPr>
      </w:pPr>
      <w:r>
        <w:rPr>
          <w:rFonts w:hint="eastAsia" w:ascii="宋体" w:hAnsi="宋体" w:cs="宋体"/>
          <w:kern w:val="2"/>
          <w:lang w:eastAsia="zh-CN" w:bidi="ar-SA"/>
        </w:rPr>
        <w:t>②</w:t>
      </w:r>
      <w:r>
        <w:rPr>
          <w:kern w:val="2"/>
          <w:lang w:eastAsia="zh-CN" w:bidi="ar-SA"/>
        </w:rPr>
        <w:t>注浆量</w:t>
      </w:r>
    </w:p>
    <w:p>
      <w:pPr>
        <w:spacing w:line="360" w:lineRule="auto"/>
        <w:ind w:firstLine="480"/>
        <w:rPr>
          <w:kern w:val="2"/>
          <w:lang w:eastAsia="zh-CN" w:bidi="ar-SA"/>
        </w:rPr>
      </w:pPr>
      <w:r>
        <w:rPr>
          <w:kern w:val="2"/>
          <w:lang w:eastAsia="zh-CN" w:bidi="ar-SA"/>
        </w:rPr>
        <w:t>同步注浆量为建筑间隙的</w:t>
      </w:r>
      <w:r>
        <w:rPr>
          <w:rFonts w:hint="eastAsia"/>
          <w:kern w:val="2"/>
          <w:lang w:val="en-US" w:eastAsia="zh-CN" w:bidi="ar-SA"/>
        </w:rPr>
        <w:t>130</w:t>
      </w:r>
      <w:r>
        <w:rPr>
          <w:kern w:val="2"/>
          <w:lang w:eastAsia="zh-CN" w:bidi="ar-SA"/>
        </w:rPr>
        <w:t>%～</w:t>
      </w:r>
      <w:r>
        <w:rPr>
          <w:rFonts w:hint="eastAsia"/>
          <w:kern w:val="2"/>
          <w:lang w:val="en-US" w:eastAsia="zh-CN" w:bidi="ar-SA"/>
        </w:rPr>
        <w:t>250</w:t>
      </w:r>
      <w:r>
        <w:rPr>
          <w:kern w:val="2"/>
          <w:lang w:eastAsia="zh-CN" w:bidi="ar-SA"/>
        </w:rPr>
        <w:t>%，即为</w:t>
      </w:r>
      <w:r>
        <w:rPr>
          <w:kern w:val="2"/>
          <w:szCs w:val="20"/>
          <w:lang w:eastAsia="zh-CN" w:bidi="ar-SA"/>
        </w:rPr>
        <w:t>2</w:t>
      </w:r>
      <w:r>
        <w:rPr>
          <w:rFonts w:hint="eastAsia"/>
          <w:kern w:val="2"/>
          <w:szCs w:val="20"/>
          <w:lang w:val="en-US" w:eastAsia="zh-CN" w:bidi="ar-SA"/>
        </w:rPr>
        <w:t>3.4</w:t>
      </w:r>
      <w:r>
        <w:rPr>
          <w:kern w:val="2"/>
          <w:szCs w:val="20"/>
          <w:lang w:eastAsia="zh-CN" w:bidi="ar-SA"/>
        </w:rPr>
        <w:t>～</w:t>
      </w:r>
      <w:r>
        <w:rPr>
          <w:rFonts w:hint="eastAsia"/>
          <w:kern w:val="2"/>
          <w:szCs w:val="20"/>
          <w:lang w:val="en-US" w:eastAsia="zh-CN" w:bidi="ar-SA"/>
        </w:rPr>
        <w:t>45</w:t>
      </w:r>
      <w:r>
        <w:rPr>
          <w:kern w:val="2"/>
          <w:lang w:eastAsia="zh-CN" w:bidi="ar-SA"/>
        </w:rPr>
        <w:t>m³/环。</w:t>
      </w:r>
    </w:p>
    <w:p>
      <w:pPr>
        <w:spacing w:line="360" w:lineRule="auto"/>
        <w:ind w:firstLine="480"/>
        <w:rPr>
          <w:kern w:val="2"/>
          <w:lang w:eastAsia="zh-CN" w:bidi="ar-SA"/>
        </w:rPr>
      </w:pPr>
      <w:r>
        <w:rPr>
          <w:rFonts w:hint="eastAsia" w:ascii="宋体" w:hAnsi="宋体" w:cs="宋体"/>
          <w:kern w:val="2"/>
          <w:lang w:eastAsia="zh-CN" w:bidi="ar-SA"/>
        </w:rPr>
        <w:t>③</w:t>
      </w:r>
      <w:r>
        <w:rPr>
          <w:kern w:val="2"/>
          <w:lang w:eastAsia="zh-CN" w:bidi="ar-SA"/>
        </w:rPr>
        <w:t>注浆时间及速度</w:t>
      </w:r>
    </w:p>
    <w:p>
      <w:pPr>
        <w:spacing w:line="360" w:lineRule="auto"/>
        <w:ind w:firstLine="480"/>
        <w:rPr>
          <w:kern w:val="2"/>
          <w:lang w:eastAsia="zh-CN" w:bidi="ar-SA"/>
        </w:rPr>
      </w:pPr>
      <w:r>
        <w:rPr>
          <w:kern w:val="2"/>
          <w:lang w:eastAsia="zh-CN" w:bidi="ar-SA"/>
        </w:rPr>
        <w:t>盾构机向前掘进的同时，进行同步注浆，同步注浆的速度与盾构机推进速度相匹配。</w:t>
      </w:r>
    </w:p>
    <w:p>
      <w:pPr>
        <w:spacing w:line="360" w:lineRule="auto"/>
        <w:ind w:firstLine="480"/>
        <w:rPr>
          <w:kern w:val="2"/>
          <w:lang w:eastAsia="zh-CN" w:bidi="ar-SA"/>
        </w:rPr>
      </w:pPr>
      <w:r>
        <w:rPr>
          <w:rFonts w:hint="eastAsia" w:ascii="宋体" w:hAnsi="宋体" w:cs="宋体"/>
          <w:kern w:val="2"/>
          <w:lang w:eastAsia="zh-CN" w:bidi="ar-SA"/>
        </w:rPr>
        <w:t>④</w:t>
      </w:r>
      <w:r>
        <w:rPr>
          <w:kern w:val="2"/>
          <w:lang w:eastAsia="zh-CN" w:bidi="ar-SA"/>
        </w:rPr>
        <w:t>注浆顺序</w:t>
      </w:r>
    </w:p>
    <w:p>
      <w:pPr>
        <w:spacing w:line="360" w:lineRule="auto"/>
        <w:ind w:firstLine="480"/>
        <w:rPr>
          <w:kern w:val="2"/>
          <w:lang w:eastAsia="zh-CN" w:bidi="ar-SA"/>
        </w:rPr>
      </w:pPr>
      <w:r>
        <w:rPr>
          <w:kern w:val="2"/>
          <w:lang w:eastAsia="zh-CN" w:bidi="ar-SA"/>
        </w:rPr>
        <w:t>采用6个注浆孔同时压注，在每个注浆孔出口设置压力检测器，以便对各注浆孔的注浆压力和注浆量进行检测与控制，从而实现对管片背后的对称均匀压注。</w:t>
      </w:r>
    </w:p>
    <w:p>
      <w:pPr>
        <w:numPr>
          <w:ilvl w:val="0"/>
          <w:numId w:val="3"/>
        </w:numPr>
        <w:spacing w:line="360" w:lineRule="auto"/>
        <w:ind w:firstLine="480"/>
        <w:rPr>
          <w:kern w:val="2"/>
          <w:lang w:eastAsia="zh-CN" w:bidi="ar-SA"/>
        </w:rPr>
      </w:pPr>
      <w:r>
        <w:rPr>
          <w:kern w:val="2"/>
          <w:lang w:eastAsia="zh-CN" w:bidi="ar-SA"/>
        </w:rPr>
        <w:t>注浆结束标准和注浆效果检查</w:t>
      </w:r>
    </w:p>
    <w:p>
      <w:pPr>
        <w:numPr>
          <w:ilvl w:val="0"/>
          <w:numId w:val="0"/>
        </w:numPr>
        <w:spacing w:line="360" w:lineRule="auto"/>
        <w:ind w:firstLine="480" w:firstLineChars="200"/>
        <w:rPr>
          <w:kern w:val="2"/>
          <w:lang w:eastAsia="zh-CN" w:bidi="ar-SA"/>
        </w:rPr>
      </w:pPr>
      <w:r>
        <w:rPr>
          <w:kern w:val="2"/>
          <w:lang w:eastAsia="zh-CN" w:bidi="ar-SA"/>
        </w:rPr>
        <w:t>采用双指标标准，即注浆压力达到设计压力或注浆压力未达到设计压力，但注浆量达到设计注浆量，即可停止注入</w:t>
      </w:r>
      <w:r>
        <w:rPr>
          <w:rFonts w:hint="eastAsia"/>
          <w:kern w:val="2"/>
          <w:lang w:val="en-US" w:eastAsia="zh-CN" w:bidi="ar-SA"/>
        </w:rPr>
        <w:t>,</w:t>
      </w:r>
      <w:r>
        <w:rPr>
          <w:kern w:val="2"/>
          <w:lang w:eastAsia="zh-CN" w:bidi="ar-SA"/>
        </w:rPr>
        <w:t>注浆效果检查主要采用分析法，即根据P-Q-t曲线，结合掘进速度及衬砌、地表与周围建筑物变形量测结果进行综合分析判断。必要时采用无损探测法进行效果检查。</w:t>
      </w:r>
    </w:p>
    <w:p>
      <w:pPr>
        <w:numPr>
          <w:ilvl w:val="0"/>
          <w:numId w:val="3"/>
        </w:numPr>
        <w:spacing w:line="360" w:lineRule="auto"/>
        <w:ind w:left="0" w:leftChars="0" w:firstLine="480" w:firstLineChars="200"/>
        <w:rPr>
          <w:kern w:val="2"/>
          <w:lang w:eastAsia="zh-CN" w:bidi="ar-SA"/>
        </w:rPr>
      </w:pPr>
      <w:r>
        <w:rPr>
          <w:kern w:val="2"/>
          <w:lang w:eastAsia="zh-CN" w:bidi="ar-SA"/>
        </w:rPr>
        <w:t>由于盾构隧道洞身地层穿越</w:t>
      </w:r>
      <w:r>
        <w:rPr>
          <w:rFonts w:hint="eastAsia"/>
          <w:kern w:val="2"/>
          <w:lang w:eastAsia="zh-CN" w:bidi="ar-SA"/>
        </w:rPr>
        <w:t>围岩地层</w:t>
      </w:r>
      <w:r>
        <w:rPr>
          <w:kern w:val="2"/>
          <w:lang w:eastAsia="zh-CN" w:bidi="ar-SA"/>
        </w:rPr>
        <w:t>，地层渗透系数大，透水性强，为适应盾构通过该段地层时的需要，盾构机同步注浆系统具备注双液浆的功能。</w:t>
      </w:r>
    </w:p>
    <w:p>
      <w:pPr>
        <w:pStyle w:val="5"/>
        <w:bidi w:val="0"/>
        <w:spacing w:line="360" w:lineRule="auto"/>
        <w:rPr>
          <w:rFonts w:hint="eastAsia"/>
          <w:sz w:val="28"/>
          <w:szCs w:val="28"/>
          <w:lang w:val="en-US" w:eastAsia="zh-CN"/>
        </w:rPr>
      </w:pPr>
      <w:bookmarkStart w:id="108" w:name="_Toc15555"/>
      <w:bookmarkStart w:id="109" w:name="_Toc7993"/>
      <w:r>
        <w:rPr>
          <w:rFonts w:hint="eastAsia"/>
          <w:sz w:val="28"/>
          <w:szCs w:val="28"/>
          <w:lang w:val="en-US" w:eastAsia="zh-CN"/>
        </w:rPr>
        <w:t>3.4注浆质量控制措施：</w:t>
      </w:r>
      <w:bookmarkEnd w:id="108"/>
      <w:bookmarkEnd w:id="109"/>
    </w:p>
    <w:p>
      <w:pPr>
        <w:pStyle w:val="2"/>
        <w:numPr>
          <w:ilvl w:val="0"/>
          <w:numId w:val="0"/>
        </w:numPr>
        <w:ind w:right="-29"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优化施工流程，合理安排工序衔接时间，采用混凝土罐车地泵输送砂浆的方式，在4号台车安排专职人员操作协调，地泵操作手与前面的注浆手随时沟通协调，保证现场施工砂浆供应。每次罐车来到要检查砂浆质量。如果砂浆质量达不到施工要求及时报告当班机长，机长通知质检工程师现场核实后确认，通知调度运出洞外，并通知拌合站。</w:t>
      </w:r>
    </w:p>
    <w:p>
      <w:pPr>
        <w:pStyle w:val="2"/>
        <w:numPr>
          <w:ilvl w:val="0"/>
          <w:numId w:val="0"/>
        </w:numPr>
        <w:ind w:right="-29"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（1）和易性及稠度检查:目视检查:砂浆和易性良好，不存在离析、沉淀现象;</w:t>
      </w:r>
    </w:p>
    <w:p>
      <w:pPr>
        <w:pStyle w:val="2"/>
        <w:numPr>
          <w:ilvl w:val="0"/>
          <w:numId w:val="0"/>
        </w:numPr>
        <w:ind w:right="-29"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（2）拌合物检查目视检查确保砂浆内不存在大粒径的颗粒存在；</w:t>
      </w:r>
    </w:p>
    <w:p>
      <w:pPr>
        <w:pStyle w:val="2"/>
        <w:numPr>
          <w:ilvl w:val="0"/>
          <w:numId w:val="0"/>
        </w:numPr>
        <w:ind w:right="-29"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（3）坍落度检查:坍落度筒检查:利用坍落度筒检测每罐砂浆的坍落度；</w:t>
      </w:r>
    </w:p>
    <w:p>
      <w:pPr>
        <w:pStyle w:val="2"/>
        <w:numPr>
          <w:ilvl w:val="0"/>
          <w:numId w:val="0"/>
        </w:numPr>
        <w:ind w:right="-29"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（4）保水性检查:固定罐目视检查:持续搅拌一段时间，确保砂浆表面没有水析出；</w:t>
      </w:r>
    </w:p>
    <w:p>
      <w:pPr>
        <w:pStyle w:val="2"/>
        <w:numPr>
          <w:ilvl w:val="0"/>
          <w:numId w:val="0"/>
        </w:numPr>
        <w:ind w:right="-29"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（5)注浆压力不宜过大应保持在设计范围以内；</w:t>
      </w:r>
    </w:p>
    <w:p>
      <w:pPr>
        <w:pStyle w:val="5"/>
        <w:bidi w:val="0"/>
        <w:spacing w:line="360" w:lineRule="auto"/>
        <w:rPr>
          <w:rFonts w:hint="eastAsia"/>
          <w:sz w:val="28"/>
          <w:szCs w:val="28"/>
          <w:lang w:val="en-US" w:eastAsia="zh-CN"/>
        </w:rPr>
      </w:pPr>
      <w:bookmarkStart w:id="110" w:name="_Toc31951"/>
      <w:bookmarkStart w:id="111" w:name="_Toc29743"/>
      <w:r>
        <w:rPr>
          <w:rFonts w:hint="eastAsia"/>
          <w:sz w:val="28"/>
          <w:szCs w:val="28"/>
          <w:lang w:val="en-US" w:eastAsia="zh-CN"/>
        </w:rPr>
        <w:t>3.5同步注浆验收标准：</w:t>
      </w:r>
      <w:bookmarkEnd w:id="110"/>
      <w:bookmarkEnd w:id="111"/>
    </w:p>
    <w:p>
      <w:pPr>
        <w:pStyle w:val="2"/>
        <w:numPr>
          <w:ilvl w:val="0"/>
          <w:numId w:val="0"/>
        </w:numPr>
        <w:ind w:right="-29" w:righ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(1)注浆作业时应对注浆量(充填系教参考值130%~250%) 和压力同时管，当注浆压力达到理论设计压力( 掘进面水土压力0.1-0.2MPO，注浆量达到设计注浆量时应结束注浆。注浆结束后，应及时采用地质雷达、超声波探测等可靠方法对注浆质量进行检查，对未满足要求的部位，及时进行补注浆；</w:t>
      </w:r>
    </w:p>
    <w:p>
      <w:pPr>
        <w:pStyle w:val="5"/>
        <w:bidi w:val="0"/>
        <w:spacing w:line="360" w:lineRule="auto"/>
        <w:rPr>
          <w:rFonts w:hint="default"/>
          <w:sz w:val="28"/>
          <w:szCs w:val="28"/>
          <w:lang w:val="en-US" w:eastAsia="zh-CN"/>
        </w:rPr>
      </w:pPr>
      <w:bookmarkStart w:id="112" w:name="_Toc204"/>
      <w:bookmarkStart w:id="113" w:name="_Toc15596"/>
      <w:r>
        <w:rPr>
          <w:rFonts w:hint="eastAsia"/>
          <w:sz w:val="28"/>
          <w:szCs w:val="28"/>
          <w:lang w:val="en-US" w:eastAsia="zh-CN"/>
        </w:rPr>
        <w:t>3.6同步注浆安全保证措施：</w:t>
      </w:r>
      <w:bookmarkEnd w:id="112"/>
      <w:bookmarkEnd w:id="113"/>
    </w:p>
    <w:p>
      <w:pPr>
        <w:pStyle w:val="88"/>
        <w:ind w:firstLine="480"/>
        <w:rPr>
          <w:rFonts w:hint="eastAsia"/>
        </w:rPr>
      </w:pPr>
      <w:r>
        <w:rPr>
          <w:rFonts w:hint="eastAsia"/>
          <w:lang w:val="en-US" w:eastAsia="zh-CN"/>
        </w:rPr>
        <w:t>(1)</w:t>
      </w:r>
      <w:r>
        <w:rPr>
          <w:rFonts w:hint="eastAsia"/>
        </w:rPr>
        <w:t>所有注浆组人员必须经过安全教育与专业培训后在进场到岗。</w:t>
      </w:r>
    </w:p>
    <w:p>
      <w:pPr>
        <w:pStyle w:val="88"/>
        <w:ind w:firstLine="480"/>
        <w:rPr>
          <w:rFonts w:hint="default" w:eastAsia="宋体"/>
          <w:lang w:val="en-US" w:eastAsia="zh-CN"/>
        </w:rPr>
      </w:pPr>
      <w:r>
        <w:rPr>
          <w:rFonts w:hint="eastAsia"/>
          <w:lang w:val="en-US" w:eastAsia="zh-CN"/>
        </w:rPr>
        <w:t>(2)</w:t>
      </w:r>
      <w:r>
        <w:rPr>
          <w:rFonts w:hint="eastAsia"/>
        </w:rPr>
        <w:t>注浆人员配置焊工眼镜，防止注浆浆液迸溅至眼睛里。</w:t>
      </w:r>
    </w:p>
    <w:p>
      <w:pPr>
        <w:pStyle w:val="88"/>
        <w:ind w:firstLine="480"/>
        <w:rPr>
          <w:rFonts w:hint="default" w:ascii="宋体" w:hAnsi="宋体" w:eastAsia="宋体" w:cs="宋体"/>
          <w:sz w:val="24"/>
          <w:szCs w:val="24"/>
          <w:lang w:val="en-US" w:eastAsia="zh-CN"/>
        </w:rPr>
      </w:pPr>
      <w:r>
        <w:rPr>
          <w:rFonts w:hint="eastAsia"/>
          <w:lang w:val="en-US" w:eastAsia="zh-CN"/>
        </w:rPr>
        <w:t>(3)</w:t>
      </w:r>
      <w:r>
        <w:rPr>
          <w:rFonts w:hint="eastAsia"/>
        </w:rPr>
        <w:t>机长应做好巡视，避免注浆泵空打、反打，导致设备损坏。</w:t>
      </w:r>
    </w:p>
    <w:p>
      <w:pPr>
        <w:pStyle w:val="82"/>
        <w:bidi w:val="0"/>
        <w:spacing w:line="360" w:lineRule="auto"/>
        <w:rPr>
          <w:rFonts w:hint="eastAsia"/>
          <w:b/>
          <w:bCs w:val="0"/>
          <w:lang w:val="en-US" w:eastAsia="zh-CN"/>
        </w:rPr>
      </w:pPr>
      <w:bookmarkStart w:id="114" w:name="_Toc16298"/>
      <w:bookmarkStart w:id="115" w:name="_Toc78833665"/>
      <w:bookmarkStart w:id="116" w:name="_Toc76810209"/>
      <w:bookmarkStart w:id="117" w:name="_Toc18226"/>
      <w:bookmarkStart w:id="118" w:name="_Toc6243"/>
      <w:bookmarkStart w:id="119" w:name="_Toc27207"/>
      <w:r>
        <w:rPr>
          <w:rFonts w:hint="eastAsia"/>
          <w:b/>
          <w:bCs w:val="0"/>
          <w:lang w:val="en-US" w:eastAsia="zh-CN"/>
        </w:rPr>
        <w:t>4二次注浆</w:t>
      </w:r>
      <w:bookmarkEnd w:id="114"/>
      <w:bookmarkEnd w:id="115"/>
      <w:bookmarkEnd w:id="116"/>
      <w:bookmarkEnd w:id="117"/>
      <w:bookmarkEnd w:id="118"/>
      <w:bookmarkEnd w:id="119"/>
    </w:p>
    <w:p>
      <w:pPr>
        <w:pStyle w:val="5"/>
        <w:bidi w:val="0"/>
        <w:spacing w:line="360" w:lineRule="auto"/>
        <w:rPr>
          <w:rFonts w:hint="eastAsia"/>
          <w:sz w:val="28"/>
          <w:szCs w:val="28"/>
          <w:lang w:val="en-US" w:eastAsia="zh-CN"/>
        </w:rPr>
      </w:pPr>
      <w:bookmarkStart w:id="120" w:name="_Toc20349"/>
      <w:bookmarkStart w:id="121" w:name="_Toc7398"/>
      <w:bookmarkStart w:id="122" w:name="_Toc8725"/>
      <w:bookmarkStart w:id="123" w:name="_Toc10864"/>
      <w:bookmarkStart w:id="124" w:name="_Toc78833666"/>
      <w:bookmarkStart w:id="125" w:name="_Toc76810213"/>
      <w:r>
        <w:rPr>
          <w:rFonts w:hint="eastAsia"/>
          <w:sz w:val="28"/>
          <w:szCs w:val="28"/>
          <w:lang w:val="en-US" w:eastAsia="zh-CN"/>
        </w:rPr>
        <w:t>4.1二次注浆目的</w:t>
      </w:r>
      <w:bookmarkEnd w:id="120"/>
      <w:bookmarkEnd w:id="121"/>
      <w:bookmarkEnd w:id="122"/>
      <w:bookmarkEnd w:id="123"/>
    </w:p>
    <w:p>
      <w:pPr>
        <w:spacing w:line="360" w:lineRule="auto"/>
        <w:ind w:firstLine="480"/>
      </w:pPr>
      <w:r>
        <w:rPr>
          <w:rFonts w:hint="eastAsia"/>
        </w:rPr>
        <w:t>(</w:t>
      </w:r>
      <w:r>
        <w:t>1)</w:t>
      </w:r>
      <w:r>
        <w:rPr>
          <w:rFonts w:hint="eastAsia"/>
        </w:rPr>
        <w:t>通过二次注浆，缩短同步注浆浆液凝结时间，促进管片早期稳定，有效控制管片的上浮。</w:t>
      </w:r>
      <w:r>
        <w:t> </w:t>
      </w:r>
    </w:p>
    <w:p>
      <w:pPr>
        <w:spacing w:line="360" w:lineRule="auto"/>
        <w:ind w:firstLine="480"/>
      </w:pPr>
      <w:r>
        <w:rPr>
          <w:rFonts w:hint="eastAsia"/>
        </w:rPr>
        <w:t>(</w:t>
      </w:r>
      <w:r>
        <w:t>2)</w:t>
      </w:r>
      <w:r>
        <w:rPr>
          <w:rFonts w:hint="eastAsia"/>
        </w:rPr>
        <w:t>填充管片壁厚同步注浆未能充分密实注入的部分，防止隧道渗漏水。</w:t>
      </w:r>
    </w:p>
    <w:p>
      <w:pPr>
        <w:pStyle w:val="5"/>
        <w:bidi w:val="0"/>
        <w:spacing w:line="360" w:lineRule="auto"/>
        <w:rPr>
          <w:rFonts w:hint="eastAsia"/>
          <w:sz w:val="28"/>
          <w:szCs w:val="28"/>
          <w:lang w:val="en-US" w:eastAsia="zh-CN"/>
        </w:rPr>
      </w:pPr>
      <w:bookmarkStart w:id="126" w:name="_Toc25035"/>
      <w:bookmarkStart w:id="127" w:name="_Toc2464"/>
      <w:bookmarkStart w:id="128" w:name="_Toc7514"/>
      <w:bookmarkStart w:id="129" w:name="_Toc25301"/>
      <w:r>
        <w:rPr>
          <w:rFonts w:hint="eastAsia"/>
          <w:sz w:val="28"/>
          <w:szCs w:val="28"/>
          <w:lang w:val="en-US" w:eastAsia="zh-CN"/>
        </w:rPr>
        <w:t>4.2浆液选择</w:t>
      </w:r>
      <w:bookmarkEnd w:id="126"/>
      <w:bookmarkEnd w:id="127"/>
      <w:bookmarkEnd w:id="128"/>
      <w:bookmarkEnd w:id="129"/>
    </w:p>
    <w:p>
      <w:pPr>
        <w:spacing w:line="360" w:lineRule="auto"/>
        <w:ind w:firstLine="480"/>
        <w:rPr>
          <w:rFonts w:hAnsi="宋体"/>
        </w:rPr>
      </w:pPr>
      <w:r>
        <w:rPr>
          <w:rFonts w:hint="eastAsia" w:hAnsi="宋体"/>
        </w:rPr>
        <w:t>(</w:t>
      </w:r>
      <w:r>
        <w:rPr>
          <w:rFonts w:hAnsi="宋体"/>
        </w:rPr>
        <w:t>1)</w:t>
      </w:r>
      <w:r>
        <w:rPr>
          <w:rFonts w:hint="eastAsia" w:hAnsi="宋体"/>
        </w:rPr>
        <w:t>根据测量数据分析，地面沉降过大或者管片有上浮量较大，为了控制地表沉降或稳定管片，采用双液浆(水泥浆与水玻璃)进行注浆。</w:t>
      </w:r>
    </w:p>
    <w:p>
      <w:pPr>
        <w:spacing w:line="360" w:lineRule="auto"/>
        <w:ind w:firstLine="480"/>
        <w:rPr>
          <w:rFonts w:hint="eastAsia"/>
        </w:rPr>
      </w:pPr>
      <w:r>
        <w:rPr>
          <w:rFonts w:hAnsi="宋体"/>
        </w:rPr>
        <w:t>(2)</w:t>
      </w:r>
      <w:r>
        <w:rPr>
          <w:rFonts w:hint="eastAsia" w:hAnsi="宋体"/>
        </w:rPr>
        <w:t>当管片上量较大时，为了稳定管片，也可通过注浆孔注入水玻璃，缩短管片外壁同步注浆浆液的凝结时间，稳固管片，进而控制上浮。</w:t>
      </w:r>
    </w:p>
    <w:p>
      <w:pPr>
        <w:pStyle w:val="79"/>
        <w:spacing w:line="360" w:lineRule="auto"/>
        <w:ind w:firstLine="480" w:firstLineChars="200"/>
        <w:jc w:val="both"/>
        <w:rPr>
          <w:rFonts w:hint="eastAsia"/>
          <w:b w:val="0"/>
          <w:bCs/>
        </w:rPr>
      </w:pPr>
      <w:r>
        <w:rPr>
          <w:rFonts w:hint="eastAsia" w:hAnsi="宋体"/>
          <w:b w:val="0"/>
          <w:bCs/>
        </w:rPr>
        <w:t>(</w:t>
      </w:r>
      <w:r>
        <w:rPr>
          <w:rFonts w:hAnsi="宋体"/>
          <w:b w:val="0"/>
          <w:bCs/>
        </w:rPr>
        <w:t>3)</w:t>
      </w:r>
      <w:r>
        <w:rPr>
          <w:rFonts w:hint="eastAsia"/>
          <w:b w:val="0"/>
          <w:bCs/>
        </w:rPr>
        <w:t>盾构隧道成型之后，由于个别管环同步注浆不饱满或因浆液凝固体积缩小，管片背后形成空</w:t>
      </w:r>
      <w:r>
        <w:rPr>
          <w:rFonts w:hint="eastAsia"/>
          <w:b w:val="0"/>
          <w:bCs/>
          <w:highlight w:val="none"/>
        </w:rPr>
        <w:t>腔，且本地段靠近长江，地下水较为丰富，如</w:t>
      </w:r>
      <w:r>
        <w:rPr>
          <w:rFonts w:hint="eastAsia"/>
          <w:b w:val="0"/>
          <w:bCs/>
        </w:rPr>
        <w:t>果管片止水条松动或其他原因，会形成渗水通道，地下水水压力会造成管片出现渗漏水现象，此时需要使用双液浆(水泥浆与水玻璃</w:t>
      </w:r>
      <w:r>
        <w:rPr>
          <w:b w:val="0"/>
          <w:bCs/>
        </w:rPr>
        <w:t>)</w:t>
      </w:r>
      <w:r>
        <w:rPr>
          <w:rFonts w:hint="eastAsia"/>
          <w:b w:val="0"/>
          <w:bCs/>
        </w:rPr>
        <w:t>把空隙填充，阻断渗水通道，进而控制管片</w:t>
      </w:r>
      <w:r>
        <w:rPr>
          <w:rFonts w:hint="eastAsia"/>
          <w:b w:val="0"/>
          <w:bCs/>
          <w:lang w:val="en-US" w:eastAsia="zh-CN"/>
        </w:rPr>
        <w:t>渗</w:t>
      </w:r>
      <w:r>
        <w:rPr>
          <w:rFonts w:hint="eastAsia"/>
          <w:b w:val="0"/>
          <w:bCs/>
        </w:rPr>
        <w:t>水。</w:t>
      </w:r>
    </w:p>
    <w:p>
      <w:pPr>
        <w:pStyle w:val="5"/>
        <w:bidi w:val="0"/>
        <w:spacing w:line="360" w:lineRule="auto"/>
        <w:rPr>
          <w:rFonts w:hint="eastAsia"/>
          <w:sz w:val="28"/>
          <w:szCs w:val="28"/>
          <w:lang w:val="en-US" w:eastAsia="zh-CN"/>
        </w:rPr>
      </w:pPr>
      <w:bookmarkStart w:id="130" w:name="_Toc3604"/>
      <w:bookmarkStart w:id="131" w:name="_Toc20929"/>
      <w:bookmarkStart w:id="132" w:name="_Toc134"/>
      <w:bookmarkStart w:id="133" w:name="_Toc28378"/>
      <w:r>
        <w:rPr>
          <w:rFonts w:hint="eastAsia"/>
          <w:sz w:val="28"/>
          <w:szCs w:val="28"/>
          <w:lang w:val="en-US" w:eastAsia="zh-CN"/>
        </w:rPr>
        <w:t>4.3施工准备</w:t>
      </w:r>
      <w:bookmarkEnd w:id="130"/>
      <w:bookmarkEnd w:id="131"/>
      <w:bookmarkEnd w:id="132"/>
      <w:bookmarkEnd w:id="133"/>
    </w:p>
    <w:p>
      <w:pPr>
        <w:pStyle w:val="79"/>
        <w:numPr>
          <w:ilvl w:val="0"/>
          <w:numId w:val="4"/>
        </w:numPr>
        <w:spacing w:line="360" w:lineRule="auto"/>
        <w:ind w:firstLine="480" w:firstLineChars="200"/>
        <w:jc w:val="both"/>
        <w:rPr>
          <w:rFonts w:hint="eastAsia" w:hAnsi="宋体" w:cs="宋体"/>
          <w:b w:val="0"/>
          <w:bCs/>
          <w:szCs w:val="21"/>
        </w:rPr>
      </w:pPr>
      <w:r>
        <w:rPr>
          <w:rFonts w:hint="eastAsia" w:hAnsi="宋体" w:cs="宋体"/>
          <w:b w:val="0"/>
          <w:bCs/>
          <w:szCs w:val="21"/>
        </w:rPr>
        <w:t>人员、材料准备班组施工人员：7人。材料：海螺牌P042.5号普通硅酸盐水泥、</w:t>
      </w:r>
      <w:r>
        <w:rPr>
          <w:rFonts w:hint="eastAsia" w:hAnsi="宋体" w:cs="宋体"/>
          <w:b w:val="0"/>
          <w:bCs/>
          <w:szCs w:val="21"/>
          <w:lang w:val="en-US" w:eastAsia="zh-CN"/>
        </w:rPr>
        <w:t>超细水泥（或其他特种浆液）、</w:t>
      </w:r>
      <w:r>
        <w:rPr>
          <w:rFonts w:hint="eastAsia" w:hAnsi="宋体" w:cs="宋体"/>
          <w:b w:val="0"/>
          <w:bCs/>
          <w:szCs w:val="21"/>
        </w:rPr>
        <w:t>水玻璃、水。</w:t>
      </w:r>
    </w:p>
    <w:p>
      <w:pPr>
        <w:pStyle w:val="79"/>
        <w:numPr>
          <w:ilvl w:val="0"/>
          <w:numId w:val="0"/>
        </w:numPr>
        <w:spacing w:line="360" w:lineRule="auto"/>
        <w:ind w:firstLine="960" w:firstLineChars="400"/>
        <w:jc w:val="both"/>
        <w:rPr>
          <w:rFonts w:hint="eastAsia" w:hAnsi="宋体" w:cs="宋体"/>
          <w:b/>
          <w:bCs/>
          <w:szCs w:val="21"/>
        </w:rPr>
      </w:pPr>
      <w:r>
        <w:rPr>
          <w:rFonts w:hint="eastAsia" w:hAnsi="宋体" w:cs="宋体"/>
          <w:b/>
          <w:bCs/>
          <w:szCs w:val="21"/>
        </w:rPr>
        <w:t>表4</w:t>
      </w:r>
      <w:r>
        <w:rPr>
          <w:rFonts w:hint="eastAsia" w:hAnsi="宋体" w:cs="宋体"/>
          <w:b/>
          <w:bCs/>
          <w:szCs w:val="21"/>
          <w:lang w:val="en-US" w:eastAsia="zh-CN"/>
        </w:rPr>
        <w:t>.1</w:t>
      </w:r>
      <w:r>
        <w:rPr>
          <w:rFonts w:hint="eastAsia" w:hAnsi="宋体" w:cs="宋体"/>
          <w:b/>
          <w:bCs/>
          <w:szCs w:val="21"/>
        </w:rPr>
        <w:t xml:space="preserve">-1 </w:t>
      </w:r>
      <w:r>
        <w:rPr>
          <w:rFonts w:hint="eastAsia" w:hAnsi="宋体" w:cs="宋体"/>
          <w:b/>
          <w:bCs/>
          <w:szCs w:val="21"/>
          <w:lang w:val="en-US" w:eastAsia="zh-CN"/>
        </w:rPr>
        <w:t>重庆至黔江铁路站前2标项目经理部二分部</w:t>
      </w:r>
      <w:r>
        <w:rPr>
          <w:rFonts w:hint="eastAsia" w:hAnsi="宋体" w:cs="宋体"/>
          <w:b/>
          <w:bCs/>
          <w:szCs w:val="21"/>
        </w:rPr>
        <w:t>管理人员配置表</w:t>
      </w:r>
    </w:p>
    <w:tbl>
      <w:tblPr>
        <w:tblStyle w:val="30"/>
        <w:tblW w:w="0" w:type="auto"/>
        <w:jc w:val="center"/>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06"/>
        <w:gridCol w:w="1560"/>
        <w:gridCol w:w="5079"/>
      </w:tblGrid>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468" w:hRule="exact"/>
          <w:jc w:val="center"/>
        </w:trPr>
        <w:tc>
          <w:tcPr>
            <w:tcW w:w="2106" w:type="dxa"/>
            <w:noWrap w:val="0"/>
            <w:vAlign w:val="center"/>
          </w:tcPr>
          <w:p>
            <w:pPr>
              <w:spacing w:line="240" w:lineRule="auto"/>
              <w:ind w:firstLine="0" w:firstLineChars="0"/>
              <w:jc w:val="center"/>
              <w:rPr>
                <w:rFonts w:hint="eastAsia" w:hAnsi="宋体" w:cs="宋体"/>
                <w:b/>
                <w:szCs w:val="21"/>
              </w:rPr>
            </w:pPr>
            <w:r>
              <w:rPr>
                <w:rFonts w:hint="eastAsia" w:hAnsi="宋体" w:cs="宋体"/>
                <w:b/>
                <w:szCs w:val="21"/>
              </w:rPr>
              <w:t>职务</w:t>
            </w:r>
          </w:p>
        </w:tc>
        <w:tc>
          <w:tcPr>
            <w:tcW w:w="1560" w:type="dxa"/>
            <w:noWrap w:val="0"/>
            <w:vAlign w:val="center"/>
          </w:tcPr>
          <w:p>
            <w:pPr>
              <w:spacing w:line="240" w:lineRule="auto"/>
              <w:ind w:firstLine="0" w:firstLineChars="0"/>
              <w:jc w:val="center"/>
              <w:rPr>
                <w:rFonts w:hint="eastAsia" w:hAnsi="宋体" w:cs="宋体"/>
                <w:b/>
                <w:szCs w:val="21"/>
              </w:rPr>
            </w:pPr>
            <w:r>
              <w:rPr>
                <w:rFonts w:hint="eastAsia" w:hAnsi="宋体" w:cs="宋体"/>
                <w:b/>
                <w:szCs w:val="21"/>
              </w:rPr>
              <w:t>姓 名</w:t>
            </w:r>
          </w:p>
        </w:tc>
        <w:tc>
          <w:tcPr>
            <w:tcW w:w="5079" w:type="dxa"/>
            <w:noWrap w:val="0"/>
            <w:vAlign w:val="center"/>
          </w:tcPr>
          <w:p>
            <w:pPr>
              <w:spacing w:line="240" w:lineRule="auto"/>
              <w:ind w:firstLine="0" w:firstLineChars="0"/>
              <w:jc w:val="center"/>
              <w:rPr>
                <w:rFonts w:hint="eastAsia" w:hAnsi="宋体" w:cs="宋体"/>
                <w:b/>
                <w:szCs w:val="21"/>
              </w:rPr>
            </w:pPr>
            <w:r>
              <w:rPr>
                <w:rFonts w:hint="eastAsia" w:hAnsi="宋体" w:cs="宋体"/>
                <w:b/>
                <w:szCs w:val="21"/>
              </w:rPr>
              <w:t>职责</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10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项目经理</w:t>
            </w:r>
          </w:p>
        </w:tc>
        <w:tc>
          <w:tcPr>
            <w:tcW w:w="1560" w:type="dxa"/>
            <w:noWrap w:val="0"/>
            <w:vAlign w:val="center"/>
          </w:tcPr>
          <w:p>
            <w:pPr>
              <w:spacing w:line="240" w:lineRule="auto"/>
              <w:ind w:firstLine="0" w:firstLineChars="0"/>
              <w:jc w:val="center"/>
              <w:rPr>
                <w:rFonts w:hint="default" w:hAnsi="宋体" w:eastAsia="宋体" w:cs="宋体"/>
                <w:szCs w:val="21"/>
                <w:lang w:val="en-US" w:eastAsia="zh-CN"/>
              </w:rPr>
            </w:pPr>
            <w:r>
              <w:rPr>
                <w:rFonts w:hint="eastAsia" w:hAnsi="宋体" w:cs="宋体"/>
                <w:szCs w:val="21"/>
                <w:lang w:val="en-US" w:eastAsia="zh-CN"/>
              </w:rPr>
              <w:t>孔玉清</w:t>
            </w:r>
          </w:p>
        </w:tc>
        <w:tc>
          <w:tcPr>
            <w:tcW w:w="5079"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负责全面组织协调及施工管理</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10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项目总工</w:t>
            </w:r>
          </w:p>
        </w:tc>
        <w:tc>
          <w:tcPr>
            <w:tcW w:w="1560" w:type="dxa"/>
            <w:noWrap w:val="0"/>
            <w:vAlign w:val="center"/>
          </w:tcPr>
          <w:p>
            <w:pPr>
              <w:spacing w:line="240" w:lineRule="auto"/>
              <w:ind w:firstLine="0" w:firstLineChars="0"/>
              <w:jc w:val="center"/>
              <w:rPr>
                <w:rFonts w:hint="default" w:hAnsi="宋体" w:eastAsia="宋体" w:cs="宋体"/>
                <w:szCs w:val="21"/>
                <w:lang w:val="en-US" w:eastAsia="zh-CN"/>
              </w:rPr>
            </w:pPr>
            <w:r>
              <w:rPr>
                <w:rFonts w:hint="eastAsia" w:hAnsi="宋体" w:cs="宋体"/>
                <w:szCs w:val="21"/>
                <w:lang w:val="en-US" w:eastAsia="zh-CN"/>
              </w:rPr>
              <w:t>杨帆</w:t>
            </w:r>
          </w:p>
        </w:tc>
        <w:tc>
          <w:tcPr>
            <w:tcW w:w="5079"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负责技术管理及质量管控工作</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106"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项目副经理</w:t>
            </w:r>
          </w:p>
        </w:tc>
        <w:tc>
          <w:tcPr>
            <w:tcW w:w="1560" w:type="dxa"/>
            <w:noWrap w:val="0"/>
            <w:vAlign w:val="center"/>
          </w:tcPr>
          <w:p>
            <w:pPr>
              <w:spacing w:line="240" w:lineRule="auto"/>
              <w:ind w:firstLine="0" w:firstLineChars="0"/>
              <w:jc w:val="center"/>
              <w:rPr>
                <w:rFonts w:hint="default" w:hAnsi="宋体" w:eastAsia="宋体" w:cs="宋体"/>
                <w:szCs w:val="21"/>
                <w:highlight w:val="none"/>
                <w:lang w:val="en-US" w:eastAsia="zh-CN"/>
              </w:rPr>
            </w:pPr>
            <w:r>
              <w:rPr>
                <w:rFonts w:hint="eastAsia" w:hAnsi="宋体" w:cs="宋体"/>
                <w:szCs w:val="21"/>
                <w:highlight w:val="none"/>
                <w:lang w:val="en-US" w:eastAsia="zh-CN"/>
              </w:rPr>
              <w:t>杨贺</w:t>
            </w:r>
          </w:p>
        </w:tc>
        <w:tc>
          <w:tcPr>
            <w:tcW w:w="5079"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负责施工现场组织及管理</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106" w:type="dxa"/>
            <w:noWrap w:val="0"/>
            <w:vAlign w:val="center"/>
          </w:tcPr>
          <w:p>
            <w:pPr>
              <w:spacing w:line="240" w:lineRule="auto"/>
              <w:ind w:firstLine="0" w:firstLineChars="0"/>
              <w:jc w:val="center"/>
              <w:rPr>
                <w:rFonts w:hint="eastAsia" w:hAnsi="宋体" w:eastAsia="宋体" w:cs="宋体"/>
                <w:szCs w:val="21"/>
                <w:highlight w:val="none"/>
                <w:lang w:eastAsia="zh-CN"/>
              </w:rPr>
            </w:pPr>
            <w:r>
              <w:rPr>
                <w:rFonts w:hint="eastAsia" w:hAnsi="宋体" w:cs="宋体"/>
                <w:szCs w:val="21"/>
                <w:highlight w:val="none"/>
                <w:lang w:val="en-US" w:eastAsia="zh-CN"/>
              </w:rPr>
              <w:t>工程部长</w:t>
            </w:r>
          </w:p>
        </w:tc>
        <w:tc>
          <w:tcPr>
            <w:tcW w:w="1560" w:type="dxa"/>
            <w:noWrap w:val="0"/>
            <w:vAlign w:val="center"/>
          </w:tcPr>
          <w:p>
            <w:pPr>
              <w:spacing w:line="240" w:lineRule="auto"/>
              <w:ind w:firstLine="0" w:firstLineChars="0"/>
              <w:jc w:val="center"/>
              <w:rPr>
                <w:rFonts w:hint="default" w:hAnsi="宋体" w:eastAsia="宋体" w:cs="宋体"/>
                <w:szCs w:val="21"/>
                <w:highlight w:val="none"/>
                <w:lang w:val="en-US" w:eastAsia="zh-CN"/>
              </w:rPr>
            </w:pPr>
            <w:r>
              <w:rPr>
                <w:rFonts w:hint="eastAsia" w:hAnsi="宋体" w:cs="宋体"/>
                <w:szCs w:val="21"/>
                <w:highlight w:val="none"/>
                <w:lang w:val="en-US" w:eastAsia="zh-CN"/>
              </w:rPr>
              <w:t>于鑫洋</w:t>
            </w:r>
          </w:p>
        </w:tc>
        <w:tc>
          <w:tcPr>
            <w:tcW w:w="5079"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负责施工方案及交底的编制及交底</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106"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盾构机长</w:t>
            </w:r>
          </w:p>
        </w:tc>
        <w:tc>
          <w:tcPr>
            <w:tcW w:w="1560" w:type="dxa"/>
            <w:noWrap w:val="0"/>
            <w:vAlign w:val="center"/>
          </w:tcPr>
          <w:p>
            <w:pPr>
              <w:spacing w:line="240" w:lineRule="auto"/>
              <w:ind w:firstLine="0" w:firstLineChars="0"/>
              <w:jc w:val="center"/>
              <w:rPr>
                <w:rFonts w:hint="default" w:hAnsi="宋体" w:eastAsia="宋体" w:cs="宋体"/>
                <w:szCs w:val="21"/>
                <w:highlight w:val="none"/>
                <w:lang w:val="en-US" w:eastAsia="zh-CN"/>
              </w:rPr>
            </w:pPr>
            <w:r>
              <w:rPr>
                <w:rFonts w:hint="eastAsia" w:hAnsi="宋体" w:cs="宋体"/>
                <w:szCs w:val="21"/>
                <w:highlight w:val="none"/>
                <w:lang w:val="en-US" w:eastAsia="zh-CN"/>
              </w:rPr>
              <w:t>白轩</w:t>
            </w:r>
          </w:p>
        </w:tc>
        <w:tc>
          <w:tcPr>
            <w:tcW w:w="5079"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负责现场施工技术管理、质量验收</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106"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试验负责人</w:t>
            </w:r>
          </w:p>
        </w:tc>
        <w:tc>
          <w:tcPr>
            <w:tcW w:w="1560" w:type="dxa"/>
            <w:noWrap w:val="0"/>
            <w:vAlign w:val="center"/>
          </w:tcPr>
          <w:p>
            <w:pPr>
              <w:spacing w:line="240" w:lineRule="auto"/>
              <w:ind w:firstLine="0" w:firstLineChars="0"/>
              <w:jc w:val="center"/>
              <w:rPr>
                <w:rFonts w:hint="default" w:hAnsi="宋体" w:eastAsia="宋体" w:cs="宋体"/>
                <w:szCs w:val="21"/>
                <w:highlight w:val="none"/>
                <w:lang w:val="en-US" w:eastAsia="zh-CN"/>
              </w:rPr>
            </w:pPr>
            <w:r>
              <w:rPr>
                <w:rFonts w:hint="eastAsia" w:hAnsi="宋体" w:cs="宋体"/>
                <w:szCs w:val="21"/>
                <w:highlight w:val="none"/>
                <w:lang w:val="en-US" w:eastAsia="zh-CN"/>
              </w:rPr>
              <w:t>/</w:t>
            </w:r>
          </w:p>
        </w:tc>
        <w:tc>
          <w:tcPr>
            <w:tcW w:w="5079"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负责浆液配合比及材料检验等</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106"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施工队伍负责人</w:t>
            </w:r>
          </w:p>
        </w:tc>
        <w:tc>
          <w:tcPr>
            <w:tcW w:w="1560" w:type="dxa"/>
            <w:noWrap w:val="0"/>
            <w:vAlign w:val="center"/>
          </w:tcPr>
          <w:p>
            <w:pPr>
              <w:spacing w:line="240" w:lineRule="auto"/>
              <w:ind w:firstLine="0" w:firstLineChars="0"/>
              <w:jc w:val="center"/>
              <w:rPr>
                <w:rFonts w:hint="eastAsia" w:hAnsi="宋体" w:eastAsia="宋体" w:cs="宋体"/>
                <w:szCs w:val="21"/>
                <w:highlight w:val="none"/>
                <w:lang w:val="en-US" w:eastAsia="zh-CN"/>
              </w:rPr>
            </w:pPr>
            <w:r>
              <w:rPr>
                <w:rFonts w:hint="eastAsia" w:hAnsi="宋体" w:cs="宋体"/>
                <w:szCs w:val="21"/>
                <w:highlight w:val="none"/>
                <w:lang w:val="en-US" w:eastAsia="zh-CN"/>
              </w:rPr>
              <w:t>/</w:t>
            </w:r>
          </w:p>
        </w:tc>
        <w:tc>
          <w:tcPr>
            <w:tcW w:w="5079" w:type="dxa"/>
            <w:noWrap w:val="0"/>
            <w:vAlign w:val="center"/>
          </w:tcPr>
          <w:p>
            <w:pPr>
              <w:spacing w:line="240" w:lineRule="auto"/>
              <w:ind w:firstLine="0" w:firstLineChars="0"/>
              <w:jc w:val="center"/>
              <w:rPr>
                <w:rFonts w:hint="eastAsia" w:hAnsi="宋体" w:cs="宋体"/>
                <w:szCs w:val="21"/>
                <w:highlight w:val="none"/>
              </w:rPr>
            </w:pPr>
            <w:r>
              <w:rPr>
                <w:rFonts w:hint="eastAsia" w:hAnsi="宋体" w:cs="宋体"/>
                <w:szCs w:val="21"/>
                <w:highlight w:val="none"/>
              </w:rPr>
              <w:t>负责现场各项施工</w:t>
            </w:r>
          </w:p>
        </w:tc>
      </w:tr>
    </w:tbl>
    <w:p>
      <w:pPr>
        <w:spacing w:line="360" w:lineRule="auto"/>
        <w:ind w:firstLine="480"/>
        <w:rPr>
          <w:rFonts w:hint="eastAsia" w:hAnsi="宋体" w:cs="宋体"/>
          <w:b/>
          <w:bCs/>
          <w:szCs w:val="21"/>
        </w:rPr>
      </w:pPr>
      <w:r>
        <w:rPr>
          <w:rFonts w:hint="eastAsia" w:hAnsi="宋体" w:cs="宋体"/>
          <w:szCs w:val="21"/>
        </w:rPr>
        <w:t>(</w:t>
      </w:r>
      <w:r>
        <w:rPr>
          <w:rFonts w:hAnsi="宋体" w:cs="宋体"/>
          <w:szCs w:val="21"/>
        </w:rPr>
        <w:t>2)</w:t>
      </w:r>
      <w:r>
        <w:rPr>
          <w:rFonts w:hint="eastAsia" w:hAnsi="宋体" w:cs="宋体"/>
          <w:szCs w:val="21"/>
        </w:rPr>
        <w:t>机械设备配置</w:t>
      </w:r>
      <w:r>
        <w:rPr>
          <w:rFonts w:hint="eastAsia" w:hAnsi="宋体" w:cs="宋体"/>
          <w:szCs w:val="21"/>
          <w:lang w:val="en-US" w:eastAsia="zh-CN"/>
        </w:rPr>
        <w:t xml:space="preserve">        </w:t>
      </w:r>
      <w:r>
        <w:rPr>
          <w:rFonts w:hint="eastAsia" w:hAnsi="宋体" w:cs="宋体"/>
          <w:b/>
          <w:bCs/>
          <w:szCs w:val="21"/>
        </w:rPr>
        <w:t>表4</w:t>
      </w:r>
      <w:r>
        <w:rPr>
          <w:rFonts w:hint="eastAsia" w:hAnsi="宋体" w:cs="宋体"/>
          <w:b/>
          <w:bCs/>
          <w:szCs w:val="21"/>
          <w:lang w:val="en-US" w:eastAsia="zh-CN"/>
        </w:rPr>
        <w:t>.1</w:t>
      </w:r>
      <w:r>
        <w:rPr>
          <w:rFonts w:hint="eastAsia" w:hAnsi="宋体" w:cs="宋体"/>
          <w:b/>
          <w:bCs/>
          <w:szCs w:val="21"/>
        </w:rPr>
        <w:t>-2 主要机械设备表</w:t>
      </w:r>
    </w:p>
    <w:tbl>
      <w:tblPr>
        <w:tblStyle w:val="30"/>
        <w:tblW w:w="0" w:type="auto"/>
        <w:jc w:val="center"/>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21"/>
        <w:gridCol w:w="1617"/>
        <w:gridCol w:w="1319"/>
        <w:gridCol w:w="3076"/>
        <w:gridCol w:w="1826"/>
      </w:tblGrid>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512" w:hRule="exact"/>
          <w:tblHeader/>
          <w:jc w:val="center"/>
        </w:trPr>
        <w:tc>
          <w:tcPr>
            <w:tcW w:w="921" w:type="dxa"/>
            <w:noWrap w:val="0"/>
            <w:vAlign w:val="center"/>
          </w:tcPr>
          <w:p>
            <w:pPr>
              <w:spacing w:line="360" w:lineRule="auto"/>
              <w:ind w:firstLine="0" w:firstLineChars="0"/>
              <w:jc w:val="center"/>
              <w:rPr>
                <w:rFonts w:hint="eastAsia" w:hAnsi="宋体" w:cs="宋体"/>
                <w:b/>
                <w:szCs w:val="21"/>
              </w:rPr>
            </w:pPr>
            <w:r>
              <w:rPr>
                <w:rFonts w:hint="eastAsia" w:hAnsi="宋体" w:cs="宋体"/>
                <w:b/>
                <w:szCs w:val="21"/>
              </w:rPr>
              <w:t>序号</w:t>
            </w:r>
          </w:p>
        </w:tc>
        <w:tc>
          <w:tcPr>
            <w:tcW w:w="1617" w:type="dxa"/>
            <w:noWrap w:val="0"/>
            <w:vAlign w:val="center"/>
          </w:tcPr>
          <w:p>
            <w:pPr>
              <w:spacing w:line="360" w:lineRule="auto"/>
              <w:ind w:firstLine="0" w:firstLineChars="0"/>
              <w:jc w:val="center"/>
              <w:rPr>
                <w:rFonts w:hint="eastAsia" w:hAnsi="宋体" w:cs="宋体"/>
                <w:b/>
                <w:szCs w:val="21"/>
              </w:rPr>
            </w:pPr>
            <w:r>
              <w:rPr>
                <w:rFonts w:hint="eastAsia" w:hAnsi="宋体" w:cs="宋体"/>
                <w:b/>
                <w:szCs w:val="21"/>
              </w:rPr>
              <w:t>机械名称</w:t>
            </w:r>
          </w:p>
        </w:tc>
        <w:tc>
          <w:tcPr>
            <w:tcW w:w="1319" w:type="dxa"/>
            <w:noWrap w:val="0"/>
            <w:vAlign w:val="center"/>
          </w:tcPr>
          <w:p>
            <w:pPr>
              <w:spacing w:line="360" w:lineRule="auto"/>
              <w:ind w:firstLine="0" w:firstLineChars="0"/>
              <w:jc w:val="center"/>
              <w:rPr>
                <w:rFonts w:hint="eastAsia" w:hAnsi="宋体" w:cs="宋体"/>
                <w:b/>
                <w:szCs w:val="21"/>
              </w:rPr>
            </w:pPr>
            <w:r>
              <w:rPr>
                <w:rFonts w:hint="eastAsia" w:hAnsi="宋体" w:cs="宋体"/>
                <w:b/>
                <w:szCs w:val="21"/>
              </w:rPr>
              <w:t>规格型号</w:t>
            </w:r>
          </w:p>
        </w:tc>
        <w:tc>
          <w:tcPr>
            <w:tcW w:w="3076" w:type="dxa"/>
            <w:noWrap w:val="0"/>
            <w:vAlign w:val="center"/>
          </w:tcPr>
          <w:p>
            <w:pPr>
              <w:spacing w:line="360" w:lineRule="auto"/>
              <w:ind w:firstLine="0" w:firstLineChars="0"/>
              <w:jc w:val="center"/>
              <w:rPr>
                <w:rFonts w:hint="eastAsia" w:hAnsi="宋体" w:cs="宋体"/>
                <w:b/>
                <w:szCs w:val="21"/>
              </w:rPr>
            </w:pPr>
            <w:r>
              <w:rPr>
                <w:rFonts w:hint="eastAsia" w:hAnsi="宋体" w:cs="宋体"/>
                <w:b/>
                <w:szCs w:val="21"/>
              </w:rPr>
              <w:t>技术指标</w:t>
            </w:r>
          </w:p>
        </w:tc>
        <w:tc>
          <w:tcPr>
            <w:tcW w:w="1826" w:type="dxa"/>
            <w:noWrap w:val="0"/>
            <w:vAlign w:val="center"/>
          </w:tcPr>
          <w:p>
            <w:pPr>
              <w:spacing w:line="360" w:lineRule="auto"/>
              <w:ind w:firstLine="0" w:firstLineChars="0"/>
              <w:jc w:val="center"/>
              <w:rPr>
                <w:rFonts w:hint="eastAsia" w:hAnsi="宋体" w:cs="宋体"/>
                <w:b/>
                <w:szCs w:val="21"/>
              </w:rPr>
            </w:pPr>
            <w:r>
              <w:rPr>
                <w:rFonts w:hint="eastAsia" w:hAnsi="宋体" w:cs="宋体"/>
                <w:b/>
                <w:szCs w:val="21"/>
              </w:rPr>
              <w:t>数量</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921"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1</w:t>
            </w:r>
          </w:p>
        </w:tc>
        <w:tc>
          <w:tcPr>
            <w:tcW w:w="1617"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双液注浆机</w:t>
            </w:r>
          </w:p>
        </w:tc>
        <w:tc>
          <w:tcPr>
            <w:tcW w:w="1319" w:type="dxa"/>
            <w:noWrap w:val="0"/>
            <w:vAlign w:val="center"/>
          </w:tcPr>
          <w:p>
            <w:pPr>
              <w:spacing w:line="240" w:lineRule="auto"/>
              <w:ind w:firstLine="0" w:firstLineChars="0"/>
              <w:jc w:val="center"/>
              <w:rPr>
                <w:rFonts w:hint="eastAsia" w:hAnsi="宋体" w:cs="宋体"/>
                <w:szCs w:val="21"/>
              </w:rPr>
            </w:pPr>
            <w:r>
              <w:rPr>
                <w:rFonts w:hAnsi="宋体" w:cs="宋体"/>
                <w:szCs w:val="21"/>
              </w:rPr>
              <w:t>ZBSB-148</w:t>
            </w:r>
          </w:p>
        </w:tc>
        <w:tc>
          <w:tcPr>
            <w:tcW w:w="307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工作压力0-4</w:t>
            </w:r>
            <w:r>
              <w:rPr>
                <w:rFonts w:hAnsi="宋体" w:cs="宋体"/>
                <w:szCs w:val="21"/>
              </w:rPr>
              <w:t>MP</w:t>
            </w:r>
            <w:r>
              <w:rPr>
                <w:rFonts w:hint="eastAsia" w:hAnsi="宋体" w:cs="宋体"/>
                <w:szCs w:val="21"/>
              </w:rPr>
              <w:t>a</w:t>
            </w:r>
          </w:p>
        </w:tc>
        <w:tc>
          <w:tcPr>
            <w:tcW w:w="182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1台</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921"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2</w:t>
            </w:r>
          </w:p>
        </w:tc>
        <w:tc>
          <w:tcPr>
            <w:tcW w:w="1617"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搅拌机</w:t>
            </w:r>
          </w:p>
        </w:tc>
        <w:tc>
          <w:tcPr>
            <w:tcW w:w="1319" w:type="dxa"/>
            <w:noWrap w:val="0"/>
            <w:vAlign w:val="center"/>
          </w:tcPr>
          <w:p>
            <w:pPr>
              <w:spacing w:line="240" w:lineRule="auto"/>
              <w:ind w:firstLine="0" w:firstLineChars="0"/>
              <w:jc w:val="center"/>
              <w:rPr>
                <w:rFonts w:hint="eastAsia" w:hAnsi="宋体" w:cs="宋体"/>
                <w:szCs w:val="21"/>
              </w:rPr>
            </w:pPr>
            <w:r>
              <w:rPr>
                <w:rFonts w:hAnsi="宋体" w:cs="宋体"/>
                <w:szCs w:val="21"/>
              </w:rPr>
              <w:t>Y</w:t>
            </w:r>
            <w:r>
              <w:rPr>
                <w:rFonts w:hint="eastAsia" w:hAnsi="宋体" w:cs="宋体"/>
                <w:szCs w:val="21"/>
              </w:rPr>
              <w:t>1001-4</w:t>
            </w:r>
          </w:p>
        </w:tc>
        <w:tc>
          <w:tcPr>
            <w:tcW w:w="307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5KW</w:t>
            </w:r>
          </w:p>
        </w:tc>
        <w:tc>
          <w:tcPr>
            <w:tcW w:w="182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1台</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921"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2</w:t>
            </w:r>
          </w:p>
        </w:tc>
        <w:tc>
          <w:tcPr>
            <w:tcW w:w="1617"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水玻璃桶</w:t>
            </w:r>
          </w:p>
        </w:tc>
        <w:tc>
          <w:tcPr>
            <w:tcW w:w="1319"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w:t>
            </w:r>
          </w:p>
        </w:tc>
        <w:tc>
          <w:tcPr>
            <w:tcW w:w="307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200</w:t>
            </w:r>
            <w:r>
              <w:rPr>
                <w:rFonts w:hAnsi="宋体" w:cs="宋体"/>
                <w:szCs w:val="21"/>
              </w:rPr>
              <w:t>L/</w:t>
            </w:r>
            <w:r>
              <w:rPr>
                <w:rFonts w:hint="eastAsia" w:hAnsi="宋体" w:cs="宋体"/>
                <w:szCs w:val="21"/>
              </w:rPr>
              <w:t>桶</w:t>
            </w:r>
          </w:p>
        </w:tc>
        <w:tc>
          <w:tcPr>
            <w:tcW w:w="182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3个</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921"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3</w:t>
            </w:r>
          </w:p>
        </w:tc>
        <w:tc>
          <w:tcPr>
            <w:tcW w:w="1617"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注浆头</w:t>
            </w:r>
          </w:p>
        </w:tc>
        <w:tc>
          <w:tcPr>
            <w:tcW w:w="1319"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w:t>
            </w:r>
          </w:p>
        </w:tc>
        <w:tc>
          <w:tcPr>
            <w:tcW w:w="307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设计图纸H</w:t>
            </w:r>
            <w:r>
              <w:rPr>
                <w:rFonts w:hAnsi="宋体" w:cs="宋体"/>
                <w:szCs w:val="21"/>
              </w:rPr>
              <w:t>YL-S-SD-2-2-19</w:t>
            </w:r>
          </w:p>
        </w:tc>
        <w:tc>
          <w:tcPr>
            <w:tcW w:w="182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1套</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921"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4</w:t>
            </w:r>
          </w:p>
        </w:tc>
        <w:tc>
          <w:tcPr>
            <w:tcW w:w="1617"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电锤</w:t>
            </w:r>
          </w:p>
        </w:tc>
        <w:tc>
          <w:tcPr>
            <w:tcW w:w="1319"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1.5KW</w:t>
            </w:r>
          </w:p>
        </w:tc>
        <w:tc>
          <w:tcPr>
            <w:tcW w:w="307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w:t>
            </w:r>
          </w:p>
        </w:tc>
        <w:tc>
          <w:tcPr>
            <w:tcW w:w="1826" w:type="dxa"/>
            <w:noWrap w:val="0"/>
            <w:vAlign w:val="center"/>
          </w:tcPr>
          <w:p>
            <w:pPr>
              <w:spacing w:line="240" w:lineRule="auto"/>
              <w:ind w:firstLine="0" w:firstLineChars="0"/>
              <w:jc w:val="center"/>
              <w:rPr>
                <w:rFonts w:hint="eastAsia" w:hAnsi="宋体" w:cs="宋体"/>
                <w:szCs w:val="21"/>
              </w:rPr>
            </w:pPr>
            <w:r>
              <w:rPr>
                <w:rFonts w:hint="eastAsia" w:hAnsi="宋体" w:cs="宋体"/>
                <w:szCs w:val="21"/>
              </w:rPr>
              <w:t>1套</w:t>
            </w:r>
          </w:p>
        </w:tc>
      </w:tr>
    </w:tbl>
    <w:p>
      <w:pPr>
        <w:numPr>
          <w:ilvl w:val="0"/>
          <w:numId w:val="4"/>
        </w:numPr>
        <w:spacing w:line="360" w:lineRule="auto"/>
        <w:ind w:left="0" w:leftChars="0" w:firstLine="480" w:firstLineChars="200"/>
        <w:rPr>
          <w:rFonts w:hint="eastAsia" w:hAnsi="宋体" w:cs="宋体"/>
          <w:szCs w:val="21"/>
        </w:rPr>
      </w:pPr>
      <w:r>
        <w:rPr>
          <w:rFonts w:hint="eastAsia" w:hAnsi="宋体" w:cs="宋体"/>
          <w:szCs w:val="21"/>
        </w:rPr>
        <w:t>施工工期安排</w:t>
      </w:r>
      <w:r>
        <w:rPr>
          <w:rFonts w:hint="eastAsia" w:hAnsi="宋体" w:cs="宋体"/>
          <w:szCs w:val="21"/>
          <w:lang w:val="en-US" w:eastAsia="zh-CN"/>
        </w:rPr>
        <w:t>:</w:t>
      </w:r>
      <w:r>
        <w:rPr>
          <w:rFonts w:hint="eastAsia" w:hAnsi="宋体" w:cs="宋体"/>
          <w:szCs w:val="21"/>
        </w:rPr>
        <w:t>施工工期跟随盾构推进速度和现场实际情况合理安排。</w:t>
      </w:r>
      <w:bookmarkStart w:id="134" w:name="_Toc534401368"/>
      <w:bookmarkStart w:id="135" w:name="_Toc17027"/>
    </w:p>
    <w:p>
      <w:pPr>
        <w:pStyle w:val="5"/>
        <w:bidi w:val="0"/>
        <w:spacing w:line="360" w:lineRule="auto"/>
        <w:rPr>
          <w:rFonts w:hint="eastAsia"/>
          <w:sz w:val="28"/>
          <w:szCs w:val="28"/>
          <w:lang w:val="en-US" w:eastAsia="zh-CN"/>
        </w:rPr>
      </w:pPr>
      <w:bookmarkStart w:id="136" w:name="_Toc28391"/>
      <w:bookmarkStart w:id="137" w:name="_Toc28243"/>
      <w:r>
        <w:rPr>
          <w:rFonts w:hint="eastAsia"/>
          <w:sz w:val="28"/>
          <w:szCs w:val="28"/>
          <w:lang w:val="en-US" w:eastAsia="zh-CN"/>
        </w:rPr>
        <w:t>4.4二次注浆前置条件</w:t>
      </w:r>
      <w:bookmarkEnd w:id="136"/>
      <w:bookmarkEnd w:id="137"/>
    </w:p>
    <w:p>
      <w:pPr>
        <w:numPr>
          <w:ilvl w:val="0"/>
          <w:numId w:val="0"/>
        </w:numPr>
        <w:rPr>
          <w:rFonts w:hint="default"/>
          <w:sz w:val="24"/>
          <w:szCs w:val="24"/>
          <w:lang w:val="en-US" w:eastAsia="zh-CN"/>
        </w:rPr>
      </w:pPr>
      <w:r>
        <w:rPr>
          <w:rFonts w:hint="eastAsia"/>
          <w:lang w:val="en-US" w:eastAsia="zh-CN"/>
        </w:rPr>
        <w:t>（1）防止管片脱出盾尾后出现上浮情况</w:t>
      </w:r>
    </w:p>
    <w:p>
      <w:pPr>
        <w:pStyle w:val="2"/>
        <w:ind w:left="0" w:leftChars="0" w:firstLine="0" w:firstLineChars="0"/>
        <w:rPr>
          <w:rFonts w:hint="eastAsia"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（2）</w:t>
      </w:r>
      <w:r>
        <w:rPr>
          <w:rFonts w:hint="eastAsia" w:eastAsia="宋体" w:cs="Times New Roman"/>
          <w:kern w:val="2"/>
          <w:sz w:val="24"/>
          <w:szCs w:val="22"/>
          <w:lang w:val="en-US" w:eastAsia="zh-CN" w:bidi="ar-SA"/>
        </w:rPr>
        <w:t>管片出现渗漏水时</w:t>
      </w:r>
    </w:p>
    <w:p>
      <w:pPr>
        <w:pStyle w:val="2"/>
        <w:ind w:left="0" w:leftChars="0" w:firstLine="0" w:firstLineChars="0"/>
        <w:rPr>
          <w:rFonts w:hint="default" w:eastAsia="宋体" w:cs="Times New Roman"/>
          <w:kern w:val="2"/>
          <w:sz w:val="24"/>
          <w:szCs w:val="22"/>
          <w:lang w:val="en-US" w:eastAsia="zh-CN" w:bidi="ar-SA"/>
        </w:rPr>
      </w:pPr>
      <w:r>
        <w:rPr>
          <w:rFonts w:hint="eastAsia" w:eastAsia="宋体" w:cs="Times New Roman"/>
          <w:kern w:val="2"/>
          <w:sz w:val="24"/>
          <w:szCs w:val="22"/>
          <w:lang w:val="en-US" w:eastAsia="zh-CN" w:bidi="ar-SA"/>
        </w:rPr>
        <w:t>（3）壁厚填充不密实</w:t>
      </w:r>
    </w:p>
    <w:p>
      <w:pPr>
        <w:pStyle w:val="82"/>
        <w:bidi w:val="0"/>
        <w:spacing w:line="360" w:lineRule="auto"/>
        <w:rPr>
          <w:rFonts w:hint="eastAsia"/>
          <w:b/>
          <w:bCs w:val="0"/>
          <w:lang w:val="en-US" w:eastAsia="zh-CN"/>
        </w:rPr>
      </w:pPr>
      <w:bookmarkStart w:id="138" w:name="_Toc17778"/>
      <w:bookmarkStart w:id="139" w:name="_Toc31723"/>
      <w:bookmarkStart w:id="140" w:name="_Toc21481"/>
      <w:bookmarkStart w:id="141" w:name="_Toc22446"/>
      <w:r>
        <w:rPr>
          <w:rFonts w:hint="eastAsia"/>
          <w:b/>
          <w:bCs w:val="0"/>
          <w:lang w:val="en-US" w:eastAsia="zh-CN"/>
        </w:rPr>
        <w:t>5施工</w:t>
      </w:r>
      <w:bookmarkEnd w:id="134"/>
      <w:r>
        <w:rPr>
          <w:rFonts w:hint="eastAsia"/>
          <w:b/>
          <w:bCs w:val="0"/>
          <w:lang w:val="en-US" w:eastAsia="zh-CN"/>
        </w:rPr>
        <w:t>方案</w:t>
      </w:r>
      <w:bookmarkEnd w:id="135"/>
      <w:bookmarkEnd w:id="138"/>
      <w:bookmarkEnd w:id="139"/>
      <w:bookmarkEnd w:id="140"/>
      <w:bookmarkEnd w:id="141"/>
      <w:bookmarkStart w:id="142" w:name="_Toc534401369"/>
      <w:bookmarkStart w:id="143" w:name="_Toc13562"/>
      <w:bookmarkStart w:id="144" w:name="_Toc11636"/>
      <w:bookmarkStart w:id="145" w:name="_Toc3526"/>
    </w:p>
    <w:p>
      <w:pPr>
        <w:pStyle w:val="5"/>
        <w:bidi w:val="0"/>
        <w:spacing w:line="360" w:lineRule="auto"/>
        <w:rPr>
          <w:rFonts w:hint="eastAsia"/>
          <w:sz w:val="28"/>
          <w:szCs w:val="28"/>
          <w:lang w:val="en-US" w:eastAsia="zh-CN"/>
        </w:rPr>
      </w:pPr>
      <w:bookmarkStart w:id="146" w:name="_Toc14152"/>
      <w:bookmarkStart w:id="147" w:name="_Toc17219"/>
      <w:bookmarkStart w:id="148" w:name="_Toc8903"/>
      <w:bookmarkStart w:id="149" w:name="_Toc9034"/>
      <w:r>
        <w:rPr>
          <w:rFonts w:hint="eastAsia"/>
          <w:sz w:val="28"/>
          <w:szCs w:val="28"/>
          <w:lang w:val="en-US" w:eastAsia="zh-CN"/>
        </w:rPr>
        <w:t>5.1施工</w:t>
      </w:r>
      <w:bookmarkEnd w:id="142"/>
      <w:bookmarkEnd w:id="143"/>
      <w:bookmarkEnd w:id="144"/>
      <w:r>
        <w:rPr>
          <w:rFonts w:hint="eastAsia"/>
          <w:sz w:val="28"/>
          <w:szCs w:val="28"/>
          <w:lang w:val="en-US" w:eastAsia="zh-CN"/>
        </w:rPr>
        <w:t>工序</w:t>
      </w:r>
      <w:bookmarkEnd w:id="145"/>
      <w:bookmarkEnd w:id="146"/>
      <w:bookmarkEnd w:id="147"/>
      <w:bookmarkEnd w:id="148"/>
      <w:bookmarkEnd w:id="149"/>
    </w:p>
    <w:p>
      <w:pPr>
        <w:spacing w:line="360" w:lineRule="auto"/>
        <w:ind w:left="0" w:leftChars="0" w:firstLine="480" w:firstLineChars="200"/>
        <w:rPr>
          <w:rFonts w:ascii="宋体" w:hAnsi="宋体"/>
          <w:b w:val="0"/>
          <w:bCs/>
          <w:sz w:val="24"/>
          <w:szCs w:val="24"/>
          <w:highlight w:val="none"/>
        </w:rPr>
      </w:pPr>
      <w:r>
        <w:rPr>
          <w:rFonts w:hint="eastAsia" w:ascii="宋体" w:hAnsi="宋体"/>
          <w:b w:val="0"/>
          <w:bCs/>
          <w:sz w:val="24"/>
          <w:szCs w:val="24"/>
          <w:highlight w:val="none"/>
          <w:lang w:val="en-US" w:eastAsia="zh-CN"/>
        </w:rPr>
        <w:t>二次注浆</w:t>
      </w:r>
      <w:r>
        <w:rPr>
          <w:rFonts w:hint="eastAsia" w:ascii="宋体" w:hAnsi="宋体"/>
          <w:b w:val="0"/>
          <w:bCs/>
          <w:sz w:val="24"/>
          <w:szCs w:val="24"/>
          <w:highlight w:val="none"/>
        </w:rPr>
        <w:t>施工严格按照图</w:t>
      </w:r>
      <w:r>
        <w:rPr>
          <w:rFonts w:hint="eastAsia" w:ascii="宋体" w:hAnsi="宋体"/>
          <w:b w:val="0"/>
          <w:bCs/>
          <w:sz w:val="24"/>
          <w:szCs w:val="24"/>
          <w:highlight w:val="none"/>
          <w:lang w:val="en-US" w:eastAsia="zh-CN"/>
        </w:rPr>
        <w:t>5.1</w:t>
      </w:r>
      <w:r>
        <w:rPr>
          <w:rFonts w:hint="eastAsia" w:hAnsi="宋体"/>
          <w:b w:val="0"/>
          <w:bCs/>
          <w:sz w:val="24"/>
          <w:szCs w:val="24"/>
          <w:highlight w:val="none"/>
          <w:lang w:val="en-US" w:eastAsia="zh-CN"/>
        </w:rPr>
        <w:t>-1</w:t>
      </w:r>
      <w:r>
        <w:rPr>
          <w:rFonts w:hint="eastAsia" w:ascii="宋体" w:hAnsi="宋体"/>
          <w:b w:val="0"/>
          <w:bCs/>
          <w:sz w:val="24"/>
          <w:szCs w:val="24"/>
          <w:highlight w:val="none"/>
        </w:rPr>
        <w:t>施工流程进行，施工前做好施工</w:t>
      </w:r>
      <w:r>
        <w:rPr>
          <w:rFonts w:hint="eastAsia" w:ascii="宋体" w:hAnsi="宋体"/>
          <w:b w:val="0"/>
          <w:bCs/>
          <w:sz w:val="24"/>
          <w:szCs w:val="24"/>
          <w:highlight w:val="none"/>
          <w:lang w:val="en-US" w:eastAsia="zh-CN"/>
        </w:rPr>
        <w:t>准备工作</w:t>
      </w:r>
      <w:r>
        <w:rPr>
          <w:rFonts w:hint="eastAsia" w:ascii="宋体" w:hAnsi="宋体"/>
          <w:b w:val="0"/>
          <w:bCs/>
          <w:sz w:val="24"/>
          <w:szCs w:val="24"/>
          <w:highlight w:val="none"/>
        </w:rPr>
        <w:t>，按设计要求做好物资材料、人员、机械设备并完成进场报验。施工过程中严格按照图纸及方案要求施工，施工过程中</w:t>
      </w:r>
      <w:r>
        <w:rPr>
          <w:rFonts w:hint="eastAsia" w:ascii="宋体" w:hAnsi="宋体"/>
          <w:b w:val="0"/>
          <w:bCs/>
          <w:sz w:val="24"/>
          <w:szCs w:val="24"/>
          <w:highlight w:val="none"/>
          <w:lang w:val="en-US" w:eastAsia="zh-CN"/>
        </w:rPr>
        <w:t>技术人员及时</w:t>
      </w:r>
      <w:r>
        <w:rPr>
          <w:rFonts w:hint="eastAsia" w:ascii="宋体" w:hAnsi="宋体"/>
          <w:b w:val="0"/>
          <w:bCs/>
          <w:sz w:val="24"/>
          <w:szCs w:val="24"/>
          <w:highlight w:val="none"/>
        </w:rPr>
        <w:t>做好施工记录并进行报验处理。</w:t>
      </w:r>
    </w:p>
    <w:p>
      <w:pPr>
        <w:spacing w:line="360" w:lineRule="auto"/>
        <w:ind w:firstLine="0" w:firstLineChars="0"/>
        <w:jc w:val="center"/>
        <w:rPr>
          <w:rFonts w:hint="eastAsia"/>
        </w:rPr>
      </w:pPr>
      <w:r>
        <w:rPr>
          <w:rFonts w:hint="eastAsia"/>
          <w:b/>
          <w:bCs/>
        </w:rPr>
        <w:t>图5</w:t>
      </w:r>
      <w:r>
        <w:rPr>
          <w:rFonts w:hint="eastAsia"/>
          <w:b/>
          <w:bCs/>
          <w:lang w:val="en-US" w:eastAsia="zh-CN"/>
        </w:rPr>
        <w:t>.</w:t>
      </w:r>
      <w:r>
        <w:rPr>
          <w:rFonts w:hint="eastAsia"/>
          <w:b/>
          <w:bCs/>
        </w:rPr>
        <w:t>1</w:t>
      </w:r>
      <w:r>
        <w:rPr>
          <w:rFonts w:hint="eastAsia"/>
          <w:b/>
          <w:bCs/>
          <w:lang w:val="en-US" w:eastAsia="zh-CN"/>
        </w:rPr>
        <w:t>-1</w:t>
      </w:r>
      <w:r>
        <w:rPr>
          <w:rFonts w:hint="eastAsia"/>
          <w:b/>
          <w:bCs/>
        </w:rPr>
        <w:t xml:space="preserve"> 施工流程图</w:t>
      </w:r>
    </w:p>
    <w:p>
      <w:pPr>
        <w:spacing w:line="360" w:lineRule="auto"/>
        <w:ind w:firstLine="480"/>
        <w:jc w:val="center"/>
        <w:rPr>
          <w:rFonts w:hint="eastAsia"/>
        </w:rPr>
      </w:pPr>
      <w:r>
        <w:rPr>
          <w:rFonts w:hint="eastAsia"/>
        </w:rPr>
        <w:drawing>
          <wp:inline distT="0" distB="0" distL="114300" distR="114300">
            <wp:extent cx="5131435" cy="2144395"/>
            <wp:effectExtent l="0" t="0" r="4445" b="4445"/>
            <wp:docPr id="6" name="图片 1" descr="TIM截图2019030619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TIM截图20190306190706"/>
                    <pic:cNvPicPr>
                      <a:picLocks noChangeAspect="1"/>
                    </pic:cNvPicPr>
                  </pic:nvPicPr>
                  <pic:blipFill>
                    <a:blip r:embed="rId18"/>
                    <a:stretch>
                      <a:fillRect/>
                    </a:stretch>
                  </pic:blipFill>
                  <pic:spPr>
                    <a:xfrm>
                      <a:off x="0" y="0"/>
                      <a:ext cx="5131435" cy="2144395"/>
                    </a:xfrm>
                    <a:prstGeom prst="rect">
                      <a:avLst/>
                    </a:prstGeom>
                    <a:noFill/>
                    <a:ln>
                      <a:noFill/>
                    </a:ln>
                  </pic:spPr>
                </pic:pic>
              </a:graphicData>
            </a:graphic>
          </wp:inline>
        </w:drawing>
      </w:r>
    </w:p>
    <w:p>
      <w:pPr>
        <w:pStyle w:val="5"/>
        <w:bidi w:val="0"/>
        <w:spacing w:line="360" w:lineRule="auto"/>
        <w:rPr>
          <w:rFonts w:hint="eastAsia"/>
          <w:sz w:val="28"/>
          <w:szCs w:val="28"/>
          <w:lang w:val="en-US" w:eastAsia="zh-CN"/>
        </w:rPr>
      </w:pPr>
      <w:bookmarkStart w:id="150" w:name="_Toc3611"/>
      <w:bookmarkStart w:id="151" w:name="_Toc54"/>
      <w:bookmarkStart w:id="152" w:name="_Toc4082"/>
      <w:bookmarkStart w:id="153" w:name="_Toc18330"/>
      <w:bookmarkStart w:id="154" w:name="_Toc31644"/>
      <w:r>
        <w:rPr>
          <w:rFonts w:hint="eastAsia"/>
          <w:sz w:val="28"/>
          <w:szCs w:val="28"/>
          <w:lang w:val="en-US" w:eastAsia="zh-CN"/>
        </w:rPr>
        <w:t>5.2 注浆压力</w:t>
      </w:r>
      <w:bookmarkEnd w:id="150"/>
      <w:bookmarkEnd w:id="151"/>
      <w:bookmarkEnd w:id="152"/>
      <w:bookmarkEnd w:id="153"/>
      <w:bookmarkEnd w:id="154"/>
    </w:p>
    <w:p>
      <w:pPr>
        <w:spacing w:line="360" w:lineRule="auto"/>
        <w:rPr>
          <w:rFonts w:hint="eastAsia" w:hAnsi="宋体" w:cs="宋体"/>
          <w:szCs w:val="21"/>
          <w:highlight w:val="none"/>
        </w:rPr>
      </w:pPr>
      <w:bookmarkStart w:id="155" w:name="_Toc534900424"/>
      <w:r>
        <w:rPr>
          <w:rFonts w:hint="eastAsia" w:hAnsi="宋体" w:cs="宋体"/>
          <w:szCs w:val="21"/>
          <w:highlight w:val="none"/>
        </w:rPr>
        <w:t>根据本项目盾构穿越地层状况等综合情况分析，注浆最大压力为水泥浆1.</w:t>
      </w:r>
      <w:r>
        <w:rPr>
          <w:rFonts w:hAnsi="宋体" w:cs="宋体"/>
          <w:szCs w:val="21"/>
          <w:highlight w:val="none"/>
        </w:rPr>
        <w:t>0MP</w:t>
      </w:r>
      <w:r>
        <w:rPr>
          <w:rFonts w:hint="eastAsia" w:hAnsi="宋体" w:cs="宋体"/>
          <w:szCs w:val="21"/>
          <w:highlight w:val="none"/>
        </w:rPr>
        <w:t>a、水玻璃1.</w:t>
      </w:r>
      <w:r>
        <w:rPr>
          <w:rFonts w:hAnsi="宋体" w:cs="宋体"/>
          <w:szCs w:val="21"/>
          <w:highlight w:val="none"/>
        </w:rPr>
        <w:t>0MP</w:t>
      </w:r>
      <w:r>
        <w:rPr>
          <w:rFonts w:hint="eastAsia" w:hAnsi="宋体" w:cs="宋体"/>
          <w:szCs w:val="21"/>
          <w:highlight w:val="none"/>
        </w:rPr>
        <w:t>a</w:t>
      </w:r>
      <w:bookmarkEnd w:id="155"/>
      <w:r>
        <w:rPr>
          <w:rFonts w:hint="eastAsia" w:hAnsi="宋体" w:cs="宋体"/>
          <w:szCs w:val="21"/>
          <w:highlight w:val="none"/>
        </w:rPr>
        <w:t>。</w:t>
      </w:r>
    </w:p>
    <w:p>
      <w:pPr>
        <w:pStyle w:val="5"/>
        <w:bidi w:val="0"/>
        <w:spacing w:line="360" w:lineRule="auto"/>
        <w:rPr>
          <w:rFonts w:hint="eastAsia"/>
          <w:sz w:val="28"/>
          <w:szCs w:val="28"/>
          <w:lang w:val="en-US" w:eastAsia="zh-CN"/>
        </w:rPr>
      </w:pPr>
      <w:bookmarkStart w:id="156" w:name="_Toc9506"/>
      <w:bookmarkStart w:id="157" w:name="_Toc5649"/>
      <w:bookmarkStart w:id="158" w:name="_Toc9069"/>
      <w:bookmarkStart w:id="159" w:name="_Toc32266"/>
      <w:r>
        <w:rPr>
          <w:rFonts w:hint="eastAsia"/>
          <w:sz w:val="28"/>
          <w:szCs w:val="28"/>
          <w:lang w:val="en-US" w:eastAsia="zh-CN"/>
        </w:rPr>
        <w:t>5.3浆液配比</w:t>
      </w:r>
      <w:bookmarkEnd w:id="156"/>
      <w:bookmarkEnd w:id="157"/>
      <w:bookmarkEnd w:id="158"/>
      <w:bookmarkEnd w:id="159"/>
    </w:p>
    <w:p>
      <w:pPr>
        <w:spacing w:line="360" w:lineRule="auto"/>
        <w:ind w:firstLine="480"/>
        <w:rPr>
          <w:rFonts w:hint="eastAsia" w:hAnsi="宋体" w:cs="宋体"/>
          <w:szCs w:val="21"/>
        </w:rPr>
      </w:pPr>
      <w:r>
        <w:rPr>
          <w:rFonts w:hint="eastAsia" w:hAnsi="宋体" w:cs="宋体"/>
          <w:szCs w:val="21"/>
        </w:rPr>
        <w:t>(</w:t>
      </w:r>
      <w:r>
        <w:rPr>
          <w:rFonts w:hAnsi="宋体" w:cs="宋体"/>
          <w:szCs w:val="21"/>
        </w:rPr>
        <w:t>1)</w:t>
      </w:r>
      <w:r>
        <w:rPr>
          <w:rFonts w:hint="eastAsia" w:hAnsi="宋体" w:cs="宋体"/>
          <w:szCs w:val="21"/>
        </w:rPr>
        <w:t>双液浆(水泥浆-水玻璃</w:t>
      </w:r>
      <w:r>
        <w:rPr>
          <w:rFonts w:hAnsi="宋体" w:cs="宋体"/>
          <w:szCs w:val="21"/>
        </w:rPr>
        <w:t>)</w:t>
      </w:r>
    </w:p>
    <w:p>
      <w:pPr>
        <w:spacing w:line="360" w:lineRule="auto"/>
        <w:ind w:firstLine="480"/>
        <w:rPr>
          <w:rFonts w:hAnsi="宋体" w:cs="宋体"/>
          <w:szCs w:val="21"/>
        </w:rPr>
      </w:pPr>
      <w:r>
        <w:rPr>
          <w:rFonts w:hint="eastAsia" w:hAnsi="宋体" w:cs="宋体"/>
          <w:szCs w:val="21"/>
        </w:rPr>
        <w:t>①先配置单液浆（水和水泥的混合液</w:t>
      </w:r>
      <w:r>
        <w:rPr>
          <w:rFonts w:hint="eastAsia" w:hAnsi="宋体" w:cs="宋体"/>
          <w:szCs w:val="21"/>
          <w:lang w:eastAsia="zh-CN"/>
        </w:rPr>
        <w:t>，</w:t>
      </w:r>
      <w:r>
        <w:rPr>
          <w:rFonts w:hint="eastAsia" w:hAnsi="宋体" w:cs="宋体"/>
          <w:szCs w:val="21"/>
          <w:lang w:val="en-US" w:eastAsia="zh-CN"/>
        </w:rPr>
        <w:t>水泥可采用普通水泥或超细水泥</w:t>
      </w:r>
      <w:r>
        <w:rPr>
          <w:rFonts w:hint="eastAsia" w:hAnsi="宋体" w:cs="宋体"/>
          <w:szCs w:val="21"/>
        </w:rPr>
        <w:t>），浆液水灰比为1:1（质量比）。</w:t>
      </w:r>
    </w:p>
    <w:p>
      <w:pPr>
        <w:pStyle w:val="2"/>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②再配置双液浆。通过现场实验测定，不同配比胶时间如表5</w:t>
      </w:r>
      <w:r>
        <w:rPr>
          <w:rFonts w:hint="eastAsia" w:ascii="宋体" w:hAnsi="宋体" w:eastAsia="宋体" w:cs="宋体"/>
          <w:sz w:val="24"/>
          <w:szCs w:val="24"/>
          <w:lang w:val="en-US" w:eastAsia="zh-CN"/>
        </w:rPr>
        <w:t>.3-1</w:t>
      </w:r>
      <w:r>
        <w:rPr>
          <w:rFonts w:hint="eastAsia" w:ascii="宋体" w:hAnsi="宋体" w:eastAsia="宋体" w:cs="宋体"/>
          <w:sz w:val="24"/>
          <w:szCs w:val="24"/>
        </w:rPr>
        <w:t>所示，实验温度为15℃，湿度11-17%rh,现场所使用的水玻璃为</w:t>
      </w:r>
      <w:r>
        <w:rPr>
          <w:rFonts w:hint="eastAsia" w:ascii="宋体" w:hAnsi="宋体" w:eastAsia="宋体" w:cs="宋体"/>
          <w:sz w:val="24"/>
          <w:szCs w:val="24"/>
          <w:lang w:val="en-US" w:eastAsia="zh-CN"/>
        </w:rPr>
        <w:t>30</w:t>
      </w:r>
      <w:r>
        <w:rPr>
          <w:rFonts w:hint="eastAsia" w:ascii="宋体" w:hAnsi="宋体" w:eastAsia="宋体" w:cs="宋体"/>
          <w:color w:val="333333"/>
          <w:sz w:val="24"/>
          <w:szCs w:val="24"/>
          <w:shd w:val="clear" w:color="auto" w:fill="FFFFFF"/>
        </w:rPr>
        <w:t>°Bé</w:t>
      </w:r>
      <w:r>
        <w:rPr>
          <w:rFonts w:hint="eastAsia" w:ascii="宋体" w:hAnsi="宋体" w:eastAsia="宋体" w:cs="宋体"/>
          <w:sz w:val="24"/>
          <w:szCs w:val="24"/>
        </w:rPr>
        <w:t xml:space="preserve">，模数24，水泥标号为PO42.5。采用双液浆注入时，实验中采用固定水灰比（质量比）为1：1 </w:t>
      </w:r>
    </w:p>
    <w:p>
      <w:pPr>
        <w:pStyle w:val="79"/>
        <w:spacing w:line="360" w:lineRule="auto"/>
        <w:rPr>
          <w:sz w:val="21"/>
          <w:szCs w:val="21"/>
        </w:rPr>
      </w:pPr>
      <w:r>
        <w:rPr>
          <w:rFonts w:hint="eastAsia"/>
          <w:sz w:val="21"/>
          <w:szCs w:val="21"/>
        </w:rPr>
        <w:t>表</w:t>
      </w:r>
      <w:r>
        <w:rPr>
          <w:rFonts w:hint="eastAsia"/>
          <w:sz w:val="21"/>
          <w:szCs w:val="21"/>
          <w:lang w:val="en-US" w:eastAsia="zh-CN"/>
        </w:rPr>
        <w:t>5.3-1</w:t>
      </w:r>
      <w:r>
        <w:rPr>
          <w:rFonts w:hint="eastAsia"/>
          <w:sz w:val="21"/>
          <w:szCs w:val="21"/>
        </w:rPr>
        <w:t xml:space="preserve"> 二次注浆浆液配比</w:t>
      </w:r>
    </w:p>
    <w:tbl>
      <w:tblPr>
        <w:tblStyle w:val="30"/>
        <w:tblW w:w="9286" w:type="dxa"/>
        <w:jc w:val="center"/>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4113"/>
        <w:gridCol w:w="2226"/>
        <w:gridCol w:w="1421"/>
      </w:tblGrid>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序号</w:t>
            </w:r>
          </w:p>
        </w:tc>
        <w:tc>
          <w:tcPr>
            <w:tcW w:w="4113"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水泥浆：水玻璃（体积比）</w:t>
            </w:r>
          </w:p>
        </w:tc>
        <w:tc>
          <w:tcPr>
            <w:tcW w:w="22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开始凝结时间/s</w:t>
            </w:r>
          </w:p>
        </w:tc>
        <w:tc>
          <w:tcPr>
            <w:tcW w:w="1421"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终凝/s</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1</w:t>
            </w:r>
          </w:p>
        </w:tc>
        <w:tc>
          <w:tcPr>
            <w:tcW w:w="4113"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2：1</w:t>
            </w:r>
          </w:p>
        </w:tc>
        <w:tc>
          <w:tcPr>
            <w:tcW w:w="2226" w:type="dxa"/>
            <w:noWrap w:val="0"/>
            <w:vAlign w:val="top"/>
          </w:tcPr>
          <w:p>
            <w:pPr>
              <w:spacing w:line="360" w:lineRule="auto"/>
              <w:ind w:firstLine="0" w:firstLineChars="0"/>
              <w:jc w:val="center"/>
              <w:rPr>
                <w:rFonts w:hint="default" w:hAnsi="宋体" w:eastAsia="宋体" w:cs="宋体"/>
                <w:szCs w:val="21"/>
                <w:lang w:val="en-US" w:eastAsia="zh-CN"/>
              </w:rPr>
            </w:pPr>
            <w:r>
              <w:rPr>
                <w:rFonts w:hint="eastAsia" w:hAnsi="宋体" w:cs="宋体"/>
                <w:szCs w:val="21"/>
                <w:lang w:val="en-US" w:eastAsia="zh-CN"/>
              </w:rPr>
              <w:t>25</w:t>
            </w:r>
          </w:p>
        </w:tc>
        <w:tc>
          <w:tcPr>
            <w:tcW w:w="1421" w:type="dxa"/>
            <w:noWrap w:val="0"/>
            <w:vAlign w:val="top"/>
          </w:tcPr>
          <w:p>
            <w:pPr>
              <w:spacing w:line="360" w:lineRule="auto"/>
              <w:ind w:firstLine="0" w:firstLineChars="0"/>
              <w:jc w:val="center"/>
              <w:rPr>
                <w:rFonts w:hint="default" w:hAnsi="宋体" w:eastAsia="宋体" w:cs="宋体"/>
                <w:szCs w:val="21"/>
                <w:lang w:val="en-US" w:eastAsia="zh-CN"/>
              </w:rPr>
            </w:pPr>
            <w:r>
              <w:rPr>
                <w:rFonts w:hint="eastAsia" w:hAnsi="宋体" w:cs="宋体"/>
                <w:szCs w:val="21"/>
                <w:lang w:val="en-US" w:eastAsia="zh-CN"/>
              </w:rPr>
              <w:t>45</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2</w:t>
            </w:r>
          </w:p>
        </w:tc>
        <w:tc>
          <w:tcPr>
            <w:tcW w:w="4113"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1：1</w:t>
            </w:r>
          </w:p>
        </w:tc>
        <w:tc>
          <w:tcPr>
            <w:tcW w:w="2226" w:type="dxa"/>
            <w:noWrap w:val="0"/>
            <w:vAlign w:val="top"/>
          </w:tcPr>
          <w:p>
            <w:pPr>
              <w:spacing w:line="360" w:lineRule="auto"/>
              <w:ind w:firstLine="0" w:firstLineChars="0"/>
              <w:jc w:val="center"/>
              <w:rPr>
                <w:rFonts w:hint="default" w:hAnsi="宋体" w:eastAsia="宋体" w:cs="宋体"/>
                <w:szCs w:val="21"/>
                <w:lang w:val="en-US" w:eastAsia="zh-CN"/>
              </w:rPr>
            </w:pPr>
            <w:r>
              <w:rPr>
                <w:rFonts w:hint="eastAsia" w:hAnsi="宋体" w:cs="宋体"/>
                <w:szCs w:val="21"/>
                <w:lang w:val="en-US" w:eastAsia="zh-CN"/>
              </w:rPr>
              <w:t>15</w:t>
            </w:r>
          </w:p>
        </w:tc>
        <w:tc>
          <w:tcPr>
            <w:tcW w:w="1421" w:type="dxa"/>
            <w:noWrap w:val="0"/>
            <w:vAlign w:val="top"/>
          </w:tcPr>
          <w:p>
            <w:pPr>
              <w:spacing w:line="360" w:lineRule="auto"/>
              <w:ind w:firstLine="0" w:firstLineChars="0"/>
              <w:jc w:val="center"/>
              <w:rPr>
                <w:rFonts w:hint="default" w:hAnsi="宋体" w:eastAsia="宋体" w:cs="宋体"/>
                <w:szCs w:val="21"/>
                <w:lang w:val="en-US" w:eastAsia="zh-CN"/>
              </w:rPr>
            </w:pPr>
            <w:r>
              <w:rPr>
                <w:rFonts w:hint="eastAsia" w:hAnsi="宋体" w:cs="宋体"/>
                <w:szCs w:val="21"/>
                <w:lang w:val="en-US" w:eastAsia="zh-CN"/>
              </w:rPr>
              <w:t>20</w:t>
            </w:r>
          </w:p>
        </w:tc>
      </w:tr>
    </w:tbl>
    <w:p>
      <w:pPr>
        <w:spacing w:line="360" w:lineRule="auto"/>
        <w:ind w:firstLine="480"/>
        <w:rPr>
          <w:rFonts w:hint="eastAsia" w:hAnsi="宋体" w:cs="宋体"/>
          <w:szCs w:val="21"/>
        </w:rPr>
      </w:pPr>
      <w:r>
        <w:rPr>
          <w:rFonts w:hint="eastAsia" w:hAnsi="宋体" w:cs="宋体"/>
          <w:szCs w:val="21"/>
        </w:rPr>
        <w:t>(</w:t>
      </w:r>
      <w:r>
        <w:rPr>
          <w:rFonts w:hAnsi="宋体" w:cs="宋体"/>
          <w:szCs w:val="21"/>
        </w:rPr>
        <w:t>2)</w:t>
      </w:r>
      <w:r>
        <w:rPr>
          <w:rFonts w:hint="eastAsia" w:hAnsi="宋体" w:cs="宋体"/>
          <w:szCs w:val="21"/>
        </w:rPr>
        <w:t>单液浆(水玻璃</w:t>
      </w:r>
      <w:r>
        <w:rPr>
          <w:rFonts w:hAnsi="宋体" w:cs="宋体"/>
          <w:szCs w:val="21"/>
        </w:rPr>
        <w:t>)</w:t>
      </w:r>
    </w:p>
    <w:p>
      <w:pPr>
        <w:spacing w:line="360" w:lineRule="auto"/>
        <w:ind w:firstLine="480"/>
        <w:rPr>
          <w:rFonts w:hAnsi="宋体" w:cs="宋体"/>
          <w:szCs w:val="21"/>
        </w:rPr>
      </w:pPr>
      <w:r>
        <w:rPr>
          <w:rFonts w:hint="eastAsia" w:hAnsi="宋体" w:cs="宋体"/>
          <w:szCs w:val="21"/>
        </w:rPr>
        <w:t>①配置单液浆（水和水玻璃的混合液），比例为水：水玻璃=1:1（体积比）。</w:t>
      </w:r>
    </w:p>
    <w:p>
      <w:pPr>
        <w:spacing w:line="360" w:lineRule="auto"/>
        <w:ind w:left="0" w:leftChars="0" w:firstLine="480" w:firstLineChars="200"/>
        <w:rPr>
          <w:rFonts w:hint="eastAsia" w:hAnsi="宋体" w:cs="宋体"/>
          <w:szCs w:val="21"/>
        </w:rPr>
      </w:pPr>
      <w:r>
        <w:rPr>
          <w:rFonts w:hint="eastAsia" w:hAnsi="宋体" w:cs="宋体"/>
          <w:szCs w:val="21"/>
        </w:rPr>
        <w:t>②通过现场实验测定，同步注浆与水玻璃不同配</w:t>
      </w:r>
      <w:r>
        <w:rPr>
          <w:rFonts w:hint="eastAsia" w:hAnsi="宋体" w:cs="宋体"/>
          <w:szCs w:val="21"/>
          <w:lang w:val="en-US" w:eastAsia="zh-CN"/>
        </w:rPr>
        <w:t>比</w:t>
      </w:r>
      <w:r>
        <w:rPr>
          <w:rFonts w:hint="eastAsia" w:hAnsi="宋体" w:cs="宋体"/>
          <w:szCs w:val="21"/>
        </w:rPr>
        <w:t>时间如表5</w:t>
      </w:r>
      <w:r>
        <w:rPr>
          <w:rFonts w:hint="eastAsia" w:hAnsi="宋体" w:cs="宋体"/>
          <w:szCs w:val="21"/>
          <w:lang w:val="en-US" w:eastAsia="zh-CN"/>
        </w:rPr>
        <w:t>.3-2</w:t>
      </w:r>
      <w:r>
        <w:rPr>
          <w:rFonts w:hint="eastAsia" w:hAnsi="宋体" w:cs="宋体"/>
          <w:szCs w:val="21"/>
        </w:rPr>
        <w:t>所示，实验温度为</w:t>
      </w:r>
      <w:r>
        <w:rPr>
          <w:rFonts w:hAnsi="宋体" w:cs="宋体"/>
          <w:szCs w:val="21"/>
        </w:rPr>
        <w:t>15</w:t>
      </w:r>
      <w:r>
        <w:rPr>
          <w:rFonts w:hint="eastAsia" w:hAnsi="宋体" w:cs="宋体"/>
          <w:szCs w:val="21"/>
        </w:rPr>
        <w:t>℃，湿度11</w:t>
      </w:r>
      <w:r>
        <w:rPr>
          <w:rFonts w:hAnsi="宋体" w:cs="宋体"/>
          <w:szCs w:val="21"/>
        </w:rPr>
        <w:t>-17</w:t>
      </w:r>
      <w:r>
        <w:rPr>
          <w:rFonts w:hint="eastAsia" w:hAnsi="宋体" w:cs="宋体"/>
          <w:szCs w:val="21"/>
        </w:rPr>
        <w:t>%rh</w:t>
      </w:r>
      <w:r>
        <w:rPr>
          <w:rFonts w:hAnsi="宋体" w:cs="宋体"/>
          <w:szCs w:val="21"/>
        </w:rPr>
        <w:t>,</w:t>
      </w:r>
      <w:r>
        <w:rPr>
          <w:rFonts w:hint="eastAsia" w:hAnsi="宋体" w:cs="宋体"/>
          <w:szCs w:val="21"/>
        </w:rPr>
        <w:t>现场所使用的水玻璃为</w:t>
      </w:r>
      <w:r>
        <w:rPr>
          <w:rFonts w:hint="eastAsia" w:hAnsi="宋体" w:cs="宋体"/>
          <w:szCs w:val="21"/>
          <w:lang w:val="en-US" w:eastAsia="zh-CN"/>
        </w:rPr>
        <w:t>30</w:t>
      </w:r>
      <w:r>
        <w:rPr>
          <w:rFonts w:ascii="Arial" w:hAnsi="Arial" w:cs="Arial"/>
          <w:color w:val="333333"/>
          <w:sz w:val="20"/>
          <w:szCs w:val="20"/>
          <w:shd w:val="clear" w:color="auto" w:fill="FFFFFF"/>
        </w:rPr>
        <w:t>°Bé</w:t>
      </w:r>
      <w:r>
        <w:rPr>
          <w:rFonts w:hint="eastAsia" w:hAnsi="宋体" w:cs="宋体"/>
          <w:szCs w:val="21"/>
        </w:rPr>
        <w:t>，模数24。</w:t>
      </w:r>
    </w:p>
    <w:p>
      <w:pPr>
        <w:spacing w:line="360" w:lineRule="auto"/>
        <w:ind w:left="0" w:leftChars="0" w:firstLine="2160" w:firstLineChars="900"/>
        <w:rPr>
          <w:rFonts w:hint="eastAsia" w:hAnsi="宋体" w:cs="宋体"/>
          <w:b/>
          <w:bCs/>
        </w:rPr>
      </w:pPr>
      <w:r>
        <w:rPr>
          <w:rFonts w:hint="eastAsia" w:hAnsi="宋体" w:cs="宋体"/>
          <w:b/>
          <w:bCs/>
        </w:rPr>
        <w:t>表5</w:t>
      </w:r>
      <w:r>
        <w:rPr>
          <w:rFonts w:hint="eastAsia" w:hAnsi="宋体" w:cs="宋体"/>
          <w:b/>
          <w:bCs/>
          <w:lang w:val="en-US" w:eastAsia="zh-CN"/>
        </w:rPr>
        <w:t>.3-2</w:t>
      </w:r>
      <w:r>
        <w:rPr>
          <w:rFonts w:hint="eastAsia" w:hAnsi="宋体" w:cs="宋体"/>
          <w:b/>
          <w:bCs/>
        </w:rPr>
        <w:t xml:space="preserve"> 砂浆-水玻璃凝结时间试验统计表</w:t>
      </w:r>
    </w:p>
    <w:tbl>
      <w:tblPr>
        <w:tblStyle w:val="30"/>
        <w:tblW w:w="9286" w:type="dxa"/>
        <w:jc w:val="center"/>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4113"/>
        <w:gridCol w:w="2226"/>
        <w:gridCol w:w="1421"/>
      </w:tblGrid>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序号</w:t>
            </w:r>
          </w:p>
        </w:tc>
        <w:tc>
          <w:tcPr>
            <w:tcW w:w="4113"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砂浆：水玻璃（体积比）</w:t>
            </w:r>
          </w:p>
        </w:tc>
        <w:tc>
          <w:tcPr>
            <w:tcW w:w="22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开始凝结时间/s</w:t>
            </w:r>
          </w:p>
        </w:tc>
        <w:tc>
          <w:tcPr>
            <w:tcW w:w="1421"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终凝/s</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PrEx>
        <w:trPr>
          <w:jc w:val="center"/>
        </w:trPr>
        <w:tc>
          <w:tcPr>
            <w:tcW w:w="15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1</w:t>
            </w:r>
          </w:p>
        </w:tc>
        <w:tc>
          <w:tcPr>
            <w:tcW w:w="4113"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2：1</w:t>
            </w:r>
          </w:p>
        </w:tc>
        <w:tc>
          <w:tcPr>
            <w:tcW w:w="22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60</w:t>
            </w:r>
          </w:p>
        </w:tc>
        <w:tc>
          <w:tcPr>
            <w:tcW w:w="1421"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75</w:t>
            </w:r>
          </w:p>
        </w:tc>
      </w:tr>
      <w:tr>
        <w:tblPrEx>
          <w:tblBorders>
            <w:top w:val="thickThinSmallGap" w:color="auto" w:sz="12" w:space="0"/>
            <w:left w:val="thickThinSmallGap" w:color="auto" w:sz="12" w:space="0"/>
            <w:bottom w:val="thinThickSmallGap" w:color="auto" w:sz="12" w:space="0"/>
            <w:right w:val="thinThickSmallGap"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2</w:t>
            </w:r>
          </w:p>
        </w:tc>
        <w:tc>
          <w:tcPr>
            <w:tcW w:w="4113"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1：1</w:t>
            </w:r>
          </w:p>
        </w:tc>
        <w:tc>
          <w:tcPr>
            <w:tcW w:w="2226"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47</w:t>
            </w:r>
          </w:p>
        </w:tc>
        <w:tc>
          <w:tcPr>
            <w:tcW w:w="1421" w:type="dxa"/>
            <w:noWrap w:val="0"/>
            <w:vAlign w:val="top"/>
          </w:tcPr>
          <w:p>
            <w:pPr>
              <w:spacing w:line="360" w:lineRule="auto"/>
              <w:ind w:firstLine="0" w:firstLineChars="0"/>
              <w:jc w:val="center"/>
              <w:rPr>
                <w:rFonts w:hint="eastAsia" w:hAnsi="宋体" w:cs="宋体"/>
                <w:szCs w:val="21"/>
              </w:rPr>
            </w:pPr>
            <w:r>
              <w:rPr>
                <w:rFonts w:hint="eastAsia" w:hAnsi="宋体" w:cs="宋体"/>
                <w:szCs w:val="21"/>
              </w:rPr>
              <w:t>60</w:t>
            </w:r>
          </w:p>
        </w:tc>
      </w:tr>
    </w:tbl>
    <w:p>
      <w:pPr>
        <w:spacing w:line="360" w:lineRule="auto"/>
        <w:ind w:firstLine="480"/>
        <w:rPr>
          <w:rFonts w:hAnsi="宋体" w:cs="宋体"/>
          <w:szCs w:val="21"/>
        </w:rPr>
      </w:pPr>
      <w:r>
        <w:rPr>
          <w:rFonts w:hint="eastAsia" w:hAnsi="宋体" w:cs="宋体"/>
          <w:szCs w:val="21"/>
        </w:rPr>
        <w:t>(</w:t>
      </w:r>
      <w:r>
        <w:rPr>
          <w:rFonts w:hAnsi="宋体" w:cs="宋体"/>
          <w:szCs w:val="21"/>
        </w:rPr>
        <w:t>3)</w:t>
      </w:r>
      <w:r>
        <w:rPr>
          <w:rFonts w:hint="eastAsia" w:hAnsi="宋体" w:cs="宋体"/>
          <w:szCs w:val="21"/>
        </w:rPr>
        <w:t>根据实验所得数据和现场实际实验分析，在进行注浆堵漏时，根据管片上浮程度确定采用：</w:t>
      </w:r>
    </w:p>
    <w:p>
      <w:pPr>
        <w:spacing w:line="360" w:lineRule="auto"/>
        <w:ind w:firstLine="480"/>
        <w:rPr>
          <w:rFonts w:hAnsi="宋体" w:cs="宋体"/>
          <w:szCs w:val="21"/>
        </w:rPr>
      </w:pPr>
      <w:r>
        <w:rPr>
          <w:rFonts w:hint="eastAsia" w:hAnsi="宋体" w:cs="宋体"/>
          <w:szCs w:val="21"/>
        </w:rPr>
        <w:t>①配合比为1：1的双液浆(水泥浆和水玻璃</w:t>
      </w:r>
      <w:r>
        <w:rPr>
          <w:rFonts w:hAnsi="宋体" w:cs="宋体"/>
          <w:szCs w:val="21"/>
        </w:rPr>
        <w:t>)</w:t>
      </w:r>
      <w:r>
        <w:rPr>
          <w:rFonts w:hint="eastAsia" w:hAnsi="宋体" w:cs="宋体"/>
          <w:szCs w:val="21"/>
        </w:rPr>
        <w:t>；</w:t>
      </w:r>
    </w:p>
    <w:p>
      <w:pPr>
        <w:spacing w:line="360" w:lineRule="auto"/>
        <w:ind w:firstLine="480"/>
        <w:rPr>
          <w:rFonts w:hint="eastAsia" w:hAnsi="宋体" w:cs="宋体"/>
          <w:szCs w:val="21"/>
        </w:rPr>
      </w:pPr>
      <w:r>
        <w:rPr>
          <w:rFonts w:hint="eastAsia" w:hAnsi="宋体" w:cs="宋体"/>
          <w:szCs w:val="21"/>
        </w:rPr>
        <w:t>②按照实验配比，每环注入</w:t>
      </w:r>
      <w:r>
        <w:rPr>
          <w:rFonts w:hAnsi="宋体" w:cs="宋体"/>
          <w:szCs w:val="21"/>
        </w:rPr>
        <w:t>6</w:t>
      </w:r>
      <w:r>
        <w:rPr>
          <w:rFonts w:hint="eastAsia" w:hAnsi="宋体" w:cs="宋体"/>
          <w:szCs w:val="21"/>
        </w:rPr>
        <w:t>方</w:t>
      </w:r>
      <w:r>
        <w:rPr>
          <w:rFonts w:hint="eastAsia" w:hAnsi="宋体" w:cs="宋体"/>
          <w:szCs w:val="21"/>
          <w:highlight w:val="none"/>
        </w:rPr>
        <w:t>水玻璃单液浆。</w:t>
      </w:r>
    </w:p>
    <w:p>
      <w:pPr>
        <w:pStyle w:val="5"/>
        <w:bidi w:val="0"/>
        <w:spacing w:line="360" w:lineRule="auto"/>
        <w:rPr>
          <w:rFonts w:hint="eastAsia"/>
          <w:sz w:val="28"/>
          <w:szCs w:val="28"/>
          <w:lang w:val="en-US" w:eastAsia="zh-CN"/>
        </w:rPr>
      </w:pPr>
      <w:bookmarkStart w:id="160" w:name="_Toc5070"/>
      <w:bookmarkStart w:id="161" w:name="_Toc534401371"/>
      <w:bookmarkStart w:id="162" w:name="_Toc14823"/>
      <w:bookmarkStart w:id="163" w:name="_Toc20877"/>
      <w:bookmarkStart w:id="164" w:name="_Toc18520"/>
      <w:bookmarkStart w:id="165" w:name="_Toc22951"/>
      <w:bookmarkStart w:id="166" w:name="_Toc13053"/>
      <w:bookmarkStart w:id="167" w:name="_Toc23976"/>
      <w:r>
        <w:rPr>
          <w:rFonts w:hint="eastAsia"/>
          <w:sz w:val="28"/>
          <w:szCs w:val="28"/>
          <w:lang w:val="en-US" w:eastAsia="zh-CN"/>
        </w:rPr>
        <w:t>5.4</w:t>
      </w:r>
      <w:bookmarkEnd w:id="160"/>
      <w:bookmarkEnd w:id="161"/>
      <w:bookmarkEnd w:id="162"/>
      <w:r>
        <w:rPr>
          <w:rFonts w:hint="eastAsia"/>
          <w:sz w:val="28"/>
          <w:szCs w:val="28"/>
          <w:lang w:val="en-US" w:eastAsia="zh-CN"/>
        </w:rPr>
        <w:t>注浆量</w:t>
      </w:r>
      <w:bookmarkEnd w:id="163"/>
      <w:bookmarkEnd w:id="164"/>
      <w:bookmarkEnd w:id="165"/>
      <w:bookmarkEnd w:id="166"/>
      <w:bookmarkEnd w:id="167"/>
    </w:p>
    <w:p>
      <w:pPr>
        <w:spacing w:line="360" w:lineRule="auto"/>
        <w:ind w:firstLine="480"/>
        <w:rPr>
          <w:rFonts w:hint="eastAsia" w:hAnsi="宋体" w:cs="宋体"/>
          <w:szCs w:val="21"/>
        </w:rPr>
      </w:pPr>
      <w:r>
        <w:rPr>
          <w:rFonts w:hint="eastAsia" w:hAnsi="宋体" w:cs="宋体"/>
          <w:szCs w:val="21"/>
        </w:rPr>
        <w:t>二次注浆的注浆压力为：水泥浆1.</w:t>
      </w:r>
      <w:r>
        <w:rPr>
          <w:rFonts w:hAnsi="宋体" w:cs="宋体"/>
          <w:szCs w:val="21"/>
        </w:rPr>
        <w:t>0MP</w:t>
      </w:r>
      <w:r>
        <w:rPr>
          <w:rFonts w:hint="eastAsia" w:hAnsi="宋体" w:cs="宋体"/>
          <w:szCs w:val="21"/>
        </w:rPr>
        <w:t>a、水玻璃1.</w:t>
      </w:r>
      <w:r>
        <w:rPr>
          <w:rFonts w:hAnsi="宋体" w:cs="宋体"/>
          <w:szCs w:val="21"/>
        </w:rPr>
        <w:t>0MP</w:t>
      </w:r>
      <w:r>
        <w:rPr>
          <w:rFonts w:hint="eastAsia" w:hAnsi="宋体" w:cs="宋体"/>
          <w:szCs w:val="21"/>
        </w:rPr>
        <w:t>a，使浆液能沿管片外壁较均匀渗流，而不至劈裂土体、损伤管片，影响注浆效果。具体注浆量按照注浆压力确定，到达浆液注浆压力后，停止注浆。</w:t>
      </w:r>
    </w:p>
    <w:p>
      <w:pPr>
        <w:pStyle w:val="5"/>
        <w:bidi w:val="0"/>
        <w:spacing w:line="360" w:lineRule="auto"/>
        <w:rPr>
          <w:rFonts w:hint="eastAsia"/>
          <w:sz w:val="28"/>
          <w:szCs w:val="28"/>
          <w:lang w:val="en-US" w:eastAsia="zh-CN"/>
        </w:rPr>
      </w:pPr>
      <w:bookmarkStart w:id="168" w:name="_Toc21875"/>
      <w:bookmarkStart w:id="169" w:name="_Toc19114"/>
      <w:r>
        <w:rPr>
          <w:rFonts w:hint="eastAsia"/>
          <w:sz w:val="28"/>
          <w:szCs w:val="28"/>
          <w:lang w:val="en-US" w:eastAsia="zh-CN"/>
        </w:rPr>
        <w:t>5.5二次注浆验收标准：</w:t>
      </w:r>
      <w:bookmarkEnd w:id="168"/>
      <w:bookmarkEnd w:id="169"/>
    </w:p>
    <w:p>
      <w:pPr>
        <w:pStyle w:val="2"/>
        <w:numPr>
          <w:ilvl w:val="0"/>
          <w:numId w:val="5"/>
        </w:numPr>
        <w:ind w:left="0" w:leftChars="0" w:firstLine="0" w:firstLineChars="0"/>
        <w:rPr>
          <w:rFonts w:hint="eastAsia" w:ascii="宋体" w:hAnsi="宋体" w:eastAsia="宋体" w:cs="宋体"/>
          <w:sz w:val="24"/>
          <w:szCs w:val="24"/>
        </w:rPr>
      </w:pPr>
      <w:r>
        <w:rPr>
          <w:rFonts w:hint="eastAsia" w:ascii="宋体" w:hAnsi="宋体" w:eastAsia="宋体" w:cs="宋体"/>
          <w:b w:val="0"/>
          <w:bCs w:val="0"/>
          <w:sz w:val="24"/>
          <w:szCs w:val="24"/>
          <w:lang w:val="en-US" w:eastAsia="zh-CN"/>
        </w:rPr>
        <w:t>注浆过程中无</w:t>
      </w:r>
      <w:r>
        <w:rPr>
          <w:rFonts w:hint="eastAsia" w:ascii="宋体" w:hAnsi="宋体" w:eastAsia="宋体" w:cs="宋体"/>
          <w:sz w:val="24"/>
          <w:szCs w:val="24"/>
        </w:rPr>
        <w:t>损伤管片</w:t>
      </w:r>
      <w:r>
        <w:rPr>
          <w:rFonts w:hint="eastAsia" w:ascii="宋体" w:hAnsi="宋体" w:eastAsia="宋体" w:cs="宋体"/>
          <w:sz w:val="24"/>
          <w:szCs w:val="24"/>
          <w:lang w:eastAsia="zh-CN"/>
        </w:rPr>
        <w:t>；</w:t>
      </w:r>
    </w:p>
    <w:p>
      <w:pPr>
        <w:pStyle w:val="2"/>
        <w:numPr>
          <w:ilvl w:val="0"/>
          <w:numId w:val="5"/>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注浆完成后使用地质雷达扫描管片壁后于地层间隙是否密实；</w:t>
      </w:r>
    </w:p>
    <w:p>
      <w:pPr>
        <w:pStyle w:val="2"/>
        <w:numPr>
          <w:ilvl w:val="0"/>
          <w:numId w:val="5"/>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二次补强注浆时压力和注浆量应符合设计要求；</w:t>
      </w:r>
    </w:p>
    <w:p>
      <w:pPr>
        <w:pStyle w:val="2"/>
        <w:numPr>
          <w:ilvl w:val="0"/>
          <w:numId w:val="5"/>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二次注浆完成后不能出现管片污染情况</w:t>
      </w:r>
    </w:p>
    <w:bookmarkEnd w:id="124"/>
    <w:bookmarkEnd w:id="125"/>
    <w:p>
      <w:pPr>
        <w:pStyle w:val="82"/>
        <w:bidi w:val="0"/>
        <w:spacing w:line="360" w:lineRule="auto"/>
        <w:rPr>
          <w:rFonts w:hint="eastAsia"/>
          <w:b/>
          <w:bCs w:val="0"/>
          <w:lang w:val="en-US" w:eastAsia="zh-CN"/>
        </w:rPr>
      </w:pPr>
      <w:bookmarkStart w:id="170" w:name="_Toc12100"/>
      <w:bookmarkStart w:id="171" w:name="_Toc7776"/>
      <w:bookmarkStart w:id="172" w:name="_Toc5784"/>
      <w:bookmarkStart w:id="173" w:name="_Toc23170"/>
      <w:bookmarkStart w:id="174" w:name="_Toc2066"/>
      <w:r>
        <w:rPr>
          <w:rFonts w:hint="eastAsia"/>
          <w:b/>
          <w:bCs w:val="0"/>
          <w:lang w:val="en-US" w:eastAsia="zh-CN"/>
        </w:rPr>
        <w:t>6 施工工艺</w:t>
      </w:r>
      <w:bookmarkEnd w:id="170"/>
      <w:bookmarkEnd w:id="171"/>
      <w:bookmarkEnd w:id="172"/>
      <w:bookmarkEnd w:id="173"/>
      <w:bookmarkEnd w:id="174"/>
      <w:bookmarkStart w:id="175" w:name="_Toc29165"/>
    </w:p>
    <w:p>
      <w:pPr>
        <w:pStyle w:val="5"/>
        <w:bidi w:val="0"/>
        <w:spacing w:line="360" w:lineRule="auto"/>
        <w:rPr>
          <w:rFonts w:hint="eastAsia"/>
          <w:sz w:val="28"/>
          <w:szCs w:val="28"/>
          <w:lang w:val="en-US" w:eastAsia="zh-CN"/>
        </w:rPr>
      </w:pPr>
      <w:bookmarkStart w:id="176" w:name="_Toc30484"/>
      <w:bookmarkStart w:id="177" w:name="_Toc14815"/>
      <w:bookmarkStart w:id="178" w:name="_Toc3188"/>
      <w:bookmarkStart w:id="179" w:name="_Toc14437"/>
      <w:r>
        <w:rPr>
          <w:rFonts w:hint="eastAsia"/>
          <w:sz w:val="28"/>
          <w:szCs w:val="28"/>
          <w:lang w:val="en-US" w:eastAsia="zh-CN"/>
        </w:rPr>
        <w:t>6.1注浆位置</w:t>
      </w:r>
      <w:bookmarkEnd w:id="175"/>
      <w:bookmarkEnd w:id="176"/>
      <w:bookmarkEnd w:id="177"/>
      <w:bookmarkEnd w:id="178"/>
      <w:bookmarkEnd w:id="179"/>
    </w:p>
    <w:p>
      <w:pPr>
        <w:spacing w:line="360" w:lineRule="auto"/>
        <w:ind w:firstLine="0" w:firstLineChars="0"/>
        <w:jc w:val="both"/>
        <w:rPr>
          <w:rFonts w:hint="eastAsia" w:hAnsi="宋体" w:eastAsia="宋体" w:cs="宋体"/>
          <w:b/>
          <w:bCs/>
          <w:szCs w:val="21"/>
          <w:lang w:eastAsia="zh-CN"/>
        </w:rPr>
      </w:pPr>
      <w:r>
        <w:rPr>
          <w:rFonts w:hint="eastAsia" w:hAnsi="宋体" w:eastAsia="宋体" w:cs="宋体"/>
          <w:b/>
          <w:bCs/>
          <w:szCs w:val="21"/>
          <w:lang w:eastAsia="zh-CN"/>
        </w:rPr>
        <w:drawing>
          <wp:inline distT="0" distB="0" distL="114300" distR="114300">
            <wp:extent cx="5266055" cy="2011045"/>
            <wp:effectExtent l="0" t="0" r="6985" b="635"/>
            <wp:docPr id="5" name="图片 5"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6"/>
                    <pic:cNvPicPr>
                      <a:picLocks noChangeAspect="1"/>
                    </pic:cNvPicPr>
                  </pic:nvPicPr>
                  <pic:blipFill>
                    <a:blip r:embed="rId19"/>
                    <a:stretch>
                      <a:fillRect/>
                    </a:stretch>
                  </pic:blipFill>
                  <pic:spPr>
                    <a:xfrm>
                      <a:off x="0" y="0"/>
                      <a:ext cx="5266055" cy="2011045"/>
                    </a:xfrm>
                    <a:prstGeom prst="rect">
                      <a:avLst/>
                    </a:prstGeom>
                  </pic:spPr>
                </pic:pic>
              </a:graphicData>
            </a:graphic>
          </wp:inline>
        </w:drawing>
      </w:r>
    </w:p>
    <w:p>
      <w:pPr>
        <w:spacing w:line="360" w:lineRule="auto"/>
        <w:ind w:firstLine="3360" w:firstLineChars="1400"/>
        <w:jc w:val="both"/>
        <w:rPr>
          <w:rFonts w:hAnsi="宋体" w:cs="宋体"/>
          <w:b/>
          <w:bCs/>
          <w:szCs w:val="21"/>
        </w:rPr>
      </w:pPr>
      <w:r>
        <w:rPr>
          <w:b/>
          <w:bCs/>
          <w:sz w:val="24"/>
        </w:rPr>
        <mc:AlternateContent>
          <mc:Choice Requires="wps">
            <w:drawing>
              <wp:anchor distT="0" distB="0" distL="114300" distR="114300" simplePos="0" relativeHeight="251661312" behindDoc="0" locked="0" layoutInCell="1" allowOverlap="1">
                <wp:simplePos x="0" y="0"/>
                <wp:positionH relativeFrom="column">
                  <wp:posOffset>3146425</wp:posOffset>
                </wp:positionH>
                <wp:positionV relativeFrom="paragraph">
                  <wp:posOffset>554990</wp:posOffset>
                </wp:positionV>
                <wp:extent cx="443230" cy="831215"/>
                <wp:effectExtent l="0" t="0" r="0" b="0"/>
                <wp:wrapNone/>
                <wp:docPr id="7" name="矩形 7"/>
                <wp:cNvGraphicFramePr/>
                <a:graphic xmlns:a="http://schemas.openxmlformats.org/drawingml/2006/main">
                  <a:graphicData uri="http://schemas.microsoft.com/office/word/2010/wordprocessingShape">
                    <wps:wsp>
                      <wps:cNvSpPr/>
                      <wps:spPr>
                        <a:xfrm>
                          <a:off x="0" y="0"/>
                          <a:ext cx="443230" cy="831215"/>
                        </a:xfrm>
                        <a:prstGeom prst="rect">
                          <a:avLst/>
                        </a:prstGeom>
                        <a:noFill/>
                        <a:ln>
                          <a:noFill/>
                        </a:ln>
                      </wps:spPr>
                      <wps:bodyPr upright="1"/>
                    </wps:wsp>
                  </a:graphicData>
                </a:graphic>
              </wp:anchor>
            </w:drawing>
          </mc:Choice>
          <mc:Fallback>
            <w:pict>
              <v:rect id="_x0000_s1026" o:spid="_x0000_s1026" o:spt="1" style="position:absolute;left:0pt;margin-left:247.75pt;margin-top:43.7pt;height:65.45pt;width:34.9pt;z-index:251661312;mso-width-relative:page;mso-height-relative:page;" filled="f" stroked="f" coordsize="21600,21600" o:gfxdata="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ntdNq3AAAAAoBAAAPAAAAAAAA&#10;AAEAIAAAACIAAABkcnMvZG93bnJldi54bWxQSwECFAAUAAAACACHTuJAoSQgfJwBAAA1AwAADgAA&#10;AAAAAAABACAAAAArAQAAZHJzL2Uyb0RvYy54bWxQSwUGAAAAAAYABgBZAQAAOQUAAAAA&#10;">
                <v:fill on="f" focussize="0,0"/>
                <v:stroke on="f"/>
                <v:imagedata o:title=""/>
                <o:lock v:ext="edit" aspectratio="f"/>
              </v:rect>
            </w:pict>
          </mc:Fallback>
        </mc:AlternateContent>
      </w:r>
      <w:r>
        <w:rPr>
          <w:rFonts w:hint="eastAsia" w:hAnsi="宋体" w:cs="宋体"/>
          <w:b/>
          <w:bCs/>
          <w:szCs w:val="21"/>
        </w:rPr>
        <w:t>图6</w:t>
      </w:r>
      <w:r>
        <w:rPr>
          <w:rFonts w:hint="eastAsia" w:hAnsi="宋体" w:cs="宋体"/>
          <w:b/>
          <w:bCs/>
          <w:szCs w:val="21"/>
          <w:lang w:val="en-US" w:eastAsia="zh-CN"/>
        </w:rPr>
        <w:t>.1</w:t>
      </w:r>
      <w:r>
        <w:rPr>
          <w:rFonts w:hint="eastAsia" w:hAnsi="宋体" w:cs="宋体"/>
          <w:b/>
          <w:bCs/>
          <w:szCs w:val="21"/>
        </w:rPr>
        <w:t>-1注浆管环位置</w:t>
      </w:r>
    </w:p>
    <w:p>
      <w:pPr>
        <w:pStyle w:val="89"/>
        <w:spacing w:line="360" w:lineRule="auto"/>
        <w:ind w:firstLine="480"/>
      </w:pPr>
      <w:r>
        <w:rPr>
          <w:rFonts w:hint="eastAsia"/>
        </w:rPr>
        <w:t>(</w:t>
      </w:r>
      <w:r>
        <w:t>1)</w:t>
      </w:r>
      <w:r>
        <w:rPr>
          <w:rFonts w:hint="eastAsia"/>
        </w:rPr>
        <w:t>注浆管环</w:t>
      </w:r>
    </w:p>
    <w:p>
      <w:pPr>
        <w:pStyle w:val="89"/>
        <w:spacing w:line="360" w:lineRule="auto"/>
        <w:ind w:firstLine="480"/>
      </w:pPr>
      <w:r>
        <w:rPr>
          <w:rFonts w:hint="eastAsia"/>
        </w:rPr>
        <w:t>根据本项目盾构机的结构特点，在标记①位置搭设脚手架，随着盾构掘进，为二次注浆提供工作平台。初次注浆位置选在标记②所在的管环位置，用以判断二次注浆的影响范围。根据注浆的实际效果，在标记①位置对脱出盾尾的管片及时进行二次注浆。</w:t>
      </w:r>
    </w:p>
    <w:p>
      <w:pPr>
        <w:pStyle w:val="89"/>
        <w:spacing w:line="360" w:lineRule="auto"/>
        <w:ind w:firstLine="480"/>
        <w:rPr>
          <w:rFonts w:hint="eastAsia"/>
        </w:rPr>
      </w:pPr>
      <w:r>
        <w:rPr>
          <w:rFonts w:hint="eastAsia"/>
        </w:rPr>
        <w:t>(</w:t>
      </w:r>
      <w:r>
        <w:t>2)注浆</w:t>
      </w:r>
      <w:r>
        <w:rPr>
          <w:rFonts w:hint="eastAsia"/>
        </w:rPr>
        <w:t>点位</w:t>
      </w:r>
    </w:p>
    <w:p>
      <w:pPr>
        <w:spacing w:line="360" w:lineRule="auto"/>
        <w:ind w:firstLine="480"/>
        <w:rPr>
          <w:rFonts w:hint="eastAsia"/>
        </w:rPr>
      </w:pPr>
      <w:r>
        <w:rPr>
          <w:rFonts w:hint="eastAsia"/>
        </w:rPr>
        <w:t>二次注浆主要目的为促进管片早期稳定，有效控制管片的上浮或填充管片壁厚同步注浆未能充分密实注入的部分，故点位优先选择顶部，并根据现场情况，做出相应的调整。</w:t>
      </w:r>
    </w:p>
    <w:p>
      <w:pPr>
        <w:pStyle w:val="5"/>
        <w:bidi w:val="0"/>
        <w:spacing w:line="360" w:lineRule="auto"/>
        <w:rPr>
          <w:rFonts w:hint="eastAsia"/>
          <w:sz w:val="28"/>
          <w:szCs w:val="28"/>
          <w:lang w:val="en-US" w:eastAsia="zh-CN"/>
        </w:rPr>
      </w:pPr>
      <w:bookmarkStart w:id="180" w:name="_Toc2815"/>
      <w:bookmarkStart w:id="181" w:name="_Toc5284"/>
      <w:bookmarkStart w:id="182" w:name="_Toc3435"/>
      <w:bookmarkStart w:id="183" w:name="_Toc16493"/>
      <w:r>
        <w:rPr>
          <w:rFonts w:hint="eastAsia"/>
          <w:sz w:val="28"/>
          <w:szCs w:val="28"/>
          <w:lang w:val="en-US" w:eastAsia="zh-CN"/>
        </w:rPr>
        <w:t>6.2施工工艺</w:t>
      </w:r>
      <w:bookmarkEnd w:id="180"/>
      <w:bookmarkEnd w:id="181"/>
      <w:bookmarkEnd w:id="182"/>
      <w:bookmarkEnd w:id="183"/>
    </w:p>
    <w:p>
      <w:pPr>
        <w:spacing w:line="360" w:lineRule="auto"/>
        <w:ind w:firstLine="480"/>
        <w:rPr>
          <w:rFonts w:hint="eastAsia" w:hAnsi="宋体" w:cs="宋体"/>
          <w:szCs w:val="21"/>
        </w:rPr>
      </w:pPr>
      <w:r>
        <w:rPr>
          <w:rFonts w:hint="eastAsia" w:hAnsi="宋体" w:cs="宋体"/>
          <w:szCs w:val="21"/>
        </w:rPr>
        <w:t>（1）在注浆前根据现场情况，选择合适的二次注浆孔位；</w:t>
      </w:r>
    </w:p>
    <w:p>
      <w:pPr>
        <w:spacing w:line="360" w:lineRule="auto"/>
        <w:ind w:firstLine="480"/>
        <w:rPr>
          <w:rFonts w:hint="eastAsia" w:hAnsi="宋体" w:cs="宋体"/>
          <w:szCs w:val="21"/>
        </w:rPr>
      </w:pPr>
      <w:r>
        <w:rPr>
          <w:rFonts w:hint="eastAsia" w:hAnsi="宋体" w:cs="宋体"/>
          <w:szCs w:val="21"/>
        </w:rPr>
        <w:t>（2）安装注浆头及球阀，球阀安装后采用快硬水泥封堵注浆头与管片接头的位置，保证开孔安全，如图6</w:t>
      </w:r>
      <w:r>
        <w:rPr>
          <w:rFonts w:hint="eastAsia" w:hAnsi="宋体" w:cs="宋体"/>
          <w:szCs w:val="21"/>
          <w:lang w:val="en-US" w:eastAsia="zh-CN"/>
        </w:rPr>
        <w:t>.2-1</w:t>
      </w:r>
      <w:r>
        <w:rPr>
          <w:rFonts w:hint="eastAsia" w:hAnsi="宋体" w:cs="宋体"/>
          <w:szCs w:val="21"/>
        </w:rPr>
        <w:t>和6</w:t>
      </w:r>
      <w:r>
        <w:rPr>
          <w:rFonts w:hint="eastAsia" w:hAnsi="宋体" w:cs="宋体"/>
          <w:szCs w:val="21"/>
          <w:lang w:val="en-US" w:eastAsia="zh-CN"/>
        </w:rPr>
        <w:t>.2-2</w:t>
      </w:r>
      <w:r>
        <w:rPr>
          <w:rFonts w:hint="eastAsia" w:hAnsi="宋体" w:cs="宋体"/>
          <w:szCs w:val="21"/>
        </w:rPr>
        <w:t>所示；</w:t>
      </w:r>
    </w:p>
    <w:p>
      <w:pPr>
        <w:spacing w:line="360" w:lineRule="auto"/>
        <w:ind w:firstLine="480"/>
        <w:rPr>
          <w:rFonts w:hint="eastAsia" w:hAnsi="宋体" w:cs="宋体"/>
          <w:szCs w:val="21"/>
        </w:rPr>
      </w:pPr>
      <w:bookmarkStart w:id="184" w:name="_Toc534882198"/>
      <w:bookmarkStart w:id="185" w:name="_Toc533879807"/>
      <w:bookmarkStart w:id="186" w:name="_Toc534401377"/>
      <w:bookmarkStart w:id="187" w:name="_Toc534900433"/>
      <w:bookmarkStart w:id="188" w:name="_Toc533961113"/>
      <w:bookmarkStart w:id="189" w:name="_Toc1300"/>
      <w:r>
        <w:rPr>
          <w:rFonts w:hint="eastAsia" w:hAnsi="宋体" w:cs="宋体"/>
          <w:szCs w:val="21"/>
        </w:rPr>
        <w:t>（3）用电锤钻将管片打通后(钻杆直2</w:t>
      </w:r>
      <w:r>
        <w:rPr>
          <w:rFonts w:hAnsi="宋体" w:cs="宋体"/>
          <w:szCs w:val="21"/>
        </w:rPr>
        <w:t>0</w:t>
      </w:r>
      <w:r>
        <w:rPr>
          <w:rFonts w:hint="eastAsia" w:hAnsi="宋体" w:cs="宋体"/>
          <w:szCs w:val="21"/>
        </w:rPr>
        <w:t>mm，深入管片700mm</w:t>
      </w:r>
      <w:r>
        <w:rPr>
          <w:rFonts w:hAnsi="宋体" w:cs="宋体"/>
          <w:szCs w:val="21"/>
        </w:rPr>
        <w:t>)</w:t>
      </w:r>
      <w:r>
        <w:rPr>
          <w:rFonts w:hint="eastAsia" w:hAnsi="宋体" w:cs="宋体"/>
          <w:szCs w:val="21"/>
        </w:rPr>
        <w:t>，立即安装注浆三通管</w:t>
      </w:r>
      <w:bookmarkEnd w:id="184"/>
      <w:bookmarkEnd w:id="185"/>
      <w:bookmarkEnd w:id="186"/>
      <w:bookmarkEnd w:id="187"/>
      <w:bookmarkEnd w:id="188"/>
      <w:bookmarkEnd w:id="189"/>
      <w:r>
        <w:rPr>
          <w:rFonts w:hint="eastAsia" w:hAnsi="宋体" w:cs="宋体"/>
          <w:szCs w:val="21"/>
        </w:rPr>
        <w:t>；如图6</w:t>
      </w:r>
      <w:r>
        <w:rPr>
          <w:rFonts w:hint="eastAsia" w:hAnsi="宋体" w:cs="宋体"/>
          <w:szCs w:val="21"/>
          <w:lang w:val="en-US" w:eastAsia="zh-CN"/>
        </w:rPr>
        <w:t>.2-3</w:t>
      </w:r>
      <w:r>
        <w:rPr>
          <w:rFonts w:hint="eastAsia" w:hAnsi="宋体" w:cs="宋体"/>
          <w:szCs w:val="21"/>
        </w:rPr>
        <w:t>所示；</w:t>
      </w:r>
    </w:p>
    <w:p>
      <w:pPr>
        <w:spacing w:line="360" w:lineRule="auto"/>
        <w:ind w:firstLine="480"/>
        <w:rPr>
          <w:rFonts w:hint="eastAsia" w:hAnsi="宋体" w:cs="宋体"/>
          <w:szCs w:val="21"/>
        </w:rPr>
      </w:pPr>
      <w:bookmarkStart w:id="190" w:name="_Toc533879808"/>
      <w:bookmarkStart w:id="191" w:name="_Toc534900434"/>
      <w:bookmarkStart w:id="192" w:name="_Toc534401378"/>
      <w:bookmarkStart w:id="193" w:name="_Toc534882199"/>
      <w:bookmarkStart w:id="194" w:name="_Toc14432"/>
      <w:bookmarkStart w:id="195" w:name="_Toc533961114"/>
      <w:r>
        <w:rPr>
          <w:rFonts w:hint="eastAsia" w:hAnsi="宋体" w:cs="宋体"/>
          <w:szCs w:val="21"/>
        </w:rPr>
        <w:t>（4）三通管安装完成后，打开阀门，记录初始压力，开始注入水泥和水玻璃</w:t>
      </w:r>
      <w:bookmarkEnd w:id="190"/>
      <w:bookmarkEnd w:id="191"/>
      <w:bookmarkEnd w:id="192"/>
      <w:bookmarkEnd w:id="193"/>
      <w:bookmarkEnd w:id="194"/>
      <w:bookmarkEnd w:id="195"/>
      <w:r>
        <w:rPr>
          <w:rFonts w:hint="eastAsia" w:hAnsi="宋体" w:cs="宋体"/>
          <w:szCs w:val="21"/>
        </w:rPr>
        <w:t>；</w:t>
      </w:r>
    </w:p>
    <w:p>
      <w:pPr>
        <w:spacing w:line="360" w:lineRule="auto"/>
        <w:ind w:firstLine="480"/>
        <w:rPr>
          <w:rFonts w:hint="eastAsia" w:hAnsi="宋体" w:cs="宋体"/>
          <w:szCs w:val="21"/>
        </w:rPr>
      </w:pPr>
      <w:bookmarkStart w:id="196" w:name="_Toc534882200"/>
      <w:bookmarkStart w:id="197" w:name="_Toc533961115"/>
      <w:bookmarkStart w:id="198" w:name="_Toc534401379"/>
      <w:bookmarkStart w:id="199" w:name="_Toc534900435"/>
      <w:bookmarkStart w:id="200" w:name="_Toc31186"/>
      <w:bookmarkStart w:id="201" w:name="_Toc533879809"/>
      <w:r>
        <w:rPr>
          <w:rFonts w:hint="eastAsia" w:hAnsi="宋体" w:cs="宋体"/>
          <w:szCs w:val="21"/>
        </w:rPr>
        <w:t>（5）</w:t>
      </w:r>
      <w:bookmarkEnd w:id="196"/>
      <w:bookmarkEnd w:id="197"/>
      <w:bookmarkEnd w:id="198"/>
      <w:bookmarkEnd w:id="199"/>
      <w:bookmarkEnd w:id="200"/>
      <w:bookmarkEnd w:id="201"/>
      <w:r>
        <w:rPr>
          <w:rFonts w:hint="eastAsia" w:hAnsi="宋体" w:cs="宋体"/>
          <w:szCs w:val="21"/>
        </w:rPr>
        <w:t>实时观察注浆压力，当最大注入压力达到1.</w:t>
      </w:r>
      <w:r>
        <w:rPr>
          <w:rFonts w:hAnsi="宋体" w:cs="宋体"/>
          <w:szCs w:val="21"/>
        </w:rPr>
        <w:t>0MP</w:t>
      </w:r>
      <w:r>
        <w:rPr>
          <w:rFonts w:hint="eastAsia" w:hAnsi="宋体" w:cs="宋体"/>
          <w:szCs w:val="21"/>
        </w:rPr>
        <w:t>a后，立即关闭注浆机和三通管球阀；</w:t>
      </w:r>
    </w:p>
    <w:p>
      <w:pPr>
        <w:spacing w:line="360" w:lineRule="auto"/>
        <w:ind w:firstLine="480"/>
        <w:rPr>
          <w:rFonts w:hint="eastAsia" w:hAnsi="宋体" w:cs="宋体"/>
          <w:szCs w:val="21"/>
        </w:rPr>
      </w:pPr>
      <w:bookmarkStart w:id="202" w:name="_Toc534882201"/>
      <w:bookmarkStart w:id="203" w:name="_Toc534900436"/>
      <w:r>
        <w:rPr>
          <w:rFonts w:hint="eastAsia" w:hAnsi="宋体" w:cs="宋体"/>
          <w:szCs w:val="21"/>
        </w:rPr>
        <w:t>（6）</w:t>
      </w:r>
      <w:bookmarkEnd w:id="202"/>
      <w:bookmarkEnd w:id="203"/>
      <w:r>
        <w:rPr>
          <w:rFonts w:hint="eastAsia" w:hAnsi="宋体" w:cs="宋体"/>
          <w:szCs w:val="21"/>
        </w:rPr>
        <w:t>关闭注浆头球阀并及时清洗管路，防止注浆管路堵塞；</w:t>
      </w:r>
    </w:p>
    <w:p>
      <w:pPr>
        <w:pStyle w:val="2"/>
        <w:spacing w:line="360" w:lineRule="auto"/>
        <w:ind w:left="0" w:leftChars="0" w:firstLine="480" w:firstLineChars="200"/>
        <w:jc w:val="left"/>
        <w:rPr>
          <w:rFonts w:hint="eastAsia" w:ascii="Times New Roman" w:hAnsi="Times New Roman" w:eastAsia="宋体" w:cs="Times New Roman"/>
          <w:kern w:val="2"/>
          <w:sz w:val="24"/>
          <w:szCs w:val="24"/>
          <w:lang w:val="en-US" w:eastAsia="zh-CN" w:bidi="en-US"/>
        </w:rPr>
      </w:pPr>
      <w:r>
        <w:rPr>
          <w:rFonts w:hint="eastAsia" w:ascii="Times New Roman" w:hAnsi="宋体" w:eastAsia="宋体" w:cs="宋体"/>
          <w:kern w:val="2"/>
          <w:sz w:val="24"/>
          <w:szCs w:val="21"/>
          <w:lang w:val="en-US" w:eastAsia="zh-CN" w:bidi="ar-SA"/>
        </w:rPr>
        <w:t>（7）进行下一个注浆孔注浆施工</w:t>
      </w:r>
      <w:bookmarkEnd w:id="94"/>
      <w:r>
        <w:rPr>
          <w:rFonts w:hint="eastAsia" w:ascii="Times New Roman" w:hAnsi="Times New Roman" w:eastAsia="宋体" w:cs="Times New Roman"/>
          <w:kern w:val="2"/>
          <w:sz w:val="24"/>
          <w:szCs w:val="24"/>
          <w:lang w:val="en-US" w:eastAsia="zh-CN" w:bidi="en-US"/>
        </w:rPr>
        <w:drawing>
          <wp:inline distT="0" distB="0" distL="114300" distR="114300">
            <wp:extent cx="1623695" cy="1580515"/>
            <wp:effectExtent l="0" t="0" r="6985" b="4445"/>
            <wp:docPr id="9" name="图片 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7"/>
                    <pic:cNvPicPr>
                      <a:picLocks noChangeAspect="1"/>
                    </pic:cNvPicPr>
                  </pic:nvPicPr>
                  <pic:blipFill>
                    <a:blip r:embed="rId20"/>
                    <a:stretch>
                      <a:fillRect/>
                    </a:stretch>
                  </pic:blipFill>
                  <pic:spPr>
                    <a:xfrm>
                      <a:off x="0" y="0"/>
                      <a:ext cx="1623695" cy="1580515"/>
                    </a:xfrm>
                    <a:prstGeom prst="rect">
                      <a:avLst/>
                    </a:prstGeom>
                  </pic:spPr>
                </pic:pic>
              </a:graphicData>
            </a:graphic>
          </wp:inline>
        </w:drawing>
      </w:r>
      <w:r>
        <w:rPr>
          <w:rFonts w:hint="eastAsia" w:ascii="Times New Roman" w:hAnsi="Times New Roman" w:eastAsia="宋体" w:cs="Times New Roman"/>
          <w:kern w:val="2"/>
          <w:sz w:val="24"/>
          <w:szCs w:val="24"/>
          <w:lang w:val="en-US" w:eastAsia="zh-CN" w:bidi="en-US"/>
        </w:rPr>
        <w:drawing>
          <wp:inline distT="0" distB="0" distL="114300" distR="114300">
            <wp:extent cx="1623060" cy="1581150"/>
            <wp:effectExtent l="0" t="0" r="7620" b="3810"/>
            <wp:docPr id="11" name="图片 11"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8"/>
                    <pic:cNvPicPr>
                      <a:picLocks noChangeAspect="1"/>
                    </pic:cNvPicPr>
                  </pic:nvPicPr>
                  <pic:blipFill>
                    <a:blip r:embed="rId21"/>
                    <a:stretch>
                      <a:fillRect/>
                    </a:stretch>
                  </pic:blipFill>
                  <pic:spPr>
                    <a:xfrm>
                      <a:off x="0" y="0"/>
                      <a:ext cx="1623060" cy="1581150"/>
                    </a:xfrm>
                    <a:prstGeom prst="rect">
                      <a:avLst/>
                    </a:prstGeom>
                  </pic:spPr>
                </pic:pic>
              </a:graphicData>
            </a:graphic>
          </wp:inline>
        </w:drawing>
      </w:r>
      <w:r>
        <w:rPr>
          <w:rFonts w:hint="eastAsia" w:ascii="Times New Roman" w:hAnsi="Times New Roman" w:eastAsia="宋体" w:cs="Times New Roman"/>
          <w:kern w:val="2"/>
          <w:sz w:val="24"/>
          <w:szCs w:val="24"/>
          <w:lang w:val="en-US" w:eastAsia="zh-CN" w:bidi="en-US"/>
        </w:rPr>
        <w:drawing>
          <wp:inline distT="0" distB="0" distL="114300" distR="114300">
            <wp:extent cx="1699260" cy="1555750"/>
            <wp:effectExtent l="0" t="0" r="7620" b="13970"/>
            <wp:docPr id="12" name="图片 1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22"/>
                    <a:stretch>
                      <a:fillRect/>
                    </a:stretch>
                  </pic:blipFill>
                  <pic:spPr>
                    <a:xfrm>
                      <a:off x="0" y="0"/>
                      <a:ext cx="1699260" cy="1555750"/>
                    </a:xfrm>
                    <a:prstGeom prst="rect">
                      <a:avLst/>
                    </a:prstGeom>
                  </pic:spPr>
                </pic:pic>
              </a:graphicData>
            </a:graphic>
          </wp:inline>
        </w:drawing>
      </w:r>
    </w:p>
    <w:p>
      <w:pPr>
        <w:spacing w:line="360" w:lineRule="auto"/>
        <w:ind w:left="0" w:leftChars="0" w:firstLine="0" w:firstLineChars="0"/>
        <w:rPr>
          <w:rFonts w:hint="eastAsia"/>
        </w:rPr>
      </w:pPr>
      <w:r>
        <w:rPr>
          <w:rFonts w:hAnsi="宋体" w:cs="宋体"/>
          <w:b/>
          <w:bCs/>
          <w:szCs w:val="21"/>
        </w:rPr>
        <w:t>图</w:t>
      </w:r>
      <w:r>
        <w:rPr>
          <w:rFonts w:hint="eastAsia" w:hAnsi="宋体" w:cs="宋体"/>
          <w:b/>
          <w:bCs/>
          <w:szCs w:val="21"/>
        </w:rPr>
        <w:t>6</w:t>
      </w:r>
      <w:r>
        <w:rPr>
          <w:rFonts w:hint="eastAsia" w:hAnsi="宋体" w:cs="宋体"/>
          <w:b/>
          <w:bCs/>
          <w:szCs w:val="21"/>
          <w:lang w:val="en-US" w:eastAsia="zh-CN"/>
        </w:rPr>
        <w:t>.2</w:t>
      </w:r>
      <w:r>
        <w:rPr>
          <w:rFonts w:hAnsi="宋体" w:cs="宋体"/>
          <w:b/>
          <w:bCs/>
          <w:szCs w:val="21"/>
        </w:rPr>
        <w:t>-</w:t>
      </w:r>
      <w:r>
        <w:rPr>
          <w:rFonts w:hint="eastAsia" w:hAnsi="宋体" w:cs="宋体"/>
          <w:b/>
          <w:bCs/>
          <w:szCs w:val="21"/>
          <w:lang w:val="en-US" w:eastAsia="zh-CN"/>
        </w:rPr>
        <w:t>1</w:t>
      </w:r>
      <w:r>
        <w:rPr>
          <w:rFonts w:hAnsi="宋体" w:cs="宋体"/>
          <w:b/>
          <w:bCs/>
          <w:szCs w:val="21"/>
        </w:rPr>
        <w:t>注浆</w:t>
      </w:r>
      <w:r>
        <w:rPr>
          <w:rFonts w:hint="eastAsia" w:hAnsi="宋体" w:cs="宋体"/>
          <w:b/>
          <w:bCs/>
          <w:szCs w:val="21"/>
        </w:rPr>
        <w:t>头及球阀</w:t>
      </w:r>
      <w:r>
        <w:rPr>
          <w:rFonts w:hint="eastAsia" w:hAnsi="宋体" w:cs="宋体"/>
          <w:b/>
          <w:bCs/>
          <w:szCs w:val="21"/>
          <w:lang w:val="en-US" w:eastAsia="zh-CN"/>
        </w:rPr>
        <w:t xml:space="preserve">  </w:t>
      </w:r>
      <w:r>
        <w:rPr>
          <w:rFonts w:hint="eastAsia" w:hAnsi="宋体" w:cs="宋体"/>
          <w:b/>
          <w:bCs/>
          <w:szCs w:val="21"/>
        </w:rPr>
        <w:t xml:space="preserve"> </w:t>
      </w:r>
      <w:r>
        <w:rPr>
          <w:rFonts w:hAnsi="宋体" w:cs="宋体"/>
          <w:b/>
          <w:bCs/>
          <w:szCs w:val="21"/>
        </w:rPr>
        <w:t>图</w:t>
      </w:r>
      <w:r>
        <w:rPr>
          <w:rFonts w:hint="eastAsia" w:hAnsi="宋体" w:cs="宋体"/>
          <w:b/>
          <w:bCs/>
          <w:szCs w:val="21"/>
        </w:rPr>
        <w:t>6</w:t>
      </w:r>
      <w:r>
        <w:rPr>
          <w:rFonts w:hint="eastAsia" w:hAnsi="宋体" w:cs="宋体"/>
          <w:b/>
          <w:bCs/>
          <w:szCs w:val="21"/>
          <w:lang w:val="en-US" w:eastAsia="zh-CN"/>
        </w:rPr>
        <w:t>.2-2</w:t>
      </w:r>
      <w:r>
        <w:rPr>
          <w:rFonts w:hint="eastAsia" w:hAnsi="宋体" w:cs="宋体"/>
          <w:b/>
          <w:bCs/>
          <w:szCs w:val="21"/>
        </w:rPr>
        <w:t xml:space="preserve">注浆头安装完成 </w:t>
      </w:r>
      <w:r>
        <w:rPr>
          <w:rFonts w:hint="eastAsia" w:hAnsi="宋体" w:cs="宋体"/>
          <w:b/>
          <w:bCs/>
          <w:szCs w:val="21"/>
          <w:lang w:val="en-US" w:eastAsia="zh-CN"/>
        </w:rPr>
        <w:t xml:space="preserve">  </w:t>
      </w:r>
      <w:r>
        <w:rPr>
          <w:rFonts w:hAnsi="宋体" w:cs="宋体"/>
          <w:b/>
          <w:bCs/>
          <w:szCs w:val="21"/>
        </w:rPr>
        <w:t xml:space="preserve"> 图</w:t>
      </w:r>
      <w:r>
        <w:rPr>
          <w:rFonts w:hint="eastAsia" w:hAnsi="宋体" w:cs="宋体"/>
          <w:b/>
          <w:bCs/>
          <w:szCs w:val="21"/>
        </w:rPr>
        <w:t>6</w:t>
      </w:r>
      <w:r>
        <w:rPr>
          <w:rFonts w:hint="eastAsia" w:hAnsi="宋体" w:cs="宋体"/>
          <w:b/>
          <w:bCs/>
          <w:szCs w:val="21"/>
          <w:lang w:val="en-US" w:eastAsia="zh-CN"/>
        </w:rPr>
        <w:t>.2-3</w:t>
      </w:r>
      <w:r>
        <w:rPr>
          <w:rFonts w:hint="eastAsia" w:hAnsi="宋体" w:cs="宋体"/>
          <w:b/>
          <w:bCs/>
          <w:szCs w:val="21"/>
        </w:rPr>
        <w:t>注浆三通管</w:t>
      </w:r>
      <w:r>
        <w:rPr>
          <w:rFonts w:hint="eastAsia" w:hAnsi="宋体" w:cs="宋体"/>
          <w:b w:val="0"/>
          <w:bCs w:val="0"/>
          <w:szCs w:val="21"/>
        </w:rPr>
        <w:t xml:space="preserve"> </w:t>
      </w:r>
      <w:r>
        <w:rPr>
          <w:rFonts w:hAnsi="宋体" w:cs="宋体"/>
          <w:b w:val="0"/>
          <w:bCs w:val="0"/>
          <w:szCs w:val="21"/>
        </w:rPr>
        <w:t xml:space="preserve"> </w:t>
      </w:r>
      <w:r>
        <w:rPr>
          <w:rFonts w:hAnsi="宋体" w:cs="宋体"/>
          <w:b/>
          <w:bCs/>
          <w:szCs w:val="21"/>
        </w:rPr>
        <w:t xml:space="preserve">               </w:t>
      </w:r>
    </w:p>
    <w:p>
      <w:pPr>
        <w:pStyle w:val="5"/>
        <w:bidi w:val="0"/>
        <w:spacing w:line="360" w:lineRule="auto"/>
        <w:rPr>
          <w:rFonts w:hint="eastAsia"/>
          <w:sz w:val="28"/>
          <w:szCs w:val="28"/>
          <w:lang w:val="en-US" w:eastAsia="zh-CN"/>
        </w:rPr>
      </w:pPr>
      <w:bookmarkStart w:id="204" w:name="_Toc11799"/>
      <w:bookmarkStart w:id="205" w:name="_Toc26765"/>
      <w:bookmarkStart w:id="206" w:name="_Toc20893"/>
      <w:bookmarkStart w:id="207" w:name="_Toc26911"/>
      <w:bookmarkStart w:id="208" w:name="_Toc15794"/>
      <w:r>
        <w:rPr>
          <w:rFonts w:hint="eastAsia"/>
          <w:sz w:val="28"/>
          <w:szCs w:val="28"/>
          <w:lang w:val="en-US" w:eastAsia="zh-CN"/>
        </w:rPr>
        <w:t>6.3注浆孔封堵</w:t>
      </w:r>
      <w:bookmarkEnd w:id="204"/>
      <w:bookmarkEnd w:id="205"/>
      <w:bookmarkEnd w:id="206"/>
      <w:bookmarkEnd w:id="207"/>
      <w:bookmarkEnd w:id="208"/>
    </w:p>
    <w:p>
      <w:pPr>
        <w:spacing w:line="360" w:lineRule="auto"/>
        <w:ind w:firstLine="480"/>
        <w:rPr>
          <w:rFonts w:hint="default" w:hAnsi="宋体" w:cs="宋体"/>
          <w:szCs w:val="21"/>
          <w:lang w:val="en-US" w:eastAsia="zh-CN"/>
        </w:rPr>
      </w:pPr>
      <w:r>
        <w:rPr>
          <w:rFonts w:hint="eastAsia" w:hAnsi="宋体" w:cs="宋体"/>
          <w:szCs w:val="21"/>
        </w:rPr>
        <w:t>根据本隧道实际施工情况，采用特制注浆密封塞(如图6</w:t>
      </w:r>
      <w:r>
        <w:rPr>
          <w:rFonts w:hint="eastAsia" w:hAnsi="宋体" w:cs="宋体"/>
          <w:szCs w:val="21"/>
          <w:lang w:val="en-US" w:eastAsia="zh-CN"/>
        </w:rPr>
        <w:t>.3-1</w:t>
      </w:r>
      <w:r>
        <w:rPr>
          <w:rFonts w:hint="eastAsia" w:hAnsi="宋体" w:cs="宋体"/>
          <w:szCs w:val="21"/>
        </w:rPr>
        <w:t>所示)进行注浆孔的封堵，密封塞长度为</w:t>
      </w:r>
      <w:r>
        <w:rPr>
          <w:rFonts w:hint="eastAsia" w:hAnsi="宋体" w:cs="宋体"/>
          <w:szCs w:val="21"/>
          <w:lang w:val="en-US" w:eastAsia="zh-CN"/>
        </w:rPr>
        <w:t>6</w:t>
      </w:r>
      <w:r>
        <w:rPr>
          <w:rFonts w:hint="eastAsia" w:hAnsi="宋体" w:cs="宋体"/>
          <w:szCs w:val="21"/>
        </w:rPr>
        <w:t>0mm，实验过程中，可抵抗4KN以上的拉拔力，满足施工要求(附图及受力验算)。</w:t>
      </w:r>
    </w:p>
    <w:p>
      <w:pPr>
        <w:pStyle w:val="67"/>
        <w:spacing w:line="360" w:lineRule="auto"/>
        <w:ind w:left="0" w:leftChars="0" w:firstLine="0" w:firstLineChars="0"/>
        <w:rPr>
          <w:rFonts w:hint="eastAsia" w:ascii="Times New Roman" w:hAnsi="Times New Roman" w:eastAsia="宋体" w:cs="Times New Roman"/>
          <w:kern w:val="2"/>
          <w:sz w:val="24"/>
          <w:szCs w:val="24"/>
          <w:lang w:val="en-US" w:eastAsia="zh-CN" w:bidi="en-US"/>
        </w:rPr>
      </w:pPr>
      <w:r>
        <w:rPr>
          <w:rFonts w:hint="eastAsia" w:ascii="Times New Roman" w:hAnsi="Times New Roman"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drawing>
          <wp:inline distT="0" distB="0" distL="114300" distR="114300">
            <wp:extent cx="2462530" cy="1803400"/>
            <wp:effectExtent l="0" t="0" r="6350" b="10160"/>
            <wp:docPr id="13" name="图片 13"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10"/>
                    <pic:cNvPicPr>
                      <a:picLocks noChangeAspect="1"/>
                    </pic:cNvPicPr>
                  </pic:nvPicPr>
                  <pic:blipFill>
                    <a:blip r:embed="rId23"/>
                    <a:stretch>
                      <a:fillRect/>
                    </a:stretch>
                  </pic:blipFill>
                  <pic:spPr>
                    <a:xfrm>
                      <a:off x="0" y="0"/>
                      <a:ext cx="2462530" cy="1803400"/>
                    </a:xfrm>
                    <a:prstGeom prst="rect">
                      <a:avLst/>
                    </a:prstGeom>
                  </pic:spPr>
                </pic:pic>
              </a:graphicData>
            </a:graphic>
          </wp:inline>
        </w:drawing>
      </w:r>
    </w:p>
    <w:p>
      <w:pPr>
        <w:spacing w:line="360" w:lineRule="auto"/>
        <w:ind w:firstLine="482"/>
        <w:jc w:val="center"/>
        <w:rPr>
          <w:rFonts w:hint="eastAsia" w:hAnsi="宋体" w:cs="宋体"/>
          <w:b w:val="0"/>
          <w:bCs w:val="0"/>
          <w:szCs w:val="21"/>
        </w:rPr>
      </w:pPr>
      <w:r>
        <w:rPr>
          <w:rFonts w:hint="eastAsia" w:hAnsi="宋体" w:cs="宋体"/>
          <w:b/>
          <w:bCs/>
          <w:szCs w:val="21"/>
        </w:rPr>
        <w:t>图6</w:t>
      </w:r>
      <w:r>
        <w:rPr>
          <w:rFonts w:hint="eastAsia" w:hAnsi="宋体" w:cs="宋体"/>
          <w:b/>
          <w:bCs/>
          <w:szCs w:val="21"/>
          <w:lang w:val="en-US" w:eastAsia="zh-CN"/>
        </w:rPr>
        <w:t>.3-1</w:t>
      </w:r>
      <w:r>
        <w:rPr>
          <w:rFonts w:hint="eastAsia" w:hAnsi="宋体" w:cs="宋体"/>
          <w:b/>
          <w:bCs/>
          <w:szCs w:val="21"/>
        </w:rPr>
        <w:t>注浆孔密封塞</w:t>
      </w:r>
    </w:p>
    <w:p>
      <w:pPr>
        <w:keepNext w:val="0"/>
        <w:keepLines w:val="0"/>
        <w:pageBreakBefore w:val="0"/>
        <w:widowControl w:val="0"/>
        <w:kinsoku/>
        <w:wordWrap/>
        <w:overflowPunct/>
        <w:topLinePunct w:val="0"/>
        <w:autoSpaceDE/>
        <w:autoSpaceDN/>
        <w:bidi w:val="0"/>
        <w:adjustRightInd/>
        <w:snapToGrid/>
        <w:spacing w:line="120" w:lineRule="auto"/>
        <w:ind w:firstLine="480"/>
        <w:textAlignment w:val="auto"/>
        <w:rPr>
          <w:rFonts w:hAnsi="宋体" w:cs="宋体"/>
          <w:szCs w:val="21"/>
        </w:rPr>
      </w:pPr>
      <w:r>
        <w:rPr>
          <w:rFonts w:hint="eastAsia" w:hAnsi="宋体" w:cs="宋体"/>
          <w:szCs w:val="21"/>
        </w:rPr>
        <w:t>封堵流程：</w:t>
      </w:r>
    </w:p>
    <w:p>
      <w:pPr>
        <w:keepNext w:val="0"/>
        <w:keepLines w:val="0"/>
        <w:pageBreakBefore w:val="0"/>
        <w:widowControl w:val="0"/>
        <w:kinsoku/>
        <w:wordWrap/>
        <w:overflowPunct/>
        <w:topLinePunct w:val="0"/>
        <w:autoSpaceDE/>
        <w:autoSpaceDN/>
        <w:bidi w:val="0"/>
        <w:adjustRightInd/>
        <w:snapToGrid/>
        <w:spacing w:line="120" w:lineRule="auto"/>
        <w:ind w:firstLine="480"/>
        <w:textAlignment w:val="auto"/>
        <w:rPr>
          <w:rFonts w:hAnsi="宋体" w:cs="宋体"/>
          <w:szCs w:val="21"/>
        </w:rPr>
      </w:pPr>
      <w:r>
        <w:rPr>
          <w:rFonts w:hint="eastAsia" w:hAnsi="宋体" w:cs="宋体"/>
          <w:szCs w:val="21"/>
        </w:rPr>
        <w:t>（1）注浆结束</w:t>
      </w:r>
      <w:r>
        <w:rPr>
          <w:rFonts w:hAnsi="宋体" w:cs="宋体"/>
          <w:szCs w:val="21"/>
        </w:rPr>
        <w:t>1</w:t>
      </w:r>
      <w:r>
        <w:rPr>
          <w:rFonts w:hint="eastAsia" w:ascii="等线" w:hAnsi="等线" w:eastAsia="等线" w:cs="宋体"/>
          <w:szCs w:val="21"/>
        </w:rPr>
        <w:t>~</w:t>
      </w:r>
      <w:r>
        <w:rPr>
          <w:rFonts w:hAnsi="宋体" w:cs="宋体"/>
          <w:szCs w:val="21"/>
        </w:rPr>
        <w:t>2</w:t>
      </w:r>
      <w:r>
        <w:rPr>
          <w:rFonts w:hint="eastAsia" w:hAnsi="宋体" w:cs="宋体"/>
          <w:szCs w:val="21"/>
        </w:rPr>
        <w:t>d后，打开管片内壁上的球阀，进行观察，若无水流出，终孔、拆卸注浆头；</w:t>
      </w:r>
    </w:p>
    <w:p>
      <w:pPr>
        <w:keepNext w:val="0"/>
        <w:keepLines w:val="0"/>
        <w:pageBreakBefore w:val="0"/>
        <w:widowControl w:val="0"/>
        <w:kinsoku/>
        <w:wordWrap/>
        <w:overflowPunct/>
        <w:topLinePunct w:val="0"/>
        <w:autoSpaceDE/>
        <w:autoSpaceDN/>
        <w:bidi w:val="0"/>
        <w:adjustRightInd/>
        <w:snapToGrid/>
        <w:spacing w:line="120" w:lineRule="auto"/>
        <w:ind w:firstLine="480"/>
        <w:textAlignment w:val="auto"/>
        <w:rPr>
          <w:rFonts w:hint="eastAsia" w:ascii="Times New Roman" w:hAnsi="Times New Roman" w:eastAsia="宋体" w:cs="Times New Roman"/>
          <w:kern w:val="2"/>
          <w:sz w:val="24"/>
          <w:szCs w:val="24"/>
          <w:lang w:val="en-US" w:eastAsia="zh-CN" w:bidi="en-US"/>
        </w:rPr>
      </w:pPr>
      <w:r>
        <w:rPr>
          <w:rFonts w:hint="eastAsia" w:hAnsi="宋体" w:cs="宋体"/>
          <w:szCs w:val="21"/>
        </w:rPr>
        <w:t>（2）在密封塞上套上特制密封圈，并用密封胶带缠实，如图6</w:t>
      </w:r>
      <w:r>
        <w:rPr>
          <w:rFonts w:hint="eastAsia" w:hAnsi="宋体" w:cs="宋体"/>
          <w:szCs w:val="21"/>
          <w:lang w:val="en-US" w:eastAsia="zh-CN"/>
        </w:rPr>
        <w:t>.3-2</w:t>
      </w:r>
      <w:r>
        <w:rPr>
          <w:rFonts w:hint="eastAsia" w:hAnsi="宋体" w:cs="宋体"/>
          <w:szCs w:val="21"/>
        </w:rPr>
        <w:t>，6</w:t>
      </w:r>
      <w:r>
        <w:rPr>
          <w:rFonts w:hint="eastAsia" w:hAnsi="宋体" w:cs="宋体"/>
          <w:szCs w:val="21"/>
          <w:lang w:val="en-US" w:eastAsia="zh-CN"/>
        </w:rPr>
        <w:t>.3-3</w:t>
      </w:r>
      <w:r>
        <w:rPr>
          <w:rFonts w:hint="eastAsia" w:hAnsi="宋体" w:cs="宋体"/>
          <w:szCs w:val="21"/>
        </w:rPr>
        <w:t>；</w:t>
      </w:r>
      <w:r>
        <w:rPr>
          <w:rFonts w:hint="eastAsia" w:ascii="Times New Roman" w:hAnsi="Times New Roman" w:eastAsia="宋体" w:cs="Times New Roman"/>
          <w:kern w:val="2"/>
          <w:sz w:val="24"/>
          <w:szCs w:val="24"/>
          <w:lang w:val="en-US" w:eastAsia="zh-CN" w:bidi="en-US"/>
        </w:rPr>
        <w:drawing>
          <wp:inline distT="0" distB="0" distL="114300" distR="114300">
            <wp:extent cx="2211705" cy="1795145"/>
            <wp:effectExtent l="0" t="0" r="13335" b="3175"/>
            <wp:docPr id="14" name="图片 14"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11"/>
                    <pic:cNvPicPr>
                      <a:picLocks noChangeAspect="1"/>
                    </pic:cNvPicPr>
                  </pic:nvPicPr>
                  <pic:blipFill>
                    <a:blip r:embed="rId24"/>
                    <a:stretch>
                      <a:fillRect/>
                    </a:stretch>
                  </pic:blipFill>
                  <pic:spPr>
                    <a:xfrm>
                      <a:off x="0" y="0"/>
                      <a:ext cx="2211705" cy="1795145"/>
                    </a:xfrm>
                    <a:prstGeom prst="rect">
                      <a:avLst/>
                    </a:prstGeom>
                  </pic:spPr>
                </pic:pic>
              </a:graphicData>
            </a:graphic>
          </wp:inline>
        </w:drawing>
      </w:r>
      <w:r>
        <w:rPr>
          <w:rFonts w:hint="eastAsia" w:ascii="Times New Roman"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drawing>
          <wp:inline distT="0" distB="0" distL="114300" distR="114300">
            <wp:extent cx="2407285" cy="1759585"/>
            <wp:effectExtent l="0" t="0" r="635" b="8255"/>
            <wp:docPr id="15" name="图片 15"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2"/>
                    <pic:cNvPicPr>
                      <a:picLocks noChangeAspect="1"/>
                    </pic:cNvPicPr>
                  </pic:nvPicPr>
                  <pic:blipFill>
                    <a:blip r:embed="rId25"/>
                    <a:stretch>
                      <a:fillRect/>
                    </a:stretch>
                  </pic:blipFill>
                  <pic:spPr>
                    <a:xfrm>
                      <a:off x="0" y="0"/>
                      <a:ext cx="2407285" cy="1759585"/>
                    </a:xfrm>
                    <a:prstGeom prst="rect">
                      <a:avLst/>
                    </a:prstGeom>
                  </pic:spPr>
                </pic:pic>
              </a:graphicData>
            </a:graphic>
          </wp:inline>
        </w:drawing>
      </w:r>
    </w:p>
    <w:p>
      <w:pPr>
        <w:spacing w:line="360" w:lineRule="auto"/>
        <w:ind w:firstLine="960" w:firstLineChars="400"/>
        <w:jc w:val="both"/>
        <w:rPr>
          <w:rFonts w:hint="eastAsia" w:hAnsi="宋体" w:cs="宋体"/>
          <w:b/>
          <w:bCs/>
          <w:szCs w:val="21"/>
        </w:rPr>
      </w:pPr>
      <w:r>
        <w:rPr>
          <w:rFonts w:hint="eastAsia" w:hAnsi="宋体" w:cs="宋体"/>
          <w:b/>
          <w:bCs/>
          <w:szCs w:val="21"/>
        </w:rPr>
        <w:t>图6</w:t>
      </w:r>
      <w:r>
        <w:rPr>
          <w:rFonts w:hint="eastAsia" w:hAnsi="宋体" w:cs="宋体"/>
          <w:b/>
          <w:bCs/>
          <w:szCs w:val="21"/>
          <w:lang w:val="en-US" w:eastAsia="zh-CN"/>
        </w:rPr>
        <w:t>.3-2</w:t>
      </w:r>
      <w:r>
        <w:rPr>
          <w:rFonts w:hint="eastAsia" w:hAnsi="宋体" w:cs="宋体"/>
          <w:b/>
          <w:bCs/>
          <w:szCs w:val="21"/>
        </w:rPr>
        <w:t>密封圈</w:t>
      </w:r>
      <w:r>
        <w:rPr>
          <w:rFonts w:hint="eastAsia" w:hAnsi="宋体" w:cs="宋体"/>
          <w:b w:val="0"/>
          <w:bCs w:val="0"/>
          <w:szCs w:val="21"/>
        </w:rPr>
        <w:t xml:space="preserve"> </w:t>
      </w:r>
      <w:r>
        <w:rPr>
          <w:rFonts w:hAnsi="宋体" w:cs="宋体"/>
          <w:b/>
          <w:bCs/>
          <w:szCs w:val="21"/>
        </w:rPr>
        <w:t xml:space="preserve">           </w:t>
      </w:r>
      <w:r>
        <w:rPr>
          <w:rFonts w:hint="eastAsia" w:hAnsi="宋体" w:cs="宋体"/>
          <w:b/>
          <w:bCs/>
          <w:szCs w:val="21"/>
          <w:lang w:val="en-US" w:eastAsia="zh-CN"/>
        </w:rPr>
        <w:t xml:space="preserve">           </w:t>
      </w:r>
      <w:r>
        <w:rPr>
          <w:rFonts w:hint="eastAsia" w:hAnsi="宋体" w:cs="宋体"/>
          <w:b/>
          <w:bCs/>
          <w:szCs w:val="21"/>
        </w:rPr>
        <w:t>图6</w:t>
      </w:r>
      <w:r>
        <w:rPr>
          <w:rFonts w:hint="eastAsia" w:hAnsi="宋体" w:cs="宋体"/>
          <w:b/>
          <w:bCs/>
          <w:szCs w:val="21"/>
          <w:lang w:val="en-US" w:eastAsia="zh-CN"/>
        </w:rPr>
        <w:t>.3-3</w:t>
      </w:r>
      <w:r>
        <w:rPr>
          <w:rFonts w:hint="eastAsia" w:hAnsi="宋体" w:cs="宋体"/>
          <w:b/>
          <w:bCs/>
          <w:szCs w:val="21"/>
        </w:rPr>
        <w:t>密封胶带</w:t>
      </w:r>
    </w:p>
    <w:p>
      <w:pPr>
        <w:pStyle w:val="89"/>
        <w:numPr>
          <w:ilvl w:val="0"/>
          <w:numId w:val="6"/>
        </w:numPr>
        <w:spacing w:line="360" w:lineRule="auto"/>
        <w:ind w:firstLine="480"/>
        <w:rPr>
          <w:rFonts w:hint="eastAsia"/>
        </w:rPr>
      </w:pPr>
      <w:r>
        <w:rPr>
          <w:rFonts w:hint="eastAsia"/>
        </w:rPr>
        <w:t>采用工装将密封塞紧固。</w:t>
      </w:r>
    </w:p>
    <w:p>
      <w:pPr>
        <w:pStyle w:val="5"/>
        <w:bidi w:val="0"/>
        <w:spacing w:line="360" w:lineRule="auto"/>
        <w:rPr>
          <w:rFonts w:hint="eastAsia"/>
          <w:sz w:val="28"/>
          <w:szCs w:val="28"/>
          <w:lang w:val="en-US" w:eastAsia="zh-CN"/>
        </w:rPr>
      </w:pPr>
      <w:bookmarkStart w:id="209" w:name="_Toc16737"/>
      <w:bookmarkStart w:id="210" w:name="_Toc8583"/>
      <w:r>
        <w:rPr>
          <w:rFonts w:hint="eastAsia"/>
          <w:sz w:val="28"/>
          <w:szCs w:val="28"/>
          <w:lang w:val="en-US" w:eastAsia="zh-CN"/>
        </w:rPr>
        <w:t>6.4二次注浆安全保证措施：</w:t>
      </w:r>
      <w:bookmarkEnd w:id="209"/>
      <w:bookmarkEnd w:id="210"/>
    </w:p>
    <w:p>
      <w:pPr>
        <w:pStyle w:val="91"/>
        <w:ind w:left="839"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始终坚持“安全第一、预防为主”的方针，安全生产的具体措施如下：</w:t>
      </w:r>
    </w:p>
    <w:p>
      <w:pPr>
        <w:pStyle w:val="91"/>
        <w:ind w:left="839" w:firstLine="0" w:firstLineChars="0"/>
        <w:rPr>
          <w:rFonts w:hint="default" w:ascii="Times New Roman" w:hAnsi="Times New Roman" w:cs="Times New Roman"/>
          <w:lang w:val="en-US" w:eastAsia="zh-CN"/>
        </w:rPr>
      </w:pPr>
      <w:r>
        <w:rPr>
          <w:rFonts w:hint="eastAsia" w:cs="Times New Roman"/>
          <w:lang w:val="en-US" w:eastAsia="zh-CN"/>
        </w:rPr>
        <w:t>（1）</w:t>
      </w:r>
      <w:r>
        <w:rPr>
          <w:rFonts w:hint="default" w:ascii="Times New Roman" w:hAnsi="Times New Roman" w:cs="Times New Roman"/>
          <w:lang w:val="en-US" w:eastAsia="zh-CN"/>
        </w:rPr>
        <w:t>注浆泵及高压管路必须验试运转，确认机械性能和各种阀门管路，压力表完好后，方可进行施工。</w:t>
      </w:r>
    </w:p>
    <w:p>
      <w:pPr>
        <w:pStyle w:val="91"/>
        <w:ind w:left="839" w:firstLine="0" w:firstLineChars="0"/>
        <w:rPr>
          <w:rFonts w:hint="default" w:ascii="Times New Roman" w:hAnsi="Times New Roman" w:cs="Times New Roman"/>
          <w:lang w:val="en-US" w:eastAsia="zh-CN"/>
        </w:rPr>
      </w:pPr>
      <w:r>
        <w:rPr>
          <w:rFonts w:hint="eastAsia" w:cs="Times New Roman"/>
          <w:lang w:val="en-US" w:eastAsia="zh-CN"/>
        </w:rPr>
        <w:t>（2）</w:t>
      </w:r>
      <w:r>
        <w:rPr>
          <w:rFonts w:hint="default" w:ascii="Times New Roman" w:hAnsi="Times New Roman" w:cs="Times New Roman"/>
          <w:lang w:val="en-US" w:eastAsia="zh-CN"/>
        </w:rPr>
        <w:t>每次注浆前，要认真检查安全阀、压力表的灵敏度，并调整到规定注浆压力位置。</w:t>
      </w:r>
    </w:p>
    <w:p>
      <w:pPr>
        <w:pStyle w:val="91"/>
        <w:ind w:left="839" w:firstLine="0" w:firstLineChars="0"/>
        <w:rPr>
          <w:rFonts w:hint="default" w:ascii="Times New Roman" w:hAnsi="Times New Roman" w:cs="Times New Roman"/>
          <w:lang w:val="en-US" w:eastAsia="zh-CN"/>
        </w:rPr>
      </w:pPr>
      <w:r>
        <w:rPr>
          <w:rFonts w:hint="eastAsia" w:cs="Times New Roman"/>
          <w:lang w:val="en-US" w:eastAsia="zh-CN"/>
        </w:rPr>
        <w:t>（3）</w:t>
      </w:r>
      <w:r>
        <w:rPr>
          <w:rFonts w:hint="default" w:ascii="Times New Roman" w:hAnsi="Times New Roman" w:cs="Times New Roman"/>
          <w:lang w:val="en-US" w:eastAsia="zh-CN"/>
        </w:rPr>
        <w:t>安装高压管路和泵头各部件时，各丝扣的联接必须拧紧，确保联接完好。</w:t>
      </w:r>
    </w:p>
    <w:p>
      <w:pPr>
        <w:pStyle w:val="91"/>
        <w:ind w:left="839" w:firstLine="0" w:firstLineChars="0"/>
        <w:rPr>
          <w:rFonts w:hint="default" w:ascii="Times New Roman" w:hAnsi="Times New Roman" w:cs="Times New Roman"/>
          <w:lang w:val="en-US" w:eastAsia="zh-CN"/>
        </w:rPr>
      </w:pPr>
      <w:r>
        <w:rPr>
          <w:rFonts w:hint="eastAsia" w:cs="Times New Roman"/>
          <w:lang w:val="en-US" w:eastAsia="zh-CN"/>
        </w:rPr>
        <w:t>（4）</w:t>
      </w:r>
      <w:r>
        <w:rPr>
          <w:rFonts w:hint="default" w:ascii="Times New Roman" w:hAnsi="Times New Roman" w:cs="Times New Roman"/>
          <w:lang w:val="en-US" w:eastAsia="zh-CN"/>
        </w:rPr>
        <w:t>注浆过程中，禁止现场人员在注浆孔附近停留，防止阀门破裂伤人</w:t>
      </w:r>
    </w:p>
    <w:p>
      <w:pPr>
        <w:pStyle w:val="91"/>
        <w:ind w:left="839" w:firstLine="0" w:firstLineChars="0"/>
        <w:rPr>
          <w:rFonts w:hint="default" w:ascii="Times New Roman" w:hAnsi="Times New Roman" w:cs="Times New Roman"/>
          <w:lang w:val="en-US" w:eastAsia="zh-CN"/>
        </w:rPr>
      </w:pPr>
      <w:r>
        <w:rPr>
          <w:rFonts w:hint="eastAsia" w:cs="Times New Roman"/>
          <w:lang w:val="en-US" w:eastAsia="zh-CN"/>
        </w:rPr>
        <w:t>（5）</w:t>
      </w:r>
      <w:r>
        <w:rPr>
          <w:rFonts w:hint="default" w:ascii="Times New Roman" w:hAnsi="Times New Roman" w:cs="Times New Roman"/>
          <w:lang w:val="en-US" w:eastAsia="zh-CN"/>
        </w:rPr>
        <w:t>注浆现场操作人员必须配制安全带、防护眼镜、口罩和手套等劳保用品，方可进行注浆施工。</w:t>
      </w:r>
    </w:p>
    <w:p>
      <w:pPr>
        <w:pStyle w:val="89"/>
        <w:numPr>
          <w:ilvl w:val="0"/>
          <w:numId w:val="0"/>
        </w:numPr>
        <w:spacing w:line="360" w:lineRule="auto"/>
        <w:rPr>
          <w:rFonts w:hint="eastAsia"/>
        </w:rPr>
      </w:pPr>
    </w:p>
    <w:p>
      <w:pPr>
        <w:pStyle w:val="82"/>
        <w:keepNext w:val="0"/>
        <w:keepLines w:val="0"/>
        <w:pageBreakBefore w:val="0"/>
        <w:widowControl w:val="0"/>
        <w:kinsoku/>
        <w:wordWrap/>
        <w:overflowPunct/>
        <w:topLinePunct w:val="0"/>
        <w:autoSpaceDE/>
        <w:autoSpaceDN/>
        <w:bidi w:val="0"/>
        <w:adjustRightInd/>
        <w:snapToGrid/>
        <w:spacing w:before="0" w:beforeLines="0" w:line="360" w:lineRule="auto"/>
        <w:textAlignment w:val="auto"/>
        <w:rPr>
          <w:rFonts w:hint="default"/>
          <w:b/>
          <w:bCs w:val="0"/>
          <w:lang w:val="en-US" w:eastAsia="zh-CN"/>
        </w:rPr>
      </w:pPr>
      <w:bookmarkStart w:id="211" w:name="_Toc14761"/>
      <w:bookmarkStart w:id="212" w:name="_Toc23316"/>
      <w:bookmarkStart w:id="213" w:name="_Toc18515"/>
      <w:bookmarkStart w:id="214" w:name="_Toc27163"/>
      <w:bookmarkStart w:id="215" w:name="_Toc4248"/>
      <w:r>
        <w:rPr>
          <w:rFonts w:hint="eastAsia"/>
          <w:b/>
          <w:bCs w:val="0"/>
          <w:lang w:val="en-US" w:eastAsia="zh-CN"/>
        </w:rPr>
        <w:t>7安全、文明施工</w:t>
      </w:r>
      <w:bookmarkEnd w:id="211"/>
      <w:bookmarkEnd w:id="212"/>
      <w:bookmarkEnd w:id="213"/>
      <w:bookmarkStart w:id="216" w:name="_Toc490812362"/>
      <w:bookmarkStart w:id="217" w:name="_Toc24268"/>
      <w:bookmarkStart w:id="218" w:name="_Toc7252"/>
      <w:bookmarkStart w:id="219" w:name="_Toc485084119"/>
      <w:bookmarkStart w:id="220" w:name="_Toc490812166"/>
      <w:r>
        <w:rPr>
          <w:rFonts w:hint="eastAsia"/>
          <w:b/>
          <w:bCs w:val="0"/>
          <w:lang w:val="en-US" w:eastAsia="zh-CN"/>
        </w:rPr>
        <w:t>、应急预案处置措施</w:t>
      </w:r>
      <w:bookmarkEnd w:id="214"/>
      <w:bookmarkEnd w:id="215"/>
    </w:p>
    <w:p>
      <w:pPr>
        <w:pStyle w:val="5"/>
        <w:bidi w:val="0"/>
        <w:spacing w:line="360" w:lineRule="auto"/>
        <w:rPr>
          <w:rFonts w:hint="eastAsia"/>
          <w:sz w:val="28"/>
          <w:szCs w:val="28"/>
          <w:lang w:val="en-US" w:eastAsia="zh-CN"/>
        </w:rPr>
      </w:pPr>
      <w:bookmarkStart w:id="221" w:name="_Toc32573"/>
      <w:bookmarkStart w:id="222" w:name="_Toc888"/>
      <w:bookmarkStart w:id="223" w:name="_Toc11062"/>
      <w:r>
        <w:rPr>
          <w:rFonts w:hint="eastAsia"/>
          <w:sz w:val="28"/>
          <w:szCs w:val="28"/>
          <w:lang w:val="en-US" w:eastAsia="zh-CN"/>
        </w:rPr>
        <w:t>7.1安全保证措施</w:t>
      </w:r>
      <w:bookmarkEnd w:id="216"/>
      <w:bookmarkEnd w:id="217"/>
      <w:bookmarkEnd w:id="218"/>
      <w:bookmarkEnd w:id="219"/>
      <w:bookmarkEnd w:id="220"/>
      <w:bookmarkEnd w:id="221"/>
      <w:bookmarkEnd w:id="222"/>
      <w:bookmarkEnd w:id="223"/>
    </w:p>
    <w:p>
      <w:pPr>
        <w:spacing w:line="360" w:lineRule="auto"/>
        <w:ind w:firstLine="480"/>
        <w:rPr>
          <w:rFonts w:hint="eastAsia" w:hAnsi="宋体" w:cs="宋体"/>
          <w:szCs w:val="21"/>
        </w:rPr>
      </w:pPr>
      <w:bookmarkStart w:id="224" w:name="_Toc490812167"/>
      <w:bookmarkStart w:id="225" w:name="_Toc490812363"/>
      <w:bookmarkStart w:id="226" w:name="_Toc485084122"/>
      <w:r>
        <w:rPr>
          <w:rFonts w:hint="eastAsia" w:hAnsi="宋体" w:cs="宋体"/>
          <w:szCs w:val="21"/>
        </w:rPr>
        <w:t>始终坚持“安全第一、预防为主”的方针，安全生产的具体措施如下：</w:t>
      </w:r>
    </w:p>
    <w:p>
      <w:pPr>
        <w:spacing w:line="360" w:lineRule="auto"/>
        <w:ind w:firstLine="480"/>
        <w:rPr>
          <w:rFonts w:hint="eastAsia" w:hAnsi="宋体" w:cs="宋体"/>
          <w:szCs w:val="21"/>
        </w:rPr>
      </w:pPr>
      <w:r>
        <w:rPr>
          <w:rFonts w:hint="eastAsia" w:hAnsi="宋体" w:cs="宋体"/>
          <w:szCs w:val="21"/>
        </w:rPr>
        <w:t>(</w:t>
      </w:r>
      <w:r>
        <w:rPr>
          <w:rFonts w:hAnsi="宋体" w:cs="宋体"/>
          <w:szCs w:val="21"/>
        </w:rPr>
        <w:t>1)</w:t>
      </w:r>
      <w:r>
        <w:rPr>
          <w:rFonts w:hint="eastAsia" w:hAnsi="宋体" w:cs="宋体"/>
          <w:szCs w:val="21"/>
        </w:rPr>
        <w:t>建立健全各种岗位责任制，严格执行现场交接制度。</w:t>
      </w:r>
    </w:p>
    <w:p>
      <w:pPr>
        <w:spacing w:line="360" w:lineRule="auto"/>
        <w:ind w:firstLine="480"/>
        <w:rPr>
          <w:rFonts w:hAnsi="宋体" w:cs="宋体"/>
          <w:szCs w:val="21"/>
        </w:rPr>
      </w:pPr>
      <w:r>
        <w:rPr>
          <w:rFonts w:hint="eastAsia" w:hAnsi="宋体" w:cs="宋体"/>
          <w:szCs w:val="21"/>
        </w:rPr>
        <w:t>(</w:t>
      </w:r>
      <w:r>
        <w:rPr>
          <w:rFonts w:hAnsi="宋体" w:cs="宋体"/>
          <w:szCs w:val="21"/>
        </w:rPr>
        <w:t>2)</w:t>
      </w:r>
      <w:r>
        <w:rPr>
          <w:rFonts w:hint="eastAsia" w:hAnsi="宋体" w:cs="宋体"/>
          <w:szCs w:val="21"/>
        </w:rPr>
        <w:t>注浆泵及高压管路必须验试运转，确认机械性能和各种阀门管路，压力表完好后，方</w:t>
      </w:r>
      <w:r>
        <w:rPr>
          <w:rFonts w:hint="eastAsia" w:hAnsi="宋体" w:cs="宋体"/>
          <w:szCs w:val="21"/>
          <w:lang w:val="en-US" w:eastAsia="zh-CN"/>
        </w:rPr>
        <w:t>可进行</w:t>
      </w:r>
      <w:r>
        <w:rPr>
          <w:rFonts w:hint="eastAsia" w:hAnsi="宋体" w:cs="宋体"/>
          <w:szCs w:val="21"/>
        </w:rPr>
        <w:t>施工。</w:t>
      </w:r>
    </w:p>
    <w:p>
      <w:pPr>
        <w:spacing w:line="360" w:lineRule="auto"/>
        <w:ind w:firstLine="480"/>
        <w:rPr>
          <w:rFonts w:hint="eastAsia" w:hAnsi="宋体" w:cs="宋体"/>
          <w:szCs w:val="21"/>
        </w:rPr>
      </w:pPr>
      <w:r>
        <w:rPr>
          <w:rFonts w:hint="eastAsia" w:hAnsi="宋体" w:cs="宋体"/>
          <w:szCs w:val="21"/>
        </w:rPr>
        <w:t>(</w:t>
      </w:r>
      <w:r>
        <w:rPr>
          <w:rFonts w:hAnsi="宋体" w:cs="宋体"/>
          <w:szCs w:val="21"/>
        </w:rPr>
        <w:t>3)</w:t>
      </w:r>
      <w:r>
        <w:rPr>
          <w:rFonts w:hint="eastAsia" w:hAnsi="宋体" w:cs="宋体"/>
          <w:szCs w:val="21"/>
        </w:rPr>
        <w:t>每次注浆前，要认真检查安全阀、压力表的灵敏度，并调整到规定注浆压力位置。</w:t>
      </w:r>
    </w:p>
    <w:p>
      <w:pPr>
        <w:spacing w:line="360" w:lineRule="auto"/>
        <w:ind w:firstLine="480"/>
        <w:rPr>
          <w:rFonts w:hint="eastAsia" w:hAnsi="宋体" w:cs="宋体"/>
          <w:szCs w:val="21"/>
        </w:rPr>
      </w:pPr>
      <w:r>
        <w:rPr>
          <w:rFonts w:hint="eastAsia" w:hAnsi="宋体" w:cs="宋体"/>
          <w:szCs w:val="21"/>
        </w:rPr>
        <w:t>(</w:t>
      </w:r>
      <w:r>
        <w:rPr>
          <w:rFonts w:hAnsi="宋体" w:cs="宋体"/>
          <w:szCs w:val="21"/>
        </w:rPr>
        <w:t>4)</w:t>
      </w:r>
      <w:r>
        <w:rPr>
          <w:rFonts w:hint="eastAsia" w:hAnsi="宋体" w:cs="宋体"/>
          <w:szCs w:val="21"/>
        </w:rPr>
        <w:t>安装高压管路和泵头各部件时，各丝扣的联接必须拧紧，确保联接完好。</w:t>
      </w:r>
    </w:p>
    <w:p>
      <w:pPr>
        <w:spacing w:line="360" w:lineRule="auto"/>
        <w:ind w:firstLine="480"/>
        <w:rPr>
          <w:rFonts w:hAnsi="宋体" w:cs="宋体"/>
          <w:szCs w:val="21"/>
        </w:rPr>
      </w:pPr>
      <w:bookmarkStart w:id="227" w:name="_Toc534882206"/>
      <w:bookmarkStart w:id="228" w:name="_Toc534900450"/>
      <w:r>
        <w:rPr>
          <w:rFonts w:hint="eastAsia" w:hAnsi="宋体" w:cs="宋体"/>
          <w:szCs w:val="21"/>
        </w:rPr>
        <w:t>(</w:t>
      </w:r>
      <w:r>
        <w:rPr>
          <w:rFonts w:hAnsi="宋体" w:cs="宋体"/>
          <w:szCs w:val="21"/>
        </w:rPr>
        <w:t>5)</w:t>
      </w:r>
      <w:r>
        <w:rPr>
          <w:rFonts w:hint="eastAsia" w:hAnsi="宋体" w:cs="宋体"/>
          <w:szCs w:val="21"/>
        </w:rPr>
        <w:t>注浆过程中，禁止现场人员在注浆孔附近停留，防止阀门破裂伤人</w:t>
      </w:r>
    </w:p>
    <w:bookmarkEnd w:id="227"/>
    <w:bookmarkEnd w:id="228"/>
    <w:p>
      <w:pPr>
        <w:spacing w:line="360" w:lineRule="auto"/>
        <w:ind w:firstLine="480"/>
        <w:rPr>
          <w:rFonts w:hAnsi="宋体" w:cs="宋体"/>
          <w:szCs w:val="21"/>
        </w:rPr>
      </w:pPr>
      <w:r>
        <w:rPr>
          <w:rFonts w:hint="eastAsia" w:hAnsi="宋体" w:cs="宋体"/>
          <w:szCs w:val="21"/>
        </w:rPr>
        <w:t>(</w:t>
      </w:r>
      <w:r>
        <w:rPr>
          <w:rFonts w:hAnsi="宋体" w:cs="宋体"/>
          <w:szCs w:val="21"/>
        </w:rPr>
        <w:t>6)</w:t>
      </w:r>
      <w:r>
        <w:rPr>
          <w:rFonts w:hint="eastAsia" w:hAnsi="宋体" w:cs="宋体"/>
          <w:szCs w:val="21"/>
        </w:rPr>
        <w:t>注浆现场操作人员必须配制安全带、防护眼镜、口罩和手套等劳保用品，方可进行注浆施工。</w:t>
      </w:r>
    </w:p>
    <w:p>
      <w:pPr>
        <w:pStyle w:val="5"/>
        <w:bidi w:val="0"/>
        <w:spacing w:line="360" w:lineRule="auto"/>
        <w:rPr>
          <w:rFonts w:hint="eastAsia"/>
          <w:sz w:val="28"/>
          <w:szCs w:val="28"/>
          <w:lang w:val="en-US" w:eastAsia="zh-CN"/>
        </w:rPr>
      </w:pPr>
      <w:bookmarkStart w:id="229" w:name="_Toc27168"/>
      <w:bookmarkStart w:id="230" w:name="_Toc9742"/>
      <w:bookmarkStart w:id="231" w:name="_Toc25361"/>
      <w:bookmarkStart w:id="232" w:name="_Toc22294"/>
      <w:bookmarkStart w:id="233" w:name="_Toc6172"/>
      <w:r>
        <w:rPr>
          <w:rFonts w:hint="eastAsia"/>
          <w:sz w:val="28"/>
          <w:szCs w:val="28"/>
          <w:lang w:val="en-US" w:eastAsia="zh-CN"/>
        </w:rPr>
        <w:t>7.2文明施工</w:t>
      </w:r>
      <w:bookmarkEnd w:id="224"/>
      <w:bookmarkEnd w:id="225"/>
      <w:bookmarkEnd w:id="226"/>
      <w:bookmarkEnd w:id="229"/>
      <w:bookmarkEnd w:id="230"/>
      <w:bookmarkEnd w:id="231"/>
      <w:bookmarkEnd w:id="232"/>
      <w:bookmarkEnd w:id="233"/>
    </w:p>
    <w:p>
      <w:pPr>
        <w:spacing w:line="360" w:lineRule="auto"/>
        <w:ind w:firstLine="480"/>
        <w:rPr>
          <w:rFonts w:hint="eastAsia" w:hAnsi="宋体" w:cs="宋体"/>
          <w:szCs w:val="21"/>
        </w:rPr>
      </w:pPr>
      <w:r>
        <w:rPr>
          <w:rFonts w:hint="eastAsia" w:hAnsi="宋体" w:cs="宋体"/>
          <w:szCs w:val="21"/>
        </w:rPr>
        <w:t>为在保证工程进度和质量的前提下达到高标准的环境保护和文明施工要求，为此我部成立了以项目经理为首的现场环境保护和文明施工领导小组，建立、健全组织管理机构，层层落实责任人，负责本项目工程环境保护和文明施工管理工作，加强对管理人员和施工人员的教育，强化环境保护和文明施工意识，提高文明施工水平。具体应做到以下几点：</w:t>
      </w:r>
    </w:p>
    <w:p>
      <w:pPr>
        <w:spacing w:line="360" w:lineRule="auto"/>
        <w:ind w:firstLine="480"/>
        <w:rPr>
          <w:rFonts w:hint="eastAsia" w:hAnsi="宋体" w:eastAsia="宋体" w:cs="宋体"/>
          <w:szCs w:val="21"/>
        </w:rPr>
      </w:pPr>
      <w:r>
        <w:rPr>
          <w:rFonts w:hint="eastAsia" w:hAnsi="宋体" w:eastAsia="宋体" w:cs="宋体"/>
          <w:szCs w:val="21"/>
        </w:rPr>
        <w:t>(</w:t>
      </w:r>
      <w:r>
        <w:rPr>
          <w:rFonts w:hint="eastAsia" w:hAnsi="宋体" w:eastAsia="宋体" w:cs="宋体"/>
          <w:szCs w:val="21"/>
          <w:lang w:val="en-US" w:eastAsia="zh-CN"/>
        </w:rPr>
        <w:t>1</w:t>
      </w:r>
      <w:r>
        <w:rPr>
          <w:rFonts w:hint="eastAsia" w:hAnsi="宋体" w:eastAsia="宋体" w:cs="宋体"/>
          <w:szCs w:val="21"/>
        </w:rPr>
        <w:t>)严格控制浆液质量，保障浆液质量符合要求。</w:t>
      </w:r>
    </w:p>
    <w:p>
      <w:pPr>
        <w:spacing w:line="360" w:lineRule="auto"/>
        <w:ind w:firstLine="480"/>
        <w:rPr>
          <w:rFonts w:hint="eastAsia" w:hAnsi="宋体" w:eastAsia="宋体" w:cs="宋体"/>
          <w:szCs w:val="21"/>
        </w:rPr>
      </w:pPr>
      <w:r>
        <w:rPr>
          <w:rFonts w:hint="eastAsia" w:hAnsi="宋体" w:eastAsia="宋体" w:cs="宋体"/>
          <w:szCs w:val="21"/>
        </w:rPr>
        <w:t>(2)严格注浆量和注浆压力“双控制”，加强监控量测，避免对管片等结构产生破坏性影响</w:t>
      </w:r>
    </w:p>
    <w:p>
      <w:pPr>
        <w:spacing w:line="360" w:lineRule="auto"/>
        <w:ind w:firstLine="480"/>
        <w:rPr>
          <w:rFonts w:hint="eastAsia" w:hAnsi="宋体" w:eastAsia="宋体" w:cs="宋体"/>
          <w:szCs w:val="21"/>
        </w:rPr>
      </w:pPr>
      <w:r>
        <w:rPr>
          <w:rFonts w:hint="eastAsia" w:hAnsi="宋体" w:eastAsia="宋体" w:cs="宋体"/>
          <w:szCs w:val="21"/>
        </w:rPr>
        <w:t>(</w:t>
      </w:r>
      <w:r>
        <w:rPr>
          <w:rFonts w:hint="eastAsia" w:hAnsi="宋体" w:eastAsia="宋体" w:cs="宋体"/>
          <w:szCs w:val="21"/>
          <w:lang w:val="en-US" w:eastAsia="zh-CN"/>
        </w:rPr>
        <w:t>3</w:t>
      </w:r>
      <w:r>
        <w:rPr>
          <w:rFonts w:hint="eastAsia" w:hAnsi="宋体" w:eastAsia="宋体" w:cs="宋体"/>
          <w:szCs w:val="21"/>
        </w:rPr>
        <w:t>)对施工人员进行安全培训，加强施工人员的安全意识。</w:t>
      </w:r>
    </w:p>
    <w:p>
      <w:pPr>
        <w:spacing w:line="360" w:lineRule="auto"/>
        <w:ind w:firstLine="480"/>
        <w:rPr>
          <w:rFonts w:hint="eastAsia" w:hAnsi="宋体" w:eastAsia="宋体" w:cs="宋体"/>
          <w:szCs w:val="21"/>
        </w:rPr>
      </w:pPr>
      <w:r>
        <w:rPr>
          <w:rFonts w:hint="eastAsia" w:hAnsi="宋体" w:eastAsia="宋体" w:cs="宋体"/>
          <w:szCs w:val="21"/>
        </w:rPr>
        <w:t>(</w:t>
      </w:r>
      <w:r>
        <w:rPr>
          <w:rFonts w:hint="eastAsia" w:hAnsi="宋体" w:eastAsia="宋体" w:cs="宋体"/>
          <w:szCs w:val="21"/>
          <w:lang w:val="en-US" w:eastAsia="zh-CN"/>
        </w:rPr>
        <w:t>4</w:t>
      </w:r>
      <w:r>
        <w:rPr>
          <w:rFonts w:hint="eastAsia" w:hAnsi="宋体" w:eastAsia="宋体" w:cs="宋体"/>
          <w:szCs w:val="21"/>
        </w:rPr>
        <w:t>)严格按照注浆泵安全操作规程施工，非操作人员，严禁操作注浆泵。</w:t>
      </w:r>
    </w:p>
    <w:p>
      <w:pPr>
        <w:spacing w:line="360" w:lineRule="auto"/>
        <w:ind w:firstLine="480"/>
        <w:rPr>
          <w:rFonts w:hint="eastAsia" w:hAnsi="宋体" w:eastAsia="宋体" w:cs="宋体"/>
          <w:szCs w:val="21"/>
        </w:rPr>
      </w:pPr>
      <w:r>
        <w:rPr>
          <w:rFonts w:hint="eastAsia" w:hAnsi="宋体" w:eastAsia="宋体" w:cs="宋体"/>
          <w:szCs w:val="21"/>
        </w:rPr>
        <w:t>(</w:t>
      </w:r>
      <w:r>
        <w:rPr>
          <w:rFonts w:hint="eastAsia" w:hAnsi="宋体" w:eastAsia="宋体" w:cs="宋体"/>
          <w:szCs w:val="21"/>
          <w:lang w:val="en-US" w:eastAsia="zh-CN"/>
        </w:rPr>
        <w:t>5</w:t>
      </w:r>
      <w:r>
        <w:rPr>
          <w:rFonts w:hint="eastAsia" w:hAnsi="宋体" w:eastAsia="宋体" w:cs="宋体"/>
          <w:szCs w:val="21"/>
        </w:rPr>
        <w:t>)材料堆放整齐并进行标识，各种标牌字体应书写正确、规范、工整、美观，并且长时间保持完好。</w:t>
      </w:r>
    </w:p>
    <w:p>
      <w:pPr>
        <w:spacing w:line="360" w:lineRule="auto"/>
        <w:ind w:firstLine="480"/>
        <w:rPr>
          <w:rFonts w:hint="eastAsia" w:hAnsi="宋体" w:eastAsia="宋体" w:cs="宋体"/>
          <w:szCs w:val="21"/>
        </w:rPr>
      </w:pPr>
      <w:r>
        <w:rPr>
          <w:rFonts w:hint="eastAsia" w:hAnsi="宋体" w:eastAsia="宋体" w:cs="宋体"/>
          <w:szCs w:val="21"/>
        </w:rPr>
        <w:t>(</w:t>
      </w:r>
      <w:r>
        <w:rPr>
          <w:rFonts w:hint="eastAsia" w:hAnsi="宋体" w:eastAsia="宋体" w:cs="宋体"/>
          <w:szCs w:val="21"/>
          <w:lang w:val="en-US" w:eastAsia="zh-CN"/>
        </w:rPr>
        <w:t>6</w:t>
      </w:r>
      <w:r>
        <w:rPr>
          <w:rFonts w:hint="eastAsia" w:hAnsi="宋体" w:eastAsia="宋体" w:cs="宋体"/>
          <w:szCs w:val="21"/>
        </w:rPr>
        <w:t>)使用设备位置布置合理规范</w:t>
      </w:r>
      <w:r>
        <w:rPr>
          <w:rFonts w:hint="eastAsia" w:hAnsi="宋体" w:eastAsia="宋体" w:cs="宋体"/>
          <w:szCs w:val="21"/>
          <w:lang w:eastAsia="zh-CN"/>
        </w:rPr>
        <w:t>，</w:t>
      </w:r>
      <w:r>
        <w:rPr>
          <w:rFonts w:hint="eastAsia" w:hAnsi="宋体" w:eastAsia="宋体" w:cs="宋体"/>
          <w:szCs w:val="21"/>
          <w:lang w:val="en-US" w:eastAsia="zh-CN"/>
        </w:rPr>
        <w:t>施工</w:t>
      </w:r>
      <w:r>
        <w:rPr>
          <w:rFonts w:hint="eastAsia" w:hAnsi="宋体" w:eastAsia="宋体" w:cs="宋体"/>
          <w:szCs w:val="21"/>
        </w:rPr>
        <w:t>材料、机械、消防、安全、卫生、环保等都指派专人负责，并定期检查，作好记录。</w:t>
      </w:r>
    </w:p>
    <w:p>
      <w:pPr>
        <w:spacing w:line="360" w:lineRule="auto"/>
        <w:ind w:firstLine="480"/>
        <w:rPr>
          <w:rFonts w:hint="eastAsia" w:hAnsi="宋体" w:eastAsia="宋体" w:cs="宋体"/>
          <w:szCs w:val="21"/>
        </w:rPr>
      </w:pPr>
      <w:r>
        <w:rPr>
          <w:rFonts w:hint="eastAsia" w:hAnsi="宋体" w:eastAsia="宋体" w:cs="宋体"/>
          <w:szCs w:val="21"/>
        </w:rPr>
        <w:t>(</w:t>
      </w:r>
      <w:r>
        <w:rPr>
          <w:rFonts w:hint="eastAsia" w:hAnsi="宋体" w:eastAsia="宋体" w:cs="宋体"/>
          <w:szCs w:val="21"/>
          <w:lang w:val="en-US" w:eastAsia="zh-CN"/>
        </w:rPr>
        <w:t>7</w:t>
      </w:r>
      <w:r>
        <w:rPr>
          <w:rFonts w:hint="eastAsia" w:hAnsi="宋体" w:eastAsia="宋体" w:cs="宋体"/>
          <w:szCs w:val="21"/>
        </w:rPr>
        <w:t>)注浆过程中尽量减少浆液的洒漏。注浆完后，对洒漏的浆液、清洗管路的废水应及时处理，做到注浆前、注浆中、注浆后等各阶段施工面的机具设备摆放整齐、有序、作业面干净</w:t>
      </w:r>
      <w:r>
        <w:rPr>
          <w:rFonts w:hint="eastAsia" w:hAnsi="宋体" w:eastAsia="宋体" w:cs="宋体"/>
          <w:szCs w:val="21"/>
          <w:lang w:eastAsia="zh-CN"/>
        </w:rPr>
        <w:t>，</w:t>
      </w:r>
      <w:r>
        <w:rPr>
          <w:rFonts w:hint="eastAsia" w:hAnsi="宋体" w:eastAsia="宋体" w:cs="宋体"/>
          <w:szCs w:val="21"/>
        </w:rPr>
        <w:t>设备更换的旧件回收归类堆放。</w:t>
      </w:r>
    </w:p>
    <w:p>
      <w:pPr>
        <w:pStyle w:val="89"/>
        <w:numPr>
          <w:ilvl w:val="0"/>
          <w:numId w:val="0"/>
        </w:numPr>
        <w:spacing w:line="360" w:lineRule="auto"/>
        <w:ind w:firstLine="480" w:firstLineChars="200"/>
        <w:rPr>
          <w:rFonts w:hint="eastAsia" w:hAnsi="宋体" w:eastAsia="宋体" w:cs="宋体"/>
          <w:szCs w:val="21"/>
        </w:rPr>
      </w:pPr>
      <w:r>
        <w:rPr>
          <w:rFonts w:hint="eastAsia" w:hAnsi="宋体" w:eastAsia="宋体" w:cs="宋体"/>
          <w:szCs w:val="21"/>
        </w:rPr>
        <w:t>(</w:t>
      </w:r>
      <w:r>
        <w:rPr>
          <w:rFonts w:hint="eastAsia" w:hAnsi="宋体" w:eastAsia="宋体" w:cs="宋体"/>
          <w:szCs w:val="21"/>
          <w:lang w:val="en-US" w:eastAsia="zh-CN"/>
        </w:rPr>
        <w:t>8</w:t>
      </w:r>
      <w:r>
        <w:rPr>
          <w:rFonts w:hint="eastAsia" w:hAnsi="宋体" w:eastAsia="宋体" w:cs="宋体"/>
          <w:szCs w:val="21"/>
        </w:rPr>
        <w:t>)做到“工完料清”。</w:t>
      </w:r>
    </w:p>
    <w:p>
      <w:pPr>
        <w:pStyle w:val="5"/>
        <w:bidi w:val="0"/>
        <w:spacing w:line="360" w:lineRule="auto"/>
        <w:rPr>
          <w:rFonts w:hint="eastAsia"/>
          <w:sz w:val="28"/>
          <w:szCs w:val="28"/>
          <w:lang w:val="en-US" w:eastAsia="zh-CN"/>
        </w:rPr>
      </w:pPr>
      <w:bookmarkStart w:id="234" w:name="_Toc32404"/>
      <w:bookmarkStart w:id="235" w:name="_Toc31287"/>
      <w:r>
        <w:rPr>
          <w:rFonts w:hint="eastAsia"/>
          <w:sz w:val="28"/>
          <w:szCs w:val="28"/>
          <w:lang w:val="en-US" w:eastAsia="zh-CN"/>
        </w:rPr>
        <w:t>7.3应急预案</w:t>
      </w:r>
      <w:bookmarkEnd w:id="234"/>
      <w:bookmarkEnd w:id="235"/>
    </w:p>
    <w:p>
      <w:pPr>
        <w:pStyle w:val="90"/>
        <w:ind w:firstLine="480" w:firstLineChars="200"/>
        <w:rPr>
          <w:rFonts w:hint="eastAsia" w:ascii="Times New Roman" w:hAnsi="宋体" w:eastAsia="宋体" w:cs="宋体"/>
          <w:b w:val="0"/>
          <w:kern w:val="2"/>
          <w:sz w:val="24"/>
          <w:szCs w:val="21"/>
          <w:lang w:val="en-US" w:eastAsia="zh-CN" w:bidi="ar-SA"/>
        </w:rPr>
      </w:pPr>
      <w:bookmarkStart w:id="236" w:name="_Toc22880"/>
      <w:bookmarkStart w:id="237" w:name="_Toc32641"/>
      <w:r>
        <w:rPr>
          <w:rFonts w:hint="eastAsia" w:ascii="Times New Roman" w:cs="宋体"/>
          <w:b w:val="0"/>
          <w:kern w:val="2"/>
          <w:sz w:val="24"/>
          <w:szCs w:val="21"/>
          <w:lang w:val="en-US" w:eastAsia="zh-CN" w:bidi="ar-SA"/>
        </w:rPr>
        <w:t>①</w:t>
      </w:r>
      <w:r>
        <w:rPr>
          <w:rFonts w:hint="eastAsia" w:ascii="Times New Roman" w:hAnsi="宋体" w:eastAsia="宋体" w:cs="宋体"/>
          <w:b w:val="0"/>
          <w:kern w:val="2"/>
          <w:sz w:val="24"/>
          <w:szCs w:val="21"/>
          <w:lang w:val="en-US" w:eastAsia="zh-CN" w:bidi="ar-SA"/>
        </w:rPr>
        <w:t>同步注浆</w:t>
      </w:r>
      <w:r>
        <w:rPr>
          <w:rFonts w:hint="eastAsia" w:ascii="Times New Roman" w:cs="宋体"/>
          <w:b w:val="0"/>
          <w:kern w:val="2"/>
          <w:sz w:val="24"/>
          <w:szCs w:val="21"/>
          <w:lang w:val="en-US" w:eastAsia="zh-CN" w:bidi="ar-SA"/>
        </w:rPr>
        <w:t>二次注浆</w:t>
      </w:r>
      <w:r>
        <w:rPr>
          <w:rFonts w:hint="eastAsia" w:ascii="Times New Roman" w:hAnsi="宋体" w:eastAsia="宋体" w:cs="宋体"/>
          <w:b w:val="0"/>
          <w:kern w:val="2"/>
          <w:sz w:val="24"/>
          <w:szCs w:val="21"/>
          <w:lang w:val="en-US" w:eastAsia="zh-CN" w:bidi="ar-SA"/>
        </w:rPr>
        <w:t>管路内压力较大，若管路堵塞拆管时，容易造成人员被崩打受伤的情况。且在通管时，砂浆易迸溅至人员眼睛。</w:t>
      </w:r>
      <w:bookmarkEnd w:id="236"/>
      <w:bookmarkEnd w:id="237"/>
    </w:p>
    <w:p>
      <w:pPr>
        <w:pStyle w:val="88"/>
        <w:ind w:firstLine="480"/>
        <w:rPr>
          <w:rFonts w:hint="eastAsia" w:ascii="Times New Roman" w:hAnsi="宋体" w:eastAsia="宋体" w:cs="宋体"/>
          <w:b w:val="0"/>
          <w:kern w:val="2"/>
          <w:sz w:val="24"/>
          <w:szCs w:val="21"/>
          <w:lang w:val="en-US" w:eastAsia="zh-CN" w:bidi="ar-SA"/>
        </w:rPr>
      </w:pPr>
      <w:r>
        <w:rPr>
          <w:rFonts w:hint="eastAsia" w:ascii="Times New Roman" w:cs="宋体"/>
          <w:b w:val="0"/>
          <w:kern w:val="2"/>
          <w:sz w:val="24"/>
          <w:szCs w:val="21"/>
          <w:lang w:val="en-US" w:eastAsia="zh-CN" w:bidi="ar-SA"/>
        </w:rPr>
        <w:t>②</w:t>
      </w:r>
      <w:r>
        <w:rPr>
          <w:rFonts w:hint="eastAsia" w:ascii="Times New Roman" w:hAnsi="宋体" w:eastAsia="宋体" w:cs="宋体"/>
          <w:b w:val="0"/>
          <w:kern w:val="2"/>
          <w:sz w:val="24"/>
          <w:szCs w:val="21"/>
          <w:lang w:val="en-US" w:eastAsia="zh-CN" w:bidi="ar-SA"/>
        </w:rPr>
        <w:t>人员拆管前，先将盾尾球阀关闭，然后使用注浆泵的反打模式，将管内压力降低至0。在管路管卡打开后，人员应使用长棍拆吊管卡、断开管路，防止管路内压力未泄完而受伤。</w:t>
      </w:r>
    </w:p>
    <w:p>
      <w:pPr>
        <w:pStyle w:val="88"/>
        <w:ind w:firstLine="480"/>
        <w:rPr>
          <w:rFonts w:hint="eastAsia" w:ascii="Times New Roman" w:hAnsi="宋体" w:eastAsia="宋体" w:cs="宋体"/>
          <w:b w:val="0"/>
          <w:kern w:val="2"/>
          <w:sz w:val="24"/>
          <w:szCs w:val="21"/>
          <w:lang w:val="en-US" w:eastAsia="zh-CN" w:bidi="ar-SA"/>
        </w:rPr>
      </w:pPr>
      <w:r>
        <w:rPr>
          <w:rFonts w:hint="eastAsia" w:ascii="Times New Roman" w:hAnsi="宋体" w:eastAsia="宋体" w:cs="宋体"/>
          <w:b w:val="0"/>
          <w:kern w:val="2"/>
          <w:sz w:val="24"/>
          <w:szCs w:val="21"/>
          <w:lang w:val="en-US" w:eastAsia="zh-CN" w:bidi="ar-SA"/>
        </w:rPr>
        <w:t>③若人员不小心将砂浆滴落到眼睛里，先使用清水不断冲洗，同时机长立刻拨打急救电话并上报上级。</w:t>
      </w:r>
    </w:p>
    <w:p>
      <w:pPr>
        <w:rPr>
          <w:rFonts w:hint="eastAsia" w:ascii="Times New Roman" w:hAnsi="宋体" w:eastAsia="宋体" w:cs="宋体"/>
          <w:b w:val="0"/>
          <w:kern w:val="2"/>
          <w:sz w:val="24"/>
          <w:szCs w:val="21"/>
          <w:lang w:val="en-US" w:eastAsia="zh-CN" w:bidi="ar-SA"/>
        </w:rPr>
      </w:pPr>
      <w:r>
        <w:rPr>
          <w:rFonts w:hint="eastAsia" w:hAnsi="宋体" w:eastAsia="宋体" w:cs="宋体"/>
          <w:b w:val="0"/>
          <w:kern w:val="2"/>
          <w:sz w:val="24"/>
          <w:szCs w:val="21"/>
          <w:lang w:val="en-US" w:eastAsia="zh-CN" w:bidi="ar-SA"/>
        </w:rPr>
        <w:t>④</w:t>
      </w:r>
      <w:r>
        <w:rPr>
          <w:rFonts w:hint="eastAsia" w:ascii="Times New Roman" w:hAnsi="宋体" w:eastAsia="宋体" w:cs="宋体"/>
          <w:b w:val="0"/>
          <w:kern w:val="2"/>
          <w:sz w:val="24"/>
          <w:szCs w:val="21"/>
          <w:lang w:val="en-US" w:eastAsia="zh-CN" w:bidi="ar-SA"/>
        </w:rPr>
        <w:t>若出现砂浆反涌、注浆量少却注浆压力极大的情况，注浆手应立即关闭盾尾球阀，机长立刻通知上报，并且进行慢速推进，暂停同步注浆，掘进10-20cm后，再进行注浆。机长应做好该段的注浆情况记录，以便后期位置确定和二次注浆补浆。</w:t>
      </w:r>
    </w:p>
    <w:p>
      <w:pPr>
        <w:pStyle w:val="2"/>
        <w:ind w:left="0" w:leftChars="0" w:firstLine="0" w:firstLineChars="0"/>
        <w:rPr>
          <w:rFonts w:hint="eastAsia" w:hAnsi="宋体" w:eastAsia="宋体" w:cs="宋体"/>
          <w:b w:val="0"/>
          <w:kern w:val="2"/>
          <w:sz w:val="24"/>
          <w:szCs w:val="21"/>
          <w:lang w:val="en-US" w:eastAsia="zh-CN" w:bidi="ar-SA"/>
        </w:rPr>
      </w:pPr>
      <w:r>
        <w:rPr>
          <w:rFonts w:hint="eastAsia" w:hAnsi="宋体" w:eastAsia="宋体" w:cs="宋体"/>
          <w:b w:val="0"/>
          <w:kern w:val="2"/>
          <w:sz w:val="24"/>
          <w:szCs w:val="21"/>
          <w:lang w:val="en-US" w:eastAsia="zh-CN" w:bidi="ar-SA"/>
        </w:rPr>
        <w:t xml:space="preserve">  ⑤二次注浆泵应有专业人员负责操作</w:t>
      </w:r>
    </w:p>
    <w:p>
      <w:pPr>
        <w:pStyle w:val="2"/>
        <w:ind w:left="0" w:leftChars="0" w:firstLine="0" w:firstLineChars="0"/>
        <w:rPr>
          <w:rFonts w:hint="default" w:hAnsi="宋体" w:eastAsia="宋体" w:cs="宋体"/>
          <w:b w:val="0"/>
          <w:kern w:val="2"/>
          <w:sz w:val="24"/>
          <w:szCs w:val="21"/>
          <w:lang w:val="en-US" w:eastAsia="zh-CN" w:bidi="ar-SA"/>
        </w:rPr>
      </w:pPr>
      <w:r>
        <w:rPr>
          <w:rFonts w:hint="eastAsia" w:hAnsi="宋体" w:eastAsia="宋体" w:cs="宋体"/>
          <w:b w:val="0"/>
          <w:kern w:val="2"/>
          <w:sz w:val="24"/>
          <w:szCs w:val="21"/>
          <w:lang w:val="en-US" w:eastAsia="zh-CN" w:bidi="ar-SA"/>
        </w:rPr>
        <w:t xml:space="preserve">  </w:t>
      </w:r>
      <w:r>
        <w:rPr>
          <w:rFonts w:hint="eastAsia"/>
          <w:lang w:val="en-US" w:eastAsia="zh-CN"/>
        </w:rPr>
        <w:t>⑥</w:t>
      </w:r>
      <w:r>
        <w:rPr>
          <w:rFonts w:hint="eastAsia" w:hAnsi="宋体" w:eastAsia="宋体" w:cs="宋体"/>
          <w:b w:val="0"/>
          <w:kern w:val="2"/>
          <w:sz w:val="24"/>
          <w:szCs w:val="21"/>
          <w:lang w:val="en-US" w:eastAsia="zh-CN" w:bidi="ar-SA"/>
        </w:rPr>
        <w:t>注浆泵及管道内的压力未降至零时，不得拆卸管路或松开管路接头，以免浆液喷出伤人</w:t>
      </w:r>
    </w:p>
    <w:p>
      <w:pPr>
        <w:ind w:left="0" w:leftChars="0" w:firstLine="480" w:firstLineChars="200"/>
        <w:rPr>
          <w:rFonts w:hint="eastAsia"/>
          <w:lang w:val="en-US" w:eastAsia="zh-CN"/>
        </w:rPr>
      </w:pPr>
      <w:r>
        <w:rPr>
          <w:rFonts w:hint="eastAsia" w:ascii="Times New Roman" w:hAnsi="Times New Roman" w:eastAsia="宋体" w:cs="Times New Roman"/>
          <w:kern w:val="2"/>
          <w:sz w:val="24"/>
          <w:szCs w:val="22"/>
          <w:lang w:val="en-US" w:eastAsia="zh-CN" w:bidi="ar-SA"/>
        </w:rPr>
        <w:t>⑦</w:t>
      </w:r>
      <w:r>
        <w:rPr>
          <w:rFonts w:hint="eastAsia"/>
          <w:lang w:val="en-US" w:eastAsia="zh-CN"/>
        </w:rPr>
        <w:t>在拆除管路及注浆泵时，操作人员应佩戴防护眼镜，以免浆液溅入眼内。</w:t>
      </w:r>
    </w:p>
    <w:p>
      <w:pPr>
        <w:ind w:left="0" w:leftChars="0" w:firstLine="480" w:firstLineChars="200"/>
        <w:rPr>
          <w:rFonts w:hint="default" w:ascii="Times New Roman" w:hAnsi="Times New Roman" w:eastAsia="宋体" w:cs="Times New Roman"/>
          <w:kern w:val="2"/>
          <w:sz w:val="24"/>
          <w:szCs w:val="22"/>
          <w:lang w:val="en-US" w:eastAsia="zh-CN" w:bidi="ar-SA"/>
        </w:rPr>
      </w:pPr>
      <w:r>
        <w:rPr>
          <w:rFonts w:hint="eastAsia" w:cs="Times New Roman"/>
          <w:kern w:val="2"/>
          <w:sz w:val="24"/>
          <w:szCs w:val="22"/>
          <w:lang w:val="en-US" w:eastAsia="zh-CN" w:bidi="ar-SA"/>
        </w:rPr>
        <w:t>⑧施工时，及时清理作业区的地面积水，做好防滑、防摔措施。</w:t>
      </w:r>
    </w:p>
    <w:sectPr>
      <w:headerReference r:id="rId10" w:type="default"/>
      <w:footerReference r:id="rId11" w:type="default"/>
      <w:pgSz w:w="11907" w:h="16840"/>
      <w:pgMar w:top="1418" w:right="1134" w:bottom="1418" w:left="1418" w:header="454" w:footer="992" w:gutter="0"/>
      <w:pgBorders>
        <w:top w:val="none" w:sz="0" w:space="0"/>
        <w:left w:val="none" w:sz="0" w:space="0"/>
        <w:bottom w:val="none" w:sz="0" w:space="0"/>
        <w:right w:val="none" w:sz="0" w:space="0"/>
      </w:pgBorders>
      <w:pgNumType w:start="1"/>
      <w:cols w:space="720" w:num="1"/>
      <w:docGrid w:type="linesAndChar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仿宋_GBK">
    <w:altName w:val="微软雅黑"/>
    <w:panose1 w:val="00000000000000000000"/>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宋体-18030">
    <w:altName w:val="微软雅黑"/>
    <w:panose1 w:val="00000000000000000000"/>
    <w:charset w:val="86"/>
    <w:family w:val="modern"/>
    <w:pitch w:val="default"/>
    <w:sig w:usb0="00000000" w:usb1="00000000" w:usb2="000A005E"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方正小标宋简体">
    <w:altName w:val="微软雅黑"/>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8915371"/>
      <w:docPartObj>
        <w:docPartGallery w:val="autotext"/>
      </w:docPartObj>
    </w:sdtPr>
    <w:sdtContent>
      <w:p>
        <w:pPr>
          <w:pStyle w:val="21"/>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ind w:right="96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spacing w:line="240" w:lineRule="auto"/>
      <w:ind w:firstLine="0" w:firstLineChars="0"/>
    </w:pPr>
  </w:p>
  <w:p>
    <w:pPr>
      <w:wordWrap w:val="0"/>
      <w:spacing w:line="240" w:lineRule="auto"/>
      <w:ind w:firstLine="0" w:firstLineChars="0"/>
      <w:rPr>
        <w:b/>
        <w:i/>
        <w:szCs w:val="21"/>
      </w:rPr>
    </w:pPr>
    <w:r>
      <w:rPr>
        <w:rFonts w:hint="eastAsia" w:ascii="黑体" w:hAnsi="黑体" w:eastAsia="黑体" w:cs="黑体"/>
        <w:color w:val="00B0F0"/>
        <w:szCs w:val="21"/>
      </w:rPr>
      <w:t>重庆至黔江铁路项目</w:t>
    </w:r>
    <w:r>
      <w:rPr>
        <w:rFonts w:hint="eastAsia"/>
        <w:szCs w:val="21"/>
      </w:rPr>
      <w:t xml:space="preserve">               </w:t>
    </w:r>
    <w:r>
      <w:rPr>
        <w:szCs w:val="21"/>
      </w:rPr>
      <w:t xml:space="preserve">        </w:t>
    </w:r>
    <w:r>
      <w:rPr>
        <w:rFonts w:hint="eastAsia"/>
        <w:szCs w:val="21"/>
      </w:rPr>
      <w:t xml:space="preserve">          </w:t>
    </w:r>
    <w:r>
      <w:rPr>
        <w:rFonts w:hint="eastAsia" w:ascii="黑体" w:hAnsi="黑体" w:eastAsia="黑体" w:cs="黑体"/>
        <w:color w:val="00B0F0"/>
        <w:szCs w:val="21"/>
      </w:rPr>
      <w:t>隧道</w:t>
    </w:r>
    <w:r>
      <w:rPr>
        <w:rFonts w:hint="eastAsia" w:ascii="黑体" w:hAnsi="黑体" w:eastAsia="黑体" w:cs="黑体"/>
        <w:color w:val="00B0F0"/>
        <w:szCs w:val="21"/>
        <w:lang w:val="en-US" w:eastAsia="zh-CN"/>
      </w:rPr>
      <w:t>同步注浆及二次注浆</w:t>
    </w:r>
    <w:r>
      <w:rPr>
        <w:rFonts w:hint="eastAsia" w:ascii="黑体" w:hAnsi="黑体" w:eastAsia="黑体" w:cs="黑体"/>
        <w:color w:val="00B0F0"/>
        <w:szCs w:val="21"/>
      </w:rPr>
      <w:t>方案</w:t>
    </w:r>
    <w:r>
      <w:rPr>
        <w:rFonts w:ascii="黑体" w:hAnsi="黑体" w:eastAsia="黑体"/>
        <w:color w:val="00B0F0"/>
        <w:sz w:val="21"/>
        <w:szCs w:val="21"/>
      </w:rPr>
      <w:drawing>
        <wp:anchor distT="0" distB="0" distL="114300" distR="114300" simplePos="0" relativeHeight="251660288" behindDoc="1" locked="0" layoutInCell="1" allowOverlap="1">
          <wp:simplePos x="0" y="0"/>
          <wp:positionH relativeFrom="column">
            <wp:posOffset>-900430</wp:posOffset>
          </wp:positionH>
          <wp:positionV relativeFrom="paragraph">
            <wp:posOffset>182880</wp:posOffset>
          </wp:positionV>
          <wp:extent cx="7667625" cy="35560"/>
          <wp:effectExtent l="0" t="0" r="9525" b="254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
                  <a:stretch>
                    <a:fillRect/>
                  </a:stretch>
                </pic:blipFill>
                <pic:spPr>
                  <a:xfrm>
                    <a:off x="0" y="0"/>
                    <a:ext cx="7667625" cy="3556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spacing w:line="240" w:lineRule="auto"/>
      <w:ind w:firstLine="199" w:firstLineChars="83"/>
      <w:rPr>
        <w:rFonts w:ascii="黑体" w:hAnsi="黑体" w:eastAsia="黑体" w:cs="黑体"/>
        <w:color w:val="00B0F0"/>
        <w:szCs w:val="21"/>
      </w:rPr>
    </w:pPr>
  </w:p>
  <w:p>
    <w:pPr>
      <w:wordWrap w:val="0"/>
      <w:spacing w:line="240" w:lineRule="auto"/>
      <w:ind w:firstLine="0" w:firstLineChars="0"/>
      <w:rPr>
        <w:rFonts w:ascii="黑体" w:hAnsi="黑体" w:eastAsia="黑体" w:cs="黑体"/>
        <w:color w:val="00B0F0"/>
        <w:szCs w:val="21"/>
      </w:rPr>
    </w:pPr>
    <w:r>
      <w:rPr>
        <w:rFonts w:ascii="黑体" w:hAnsi="黑体" w:eastAsia="黑体"/>
        <w:color w:val="00B0F0"/>
        <w:sz w:val="21"/>
        <w:szCs w:val="21"/>
      </w:rPr>
      <w:drawing>
        <wp:anchor distT="0" distB="0" distL="114300" distR="114300" simplePos="0" relativeHeight="251661312" behindDoc="1" locked="0" layoutInCell="1" allowOverlap="1">
          <wp:simplePos x="0" y="0"/>
          <wp:positionH relativeFrom="column">
            <wp:posOffset>-900430</wp:posOffset>
          </wp:positionH>
          <wp:positionV relativeFrom="paragraph">
            <wp:posOffset>207645</wp:posOffset>
          </wp:positionV>
          <wp:extent cx="7667625" cy="35560"/>
          <wp:effectExtent l="0" t="0" r="9525" b="2540"/>
          <wp:wrapNone/>
          <wp:docPr id="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图片 1"/>
                  <pic:cNvPicPr>
                    <a:picLocks noChangeAspect="1"/>
                  </pic:cNvPicPr>
                </pic:nvPicPr>
                <pic:blipFill>
                  <a:blip r:embed="rId1"/>
                  <a:stretch>
                    <a:fillRect/>
                  </a:stretch>
                </pic:blipFill>
                <pic:spPr>
                  <a:xfrm>
                    <a:off x="0" y="0"/>
                    <a:ext cx="7667625" cy="35560"/>
                  </a:xfrm>
                  <a:prstGeom prst="rect">
                    <a:avLst/>
                  </a:prstGeom>
                  <a:noFill/>
                  <a:ln>
                    <a:noFill/>
                  </a:ln>
                </pic:spPr>
              </pic:pic>
            </a:graphicData>
          </a:graphic>
        </wp:anchor>
      </w:drawing>
    </w:r>
    <w:r>
      <w:rPr>
        <w:rFonts w:hint="eastAsia" w:ascii="黑体" w:hAnsi="黑体" w:eastAsia="黑体" w:cs="黑体"/>
        <w:color w:val="00B0F0"/>
        <w:szCs w:val="21"/>
      </w:rPr>
      <w:t>重庆至黔江铁路项目</w:t>
    </w:r>
    <w:r>
      <w:rPr>
        <w:rFonts w:hint="eastAsia"/>
        <w:szCs w:val="21"/>
      </w:rPr>
      <w:t xml:space="preserve">               </w:t>
    </w:r>
    <w:r>
      <w:rPr>
        <w:szCs w:val="21"/>
      </w:rPr>
      <w:t xml:space="preserve">        </w:t>
    </w:r>
    <w:r>
      <w:rPr>
        <w:rFonts w:hint="eastAsia"/>
        <w:szCs w:val="21"/>
      </w:rPr>
      <w:t xml:space="preserve">          </w:t>
    </w:r>
    <w:r>
      <w:rPr>
        <w:rFonts w:hint="eastAsia" w:ascii="黑体" w:hAnsi="黑体" w:eastAsia="黑体" w:cs="黑体"/>
        <w:color w:val="00B0F0"/>
        <w:szCs w:val="21"/>
      </w:rPr>
      <w:t>隧道</w:t>
    </w:r>
    <w:r>
      <w:rPr>
        <w:rFonts w:hint="eastAsia" w:ascii="黑体" w:hAnsi="黑体" w:eastAsia="黑体" w:cs="黑体"/>
        <w:color w:val="00B0F0"/>
        <w:szCs w:val="21"/>
        <w:lang w:val="en-US" w:eastAsia="zh-CN"/>
      </w:rPr>
      <w:t>同步注浆及二次注浆</w:t>
    </w:r>
    <w:r>
      <w:rPr>
        <w:rFonts w:hint="eastAsia" w:ascii="黑体" w:hAnsi="黑体" w:eastAsia="黑体" w:cs="黑体"/>
        <w:color w:val="00B0F0"/>
        <w:szCs w:val="21"/>
      </w:rPr>
      <w:t>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1E360"/>
    <w:multiLevelType w:val="singleLevel"/>
    <w:tmpl w:val="9291E360"/>
    <w:lvl w:ilvl="0" w:tentative="0">
      <w:start w:val="1"/>
      <w:numFmt w:val="decimal"/>
      <w:lvlText w:val="(%1)"/>
      <w:lvlJc w:val="left"/>
      <w:pPr>
        <w:tabs>
          <w:tab w:val="left" w:pos="312"/>
        </w:tabs>
      </w:pPr>
    </w:lvl>
  </w:abstractNum>
  <w:abstractNum w:abstractNumId="1">
    <w:nsid w:val="C8C6AB5C"/>
    <w:multiLevelType w:val="singleLevel"/>
    <w:tmpl w:val="C8C6AB5C"/>
    <w:lvl w:ilvl="0" w:tentative="0">
      <w:start w:val="1"/>
      <w:numFmt w:val="decimal"/>
      <w:suff w:val="nothing"/>
      <w:lvlText w:val="（%1）"/>
      <w:lvlJc w:val="left"/>
    </w:lvl>
  </w:abstractNum>
  <w:abstractNum w:abstractNumId="2">
    <w:nsid w:val="D8E08913"/>
    <w:multiLevelType w:val="singleLevel"/>
    <w:tmpl w:val="D8E08913"/>
    <w:lvl w:ilvl="0" w:tentative="0">
      <w:start w:val="1"/>
      <w:numFmt w:val="decimal"/>
      <w:suff w:val="nothing"/>
      <w:lvlText w:val="（%1）"/>
      <w:lvlJc w:val="left"/>
    </w:lvl>
  </w:abstractNum>
  <w:abstractNum w:abstractNumId="3">
    <w:nsid w:val="DB6D4362"/>
    <w:multiLevelType w:val="singleLevel"/>
    <w:tmpl w:val="DB6D4362"/>
    <w:lvl w:ilvl="0" w:tentative="0">
      <w:start w:val="5"/>
      <w:numFmt w:val="decimal"/>
      <w:lvlText w:val="(%1)"/>
      <w:lvlJc w:val="left"/>
      <w:pPr>
        <w:tabs>
          <w:tab w:val="left" w:pos="312"/>
        </w:tabs>
      </w:pPr>
    </w:lvl>
  </w:abstractNum>
  <w:abstractNum w:abstractNumId="4">
    <w:nsid w:val="00C2986A"/>
    <w:multiLevelType w:val="singleLevel"/>
    <w:tmpl w:val="00C2986A"/>
    <w:lvl w:ilvl="0" w:tentative="0">
      <w:start w:val="3"/>
      <w:numFmt w:val="decimal"/>
      <w:suff w:val="nothing"/>
      <w:lvlText w:val="（%1）"/>
      <w:lvlJc w:val="left"/>
    </w:lvl>
  </w:abstractNum>
  <w:abstractNum w:abstractNumId="5">
    <w:nsid w:val="4D162755"/>
    <w:multiLevelType w:val="singleLevel"/>
    <w:tmpl w:val="4D162755"/>
    <w:lvl w:ilvl="0" w:tentative="0">
      <w:start w:val="7"/>
      <w:numFmt w:val="decimal"/>
      <w:suff w:val="nothing"/>
      <w:lvlText w:val="（%1）"/>
      <w:lvlJc w:val="left"/>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yMGFjY2E1MWQ2MjliMmNhYmU5MDViZDBkN2I1MGQifQ=="/>
  </w:docVars>
  <w:rsids>
    <w:rsidRoot w:val="00ED365D"/>
    <w:rsid w:val="00002A5D"/>
    <w:rsid w:val="00004108"/>
    <w:rsid w:val="000057E0"/>
    <w:rsid w:val="00006953"/>
    <w:rsid w:val="00007267"/>
    <w:rsid w:val="00011026"/>
    <w:rsid w:val="00012DEA"/>
    <w:rsid w:val="000404A9"/>
    <w:rsid w:val="00051F06"/>
    <w:rsid w:val="00052F7F"/>
    <w:rsid w:val="000536E6"/>
    <w:rsid w:val="00061190"/>
    <w:rsid w:val="00061917"/>
    <w:rsid w:val="00067C72"/>
    <w:rsid w:val="00072F8A"/>
    <w:rsid w:val="00074E14"/>
    <w:rsid w:val="000A5DFE"/>
    <w:rsid w:val="000B3C84"/>
    <w:rsid w:val="000B7606"/>
    <w:rsid w:val="000C4E9E"/>
    <w:rsid w:val="000E3BD1"/>
    <w:rsid w:val="000F49C5"/>
    <w:rsid w:val="000F5BD1"/>
    <w:rsid w:val="0010441A"/>
    <w:rsid w:val="00117AA0"/>
    <w:rsid w:val="001360BF"/>
    <w:rsid w:val="00142CC8"/>
    <w:rsid w:val="0015446B"/>
    <w:rsid w:val="00160EE3"/>
    <w:rsid w:val="0016128A"/>
    <w:rsid w:val="00167A29"/>
    <w:rsid w:val="00176C08"/>
    <w:rsid w:val="0018280E"/>
    <w:rsid w:val="001832AD"/>
    <w:rsid w:val="00195A6D"/>
    <w:rsid w:val="001A42F1"/>
    <w:rsid w:val="001A6747"/>
    <w:rsid w:val="001B0308"/>
    <w:rsid w:val="001B3AB5"/>
    <w:rsid w:val="001D31D5"/>
    <w:rsid w:val="001E3227"/>
    <w:rsid w:val="001F1C11"/>
    <w:rsid w:val="00203AE1"/>
    <w:rsid w:val="00222205"/>
    <w:rsid w:val="00222511"/>
    <w:rsid w:val="00232274"/>
    <w:rsid w:val="00240F57"/>
    <w:rsid w:val="002453CA"/>
    <w:rsid w:val="00253618"/>
    <w:rsid w:val="002551A6"/>
    <w:rsid w:val="00261FC8"/>
    <w:rsid w:val="00262511"/>
    <w:rsid w:val="0026261E"/>
    <w:rsid w:val="00272129"/>
    <w:rsid w:val="00272B6F"/>
    <w:rsid w:val="00281E43"/>
    <w:rsid w:val="0028485A"/>
    <w:rsid w:val="00284D04"/>
    <w:rsid w:val="00290F82"/>
    <w:rsid w:val="00296DE1"/>
    <w:rsid w:val="002C13CE"/>
    <w:rsid w:val="002C1A23"/>
    <w:rsid w:val="002C3765"/>
    <w:rsid w:val="002C3938"/>
    <w:rsid w:val="002C7214"/>
    <w:rsid w:val="002D0603"/>
    <w:rsid w:val="002D2489"/>
    <w:rsid w:val="002D2503"/>
    <w:rsid w:val="002D472A"/>
    <w:rsid w:val="002E4F39"/>
    <w:rsid w:val="002F05B2"/>
    <w:rsid w:val="00300C95"/>
    <w:rsid w:val="0030521D"/>
    <w:rsid w:val="00316A0E"/>
    <w:rsid w:val="00325DE1"/>
    <w:rsid w:val="0032625F"/>
    <w:rsid w:val="0033181E"/>
    <w:rsid w:val="00337BDF"/>
    <w:rsid w:val="0034637A"/>
    <w:rsid w:val="00352953"/>
    <w:rsid w:val="00363E60"/>
    <w:rsid w:val="0039590F"/>
    <w:rsid w:val="00397A0A"/>
    <w:rsid w:val="003A05D1"/>
    <w:rsid w:val="003B04A1"/>
    <w:rsid w:val="003B5C6E"/>
    <w:rsid w:val="003C283E"/>
    <w:rsid w:val="003C5CC2"/>
    <w:rsid w:val="003D2352"/>
    <w:rsid w:val="003D3576"/>
    <w:rsid w:val="003D3BBF"/>
    <w:rsid w:val="003D4A01"/>
    <w:rsid w:val="003D6BC4"/>
    <w:rsid w:val="003E0711"/>
    <w:rsid w:val="003E20E9"/>
    <w:rsid w:val="003E53CA"/>
    <w:rsid w:val="003F4608"/>
    <w:rsid w:val="003F7336"/>
    <w:rsid w:val="004062C8"/>
    <w:rsid w:val="00407333"/>
    <w:rsid w:val="00412082"/>
    <w:rsid w:val="00416CB4"/>
    <w:rsid w:val="00430034"/>
    <w:rsid w:val="00475684"/>
    <w:rsid w:val="00487279"/>
    <w:rsid w:val="00493CF7"/>
    <w:rsid w:val="004B1424"/>
    <w:rsid w:val="004C1BB0"/>
    <w:rsid w:val="004C42F2"/>
    <w:rsid w:val="004D514C"/>
    <w:rsid w:val="004E3250"/>
    <w:rsid w:val="004F24B5"/>
    <w:rsid w:val="004F59BF"/>
    <w:rsid w:val="0050120F"/>
    <w:rsid w:val="00504C09"/>
    <w:rsid w:val="0050612A"/>
    <w:rsid w:val="00506539"/>
    <w:rsid w:val="00511CBA"/>
    <w:rsid w:val="005132A3"/>
    <w:rsid w:val="00513CFE"/>
    <w:rsid w:val="0051479E"/>
    <w:rsid w:val="005321E4"/>
    <w:rsid w:val="00532514"/>
    <w:rsid w:val="0054095D"/>
    <w:rsid w:val="00540C8E"/>
    <w:rsid w:val="00541348"/>
    <w:rsid w:val="005437B7"/>
    <w:rsid w:val="00543AF2"/>
    <w:rsid w:val="005444B0"/>
    <w:rsid w:val="00553575"/>
    <w:rsid w:val="00561AD4"/>
    <w:rsid w:val="0056625C"/>
    <w:rsid w:val="00582CB0"/>
    <w:rsid w:val="00594481"/>
    <w:rsid w:val="0059639D"/>
    <w:rsid w:val="005A388E"/>
    <w:rsid w:val="005B0721"/>
    <w:rsid w:val="005B4B56"/>
    <w:rsid w:val="005B5C3F"/>
    <w:rsid w:val="005C0E74"/>
    <w:rsid w:val="005C2E04"/>
    <w:rsid w:val="005D2C3D"/>
    <w:rsid w:val="005E1E0B"/>
    <w:rsid w:val="005E1E57"/>
    <w:rsid w:val="005F1D97"/>
    <w:rsid w:val="005F2DCF"/>
    <w:rsid w:val="00600A43"/>
    <w:rsid w:val="00601843"/>
    <w:rsid w:val="00601C45"/>
    <w:rsid w:val="00605CF4"/>
    <w:rsid w:val="00616AC4"/>
    <w:rsid w:val="00617144"/>
    <w:rsid w:val="00624E25"/>
    <w:rsid w:val="0063046D"/>
    <w:rsid w:val="00630DBA"/>
    <w:rsid w:val="006310EC"/>
    <w:rsid w:val="00640D57"/>
    <w:rsid w:val="006438FE"/>
    <w:rsid w:val="0064611C"/>
    <w:rsid w:val="0065286D"/>
    <w:rsid w:val="0065355B"/>
    <w:rsid w:val="00665D5D"/>
    <w:rsid w:val="00667223"/>
    <w:rsid w:val="006849CA"/>
    <w:rsid w:val="00686FB2"/>
    <w:rsid w:val="00695A37"/>
    <w:rsid w:val="006A1C53"/>
    <w:rsid w:val="006B74AE"/>
    <w:rsid w:val="006C17E7"/>
    <w:rsid w:val="006C4332"/>
    <w:rsid w:val="006C609F"/>
    <w:rsid w:val="006D5BBE"/>
    <w:rsid w:val="006E7B26"/>
    <w:rsid w:val="006F1C0F"/>
    <w:rsid w:val="006F5179"/>
    <w:rsid w:val="006F63E3"/>
    <w:rsid w:val="007140C0"/>
    <w:rsid w:val="0071691B"/>
    <w:rsid w:val="00717746"/>
    <w:rsid w:val="00735D57"/>
    <w:rsid w:val="00781643"/>
    <w:rsid w:val="00784DAE"/>
    <w:rsid w:val="007853D2"/>
    <w:rsid w:val="00785EA1"/>
    <w:rsid w:val="007931B0"/>
    <w:rsid w:val="00797E91"/>
    <w:rsid w:val="007A0569"/>
    <w:rsid w:val="007A4EEA"/>
    <w:rsid w:val="007B5496"/>
    <w:rsid w:val="007B7C0B"/>
    <w:rsid w:val="007C5083"/>
    <w:rsid w:val="007E7D85"/>
    <w:rsid w:val="007F0727"/>
    <w:rsid w:val="0080081B"/>
    <w:rsid w:val="00802687"/>
    <w:rsid w:val="0081103A"/>
    <w:rsid w:val="00813AA2"/>
    <w:rsid w:val="008215B5"/>
    <w:rsid w:val="00822101"/>
    <w:rsid w:val="00822874"/>
    <w:rsid w:val="00827439"/>
    <w:rsid w:val="0084271E"/>
    <w:rsid w:val="008526A3"/>
    <w:rsid w:val="00853FB9"/>
    <w:rsid w:val="008605D1"/>
    <w:rsid w:val="00866EF7"/>
    <w:rsid w:val="008753CB"/>
    <w:rsid w:val="0088566E"/>
    <w:rsid w:val="0089463F"/>
    <w:rsid w:val="008B7EE8"/>
    <w:rsid w:val="008C21BE"/>
    <w:rsid w:val="008C6245"/>
    <w:rsid w:val="008D122B"/>
    <w:rsid w:val="008D72E4"/>
    <w:rsid w:val="008E0B24"/>
    <w:rsid w:val="0092222C"/>
    <w:rsid w:val="00927486"/>
    <w:rsid w:val="00940F1E"/>
    <w:rsid w:val="00944FF1"/>
    <w:rsid w:val="009465CE"/>
    <w:rsid w:val="00970810"/>
    <w:rsid w:val="00977FDD"/>
    <w:rsid w:val="00991139"/>
    <w:rsid w:val="009A221C"/>
    <w:rsid w:val="009A75A2"/>
    <w:rsid w:val="009B137E"/>
    <w:rsid w:val="009B4BB8"/>
    <w:rsid w:val="009C42D0"/>
    <w:rsid w:val="009C4A44"/>
    <w:rsid w:val="009D41BE"/>
    <w:rsid w:val="009E7C31"/>
    <w:rsid w:val="009F5166"/>
    <w:rsid w:val="00A072C3"/>
    <w:rsid w:val="00A11B89"/>
    <w:rsid w:val="00A35DDB"/>
    <w:rsid w:val="00A37EA4"/>
    <w:rsid w:val="00A46609"/>
    <w:rsid w:val="00A478BB"/>
    <w:rsid w:val="00A54227"/>
    <w:rsid w:val="00A624C9"/>
    <w:rsid w:val="00A705ED"/>
    <w:rsid w:val="00A74780"/>
    <w:rsid w:val="00A758A4"/>
    <w:rsid w:val="00A83F36"/>
    <w:rsid w:val="00A85366"/>
    <w:rsid w:val="00A861DC"/>
    <w:rsid w:val="00A86A95"/>
    <w:rsid w:val="00A91A32"/>
    <w:rsid w:val="00A977A8"/>
    <w:rsid w:val="00AA633D"/>
    <w:rsid w:val="00AA6B13"/>
    <w:rsid w:val="00AB42F7"/>
    <w:rsid w:val="00AC6928"/>
    <w:rsid w:val="00AD18E4"/>
    <w:rsid w:val="00AE46E8"/>
    <w:rsid w:val="00AE576D"/>
    <w:rsid w:val="00AF340F"/>
    <w:rsid w:val="00B00CAD"/>
    <w:rsid w:val="00B01A89"/>
    <w:rsid w:val="00B10467"/>
    <w:rsid w:val="00B1062A"/>
    <w:rsid w:val="00B1192A"/>
    <w:rsid w:val="00B12517"/>
    <w:rsid w:val="00B23370"/>
    <w:rsid w:val="00B357AE"/>
    <w:rsid w:val="00B62755"/>
    <w:rsid w:val="00B648AF"/>
    <w:rsid w:val="00B6627C"/>
    <w:rsid w:val="00B706E4"/>
    <w:rsid w:val="00B70C2F"/>
    <w:rsid w:val="00B77894"/>
    <w:rsid w:val="00B913C3"/>
    <w:rsid w:val="00B970B2"/>
    <w:rsid w:val="00BB10FE"/>
    <w:rsid w:val="00BB3A2B"/>
    <w:rsid w:val="00BB7929"/>
    <w:rsid w:val="00BB7A00"/>
    <w:rsid w:val="00BC5C1B"/>
    <w:rsid w:val="00BE444E"/>
    <w:rsid w:val="00BE6DDC"/>
    <w:rsid w:val="00C0713B"/>
    <w:rsid w:val="00C23D43"/>
    <w:rsid w:val="00C24153"/>
    <w:rsid w:val="00C31E69"/>
    <w:rsid w:val="00C33BB5"/>
    <w:rsid w:val="00C348B2"/>
    <w:rsid w:val="00C56195"/>
    <w:rsid w:val="00C64CBB"/>
    <w:rsid w:val="00C7411E"/>
    <w:rsid w:val="00C8311A"/>
    <w:rsid w:val="00C94A00"/>
    <w:rsid w:val="00CA2A6F"/>
    <w:rsid w:val="00CC34D5"/>
    <w:rsid w:val="00CC417A"/>
    <w:rsid w:val="00CC4ACC"/>
    <w:rsid w:val="00CD07D6"/>
    <w:rsid w:val="00CD0992"/>
    <w:rsid w:val="00CD140F"/>
    <w:rsid w:val="00CE4BE9"/>
    <w:rsid w:val="00D00CDE"/>
    <w:rsid w:val="00D078AA"/>
    <w:rsid w:val="00D21A6B"/>
    <w:rsid w:val="00D3132D"/>
    <w:rsid w:val="00D45965"/>
    <w:rsid w:val="00D5164C"/>
    <w:rsid w:val="00D61645"/>
    <w:rsid w:val="00D96185"/>
    <w:rsid w:val="00DA3416"/>
    <w:rsid w:val="00DB517A"/>
    <w:rsid w:val="00DC12E7"/>
    <w:rsid w:val="00DC7015"/>
    <w:rsid w:val="00DD4207"/>
    <w:rsid w:val="00DD670D"/>
    <w:rsid w:val="00DE0C2F"/>
    <w:rsid w:val="00DE48C8"/>
    <w:rsid w:val="00DE590E"/>
    <w:rsid w:val="00DE628A"/>
    <w:rsid w:val="00DF16A8"/>
    <w:rsid w:val="00DF2D80"/>
    <w:rsid w:val="00DF5DBC"/>
    <w:rsid w:val="00E07F52"/>
    <w:rsid w:val="00E24402"/>
    <w:rsid w:val="00E26876"/>
    <w:rsid w:val="00E27061"/>
    <w:rsid w:val="00E3603E"/>
    <w:rsid w:val="00E3722F"/>
    <w:rsid w:val="00E46249"/>
    <w:rsid w:val="00E54286"/>
    <w:rsid w:val="00E60AA0"/>
    <w:rsid w:val="00E6376C"/>
    <w:rsid w:val="00E81559"/>
    <w:rsid w:val="00E91CEE"/>
    <w:rsid w:val="00E94299"/>
    <w:rsid w:val="00E96041"/>
    <w:rsid w:val="00EB0ED4"/>
    <w:rsid w:val="00EB7E13"/>
    <w:rsid w:val="00EC13F5"/>
    <w:rsid w:val="00EC182C"/>
    <w:rsid w:val="00EC190D"/>
    <w:rsid w:val="00EC280B"/>
    <w:rsid w:val="00EC4B3E"/>
    <w:rsid w:val="00EC4C08"/>
    <w:rsid w:val="00ED365D"/>
    <w:rsid w:val="00EE70A3"/>
    <w:rsid w:val="00EF2BF4"/>
    <w:rsid w:val="00F019EE"/>
    <w:rsid w:val="00F059C0"/>
    <w:rsid w:val="00F12B6B"/>
    <w:rsid w:val="00F13079"/>
    <w:rsid w:val="00F14694"/>
    <w:rsid w:val="00F250C6"/>
    <w:rsid w:val="00F30A78"/>
    <w:rsid w:val="00F4024F"/>
    <w:rsid w:val="00F470D6"/>
    <w:rsid w:val="00F5196A"/>
    <w:rsid w:val="00F522F1"/>
    <w:rsid w:val="00F538C0"/>
    <w:rsid w:val="00F643D4"/>
    <w:rsid w:val="00F82350"/>
    <w:rsid w:val="00F82A10"/>
    <w:rsid w:val="00F84935"/>
    <w:rsid w:val="00F851E6"/>
    <w:rsid w:val="00F90168"/>
    <w:rsid w:val="00FB2BB6"/>
    <w:rsid w:val="00FB48C9"/>
    <w:rsid w:val="01583748"/>
    <w:rsid w:val="04C2712A"/>
    <w:rsid w:val="04C72C65"/>
    <w:rsid w:val="08167EB9"/>
    <w:rsid w:val="085D23A5"/>
    <w:rsid w:val="08F63846"/>
    <w:rsid w:val="08FB36E6"/>
    <w:rsid w:val="090E293E"/>
    <w:rsid w:val="091E6E0F"/>
    <w:rsid w:val="0A342E26"/>
    <w:rsid w:val="0A943317"/>
    <w:rsid w:val="0CA75583"/>
    <w:rsid w:val="0CEE0FFB"/>
    <w:rsid w:val="1138518C"/>
    <w:rsid w:val="11AC53EA"/>
    <w:rsid w:val="12C44FAD"/>
    <w:rsid w:val="15485429"/>
    <w:rsid w:val="15C47699"/>
    <w:rsid w:val="17AE272A"/>
    <w:rsid w:val="1888270D"/>
    <w:rsid w:val="18A46E1B"/>
    <w:rsid w:val="1CFA2C37"/>
    <w:rsid w:val="1D4563A6"/>
    <w:rsid w:val="1F352707"/>
    <w:rsid w:val="21F229A5"/>
    <w:rsid w:val="2528774B"/>
    <w:rsid w:val="29BF1D06"/>
    <w:rsid w:val="2C4209CD"/>
    <w:rsid w:val="2C6425C5"/>
    <w:rsid w:val="2D482013"/>
    <w:rsid w:val="2D8E281B"/>
    <w:rsid w:val="2E24301F"/>
    <w:rsid w:val="30BD452C"/>
    <w:rsid w:val="30EB077D"/>
    <w:rsid w:val="326F1DF0"/>
    <w:rsid w:val="363650FE"/>
    <w:rsid w:val="3667175C"/>
    <w:rsid w:val="3809239F"/>
    <w:rsid w:val="38AC0272"/>
    <w:rsid w:val="3902159A"/>
    <w:rsid w:val="3A2B3608"/>
    <w:rsid w:val="3AC3795C"/>
    <w:rsid w:val="3B5B3D5E"/>
    <w:rsid w:val="3C6D13DE"/>
    <w:rsid w:val="3D6267D9"/>
    <w:rsid w:val="3D8E3940"/>
    <w:rsid w:val="3DAA0180"/>
    <w:rsid w:val="401E584A"/>
    <w:rsid w:val="41A64541"/>
    <w:rsid w:val="42FA74B4"/>
    <w:rsid w:val="4391606A"/>
    <w:rsid w:val="44D73F50"/>
    <w:rsid w:val="45014B4B"/>
    <w:rsid w:val="462B17C5"/>
    <w:rsid w:val="46331A96"/>
    <w:rsid w:val="47507FEA"/>
    <w:rsid w:val="487A531F"/>
    <w:rsid w:val="48B74900"/>
    <w:rsid w:val="4B725753"/>
    <w:rsid w:val="4DB34E2F"/>
    <w:rsid w:val="4DBF5582"/>
    <w:rsid w:val="4E5263F6"/>
    <w:rsid w:val="4EEE4370"/>
    <w:rsid w:val="4F87202D"/>
    <w:rsid w:val="50A940EA"/>
    <w:rsid w:val="51625545"/>
    <w:rsid w:val="52CA2943"/>
    <w:rsid w:val="536D782E"/>
    <w:rsid w:val="54EE1B28"/>
    <w:rsid w:val="57F038EF"/>
    <w:rsid w:val="58B261F1"/>
    <w:rsid w:val="5A4B7FA5"/>
    <w:rsid w:val="5DD1709F"/>
    <w:rsid w:val="5E1E4546"/>
    <w:rsid w:val="5E6740BF"/>
    <w:rsid w:val="5FDB0843"/>
    <w:rsid w:val="6037369D"/>
    <w:rsid w:val="62F87114"/>
    <w:rsid w:val="63FD50D9"/>
    <w:rsid w:val="65AF6DA2"/>
    <w:rsid w:val="67D15A06"/>
    <w:rsid w:val="68B97345"/>
    <w:rsid w:val="69951B60"/>
    <w:rsid w:val="6C5A5046"/>
    <w:rsid w:val="6D745F31"/>
    <w:rsid w:val="6DBE3CB6"/>
    <w:rsid w:val="6E0E1EE1"/>
    <w:rsid w:val="6EC43876"/>
    <w:rsid w:val="6EF90375"/>
    <w:rsid w:val="6F327E52"/>
    <w:rsid w:val="702B672C"/>
    <w:rsid w:val="70996637"/>
    <w:rsid w:val="71191B87"/>
    <w:rsid w:val="75154E65"/>
    <w:rsid w:val="75C86E1A"/>
    <w:rsid w:val="76C454CF"/>
    <w:rsid w:val="78A0111E"/>
    <w:rsid w:val="78DA631E"/>
    <w:rsid w:val="79E461EC"/>
    <w:rsid w:val="7A4D35D9"/>
    <w:rsid w:val="7AA8546C"/>
    <w:rsid w:val="7AEE45F8"/>
    <w:rsid w:val="7B0F49C5"/>
    <w:rsid w:val="7B77168F"/>
    <w:rsid w:val="7DBA7CAB"/>
    <w:rsid w:val="7FBA6FEC"/>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qFormat="1" w:uiPriority="99" w:semiHidden="0"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4">
    <w:name w:val="heading 1"/>
    <w:basedOn w:val="1"/>
    <w:next w:val="1"/>
    <w:link w:val="36"/>
    <w:qFormat/>
    <w:uiPriority w:val="9"/>
    <w:pPr>
      <w:kinsoku w:val="0"/>
      <w:overflowPunct w:val="0"/>
      <w:autoSpaceDE w:val="0"/>
      <w:autoSpaceDN w:val="0"/>
      <w:ind w:firstLine="0" w:firstLineChars="0"/>
      <w:outlineLvl w:val="0"/>
    </w:pPr>
    <w:rPr>
      <w:b/>
      <w:bCs/>
      <w:kern w:val="44"/>
      <w:szCs w:val="44"/>
    </w:rPr>
  </w:style>
  <w:style w:type="paragraph" w:styleId="5">
    <w:name w:val="heading 2"/>
    <w:basedOn w:val="1"/>
    <w:next w:val="1"/>
    <w:link w:val="37"/>
    <w:unhideWhenUsed/>
    <w:qFormat/>
    <w:uiPriority w:val="9"/>
    <w:pPr>
      <w:keepNext/>
      <w:keepLines/>
      <w:ind w:firstLine="0" w:firstLineChars="0"/>
      <w:outlineLvl w:val="1"/>
    </w:pPr>
    <w:rPr>
      <w:rFonts w:cstheme="majorBidi"/>
      <w:b/>
      <w:bCs/>
      <w:szCs w:val="32"/>
    </w:rPr>
  </w:style>
  <w:style w:type="paragraph" w:styleId="6">
    <w:name w:val="heading 3"/>
    <w:basedOn w:val="1"/>
    <w:next w:val="1"/>
    <w:link w:val="64"/>
    <w:unhideWhenUsed/>
    <w:qFormat/>
    <w:uiPriority w:val="9"/>
    <w:pPr>
      <w:keepNext/>
      <w:keepLines/>
      <w:ind w:firstLine="0" w:firstLineChars="0"/>
      <w:outlineLvl w:val="2"/>
    </w:pPr>
    <w:rPr>
      <w:bCs/>
      <w:szCs w:val="32"/>
    </w:rPr>
  </w:style>
  <w:style w:type="paragraph" w:styleId="7">
    <w:name w:val="heading 4"/>
    <w:basedOn w:val="1"/>
    <w:next w:val="1"/>
    <w:link w:val="38"/>
    <w:unhideWhenUsed/>
    <w:qFormat/>
    <w:uiPriority w:val="9"/>
    <w:pPr>
      <w:keepNext/>
      <w:keepLines/>
      <w:outlineLvl w:val="3"/>
    </w:pPr>
    <w:rPr>
      <w:rFonts w:cstheme="majorBidi"/>
      <w:bCs/>
      <w:szCs w:val="28"/>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0"/>
    <w:pPr>
      <w:widowControl w:val="0"/>
      <w:adjustRightInd w:val="0"/>
      <w:snapToGrid w:val="0"/>
      <w:spacing w:line="540" w:lineRule="atLeast"/>
      <w:ind w:right="-29" w:firstLine="420" w:firstLineChars="200"/>
      <w:contextualSpacing/>
      <w:jc w:val="both"/>
    </w:pPr>
    <w:rPr>
      <w:rFonts w:ascii="Times New Roman" w:hAnsi="Times New Roman" w:eastAsia="仿宋_GB2312" w:cs="Times New Roman"/>
      <w:kern w:val="2"/>
      <w:sz w:val="28"/>
      <w:szCs w:val="32"/>
      <w:lang w:val="en-US" w:eastAsia="zh-CN" w:bidi="ar-SA"/>
    </w:rPr>
  </w:style>
  <w:style w:type="paragraph" w:styleId="3">
    <w:name w:val="Body Text Indent"/>
    <w:basedOn w:val="1"/>
    <w:unhideWhenUsed/>
    <w:qFormat/>
    <w:uiPriority w:val="0"/>
    <w:pPr>
      <w:spacing w:after="120" w:line="240" w:lineRule="auto"/>
      <w:ind w:left="420" w:leftChars="200" w:firstLine="0" w:firstLineChars="0"/>
      <w:jc w:val="both"/>
    </w:pPr>
    <w:rPr>
      <w:rFonts w:ascii="Calibri" w:hAnsi="Calibri" w:eastAsia="宋体" w:cs="Times New Roman"/>
      <w:sz w:val="21"/>
    </w:rPr>
  </w:style>
  <w:style w:type="paragraph" w:styleId="8">
    <w:name w:val="toc 7"/>
    <w:basedOn w:val="1"/>
    <w:next w:val="1"/>
    <w:unhideWhenUsed/>
    <w:qFormat/>
    <w:uiPriority w:val="39"/>
    <w:pPr>
      <w:ind w:left="1440"/>
      <w:jc w:val="left"/>
    </w:pPr>
    <w:rPr>
      <w:rFonts w:asciiTheme="minorHAnsi" w:eastAsiaTheme="minorHAnsi"/>
      <w:sz w:val="18"/>
      <w:szCs w:val="18"/>
    </w:rPr>
  </w:style>
  <w:style w:type="paragraph" w:styleId="9">
    <w:name w:val="Normal Indent"/>
    <w:basedOn w:val="1"/>
    <w:link w:val="66"/>
    <w:qFormat/>
    <w:uiPriority w:val="99"/>
    <w:pPr>
      <w:widowControl/>
      <w:spacing w:line="240" w:lineRule="auto"/>
      <w:ind w:firstLine="420"/>
    </w:pPr>
    <w:rPr>
      <w:kern w:val="0"/>
      <w:sz w:val="21"/>
      <w:lang w:eastAsia="en-US" w:bidi="en-US"/>
    </w:rPr>
  </w:style>
  <w:style w:type="paragraph" w:styleId="10">
    <w:name w:val="Document Map"/>
    <w:basedOn w:val="1"/>
    <w:semiHidden/>
    <w:qFormat/>
    <w:uiPriority w:val="0"/>
    <w:pPr>
      <w:shd w:val="clear" w:color="auto" w:fill="000080"/>
    </w:pPr>
  </w:style>
  <w:style w:type="paragraph" w:styleId="11">
    <w:name w:val="Body Text"/>
    <w:basedOn w:val="1"/>
    <w:link w:val="68"/>
    <w:qFormat/>
    <w:uiPriority w:val="0"/>
    <w:pPr>
      <w:spacing w:before="135"/>
      <w:ind w:left="152"/>
    </w:pPr>
    <w:rPr>
      <w:rFonts w:ascii="宋体" w:hAnsi="宋体"/>
      <w:szCs w:val="24"/>
    </w:rPr>
  </w:style>
  <w:style w:type="paragraph" w:styleId="12">
    <w:name w:val="Block Text"/>
    <w:basedOn w:val="1"/>
    <w:unhideWhenUsed/>
    <w:qFormat/>
    <w:uiPriority w:val="99"/>
    <w:pPr>
      <w:spacing w:after="120"/>
      <w:ind w:left="1440" w:leftChars="700" w:right="1440" w:rightChars="700"/>
    </w:pPr>
    <w:rPr>
      <w:rFonts w:ascii="Times New Roman" w:hAnsi="Times New Roman"/>
      <w:szCs w:val="24"/>
    </w:rPr>
  </w:style>
  <w:style w:type="paragraph" w:styleId="13">
    <w:name w:val="toc 5"/>
    <w:basedOn w:val="1"/>
    <w:next w:val="1"/>
    <w:unhideWhenUsed/>
    <w:qFormat/>
    <w:uiPriority w:val="39"/>
    <w:pPr>
      <w:ind w:left="960"/>
      <w:jc w:val="left"/>
    </w:pPr>
    <w:rPr>
      <w:rFonts w:asciiTheme="minorHAnsi" w:eastAsiaTheme="minorHAnsi"/>
      <w:sz w:val="18"/>
      <w:szCs w:val="18"/>
    </w:rPr>
  </w:style>
  <w:style w:type="paragraph" w:styleId="14">
    <w:name w:val="toc 3"/>
    <w:basedOn w:val="1"/>
    <w:next w:val="1"/>
    <w:unhideWhenUsed/>
    <w:qFormat/>
    <w:uiPriority w:val="39"/>
    <w:pPr>
      <w:ind w:left="480"/>
      <w:jc w:val="left"/>
    </w:pPr>
    <w:rPr>
      <w:rFonts w:asciiTheme="minorHAnsi" w:eastAsiaTheme="minorHAnsi"/>
      <w:i/>
      <w:iCs/>
      <w:sz w:val="20"/>
      <w:szCs w:val="20"/>
    </w:rPr>
  </w:style>
  <w:style w:type="paragraph" w:styleId="15">
    <w:name w:val="Plain Text"/>
    <w:basedOn w:val="1"/>
    <w:link w:val="71"/>
    <w:qFormat/>
    <w:uiPriority w:val="0"/>
    <w:pPr>
      <w:ind w:firstLine="480"/>
    </w:pPr>
    <w:rPr>
      <w:rFonts w:ascii="宋体" w:hAnsi="Courier New" w:cs="Courier New"/>
      <w:szCs w:val="21"/>
    </w:rPr>
  </w:style>
  <w:style w:type="paragraph" w:styleId="16">
    <w:name w:val="toc 8"/>
    <w:basedOn w:val="1"/>
    <w:next w:val="1"/>
    <w:unhideWhenUsed/>
    <w:qFormat/>
    <w:uiPriority w:val="39"/>
    <w:pPr>
      <w:ind w:left="1680"/>
      <w:jc w:val="left"/>
    </w:pPr>
    <w:rPr>
      <w:rFonts w:asciiTheme="minorHAnsi" w:eastAsiaTheme="minorHAnsi"/>
      <w:sz w:val="18"/>
      <w:szCs w:val="18"/>
    </w:rPr>
  </w:style>
  <w:style w:type="paragraph" w:styleId="17">
    <w:name w:val="Date"/>
    <w:basedOn w:val="1"/>
    <w:next w:val="1"/>
    <w:qFormat/>
    <w:uiPriority w:val="0"/>
    <w:pPr>
      <w:ind w:left="100" w:leftChars="2500"/>
    </w:pPr>
  </w:style>
  <w:style w:type="paragraph" w:styleId="18">
    <w:name w:val="Body Text Indent 2"/>
    <w:basedOn w:val="1"/>
    <w:next w:val="19"/>
    <w:link w:val="70"/>
    <w:semiHidden/>
    <w:unhideWhenUsed/>
    <w:qFormat/>
    <w:uiPriority w:val="99"/>
    <w:pPr>
      <w:spacing w:after="120" w:line="480" w:lineRule="auto"/>
      <w:ind w:left="420" w:leftChars="200"/>
    </w:pPr>
  </w:style>
  <w:style w:type="paragraph" w:customStyle="1" w:styleId="19">
    <w:name w:val="z正文"/>
    <w:basedOn w:val="15"/>
    <w:qFormat/>
    <w:uiPriority w:val="0"/>
    <w:pPr>
      <w:snapToGrid w:val="0"/>
      <w:ind w:firstLine="200"/>
    </w:pPr>
    <w:rPr>
      <w:rFonts w:hAnsi="宋体" w:cs="Times New Roman"/>
      <w:szCs w:val="22"/>
    </w:rPr>
  </w:style>
  <w:style w:type="paragraph" w:styleId="20">
    <w:name w:val="Balloon Text"/>
    <w:basedOn w:val="1"/>
    <w:link w:val="39"/>
    <w:unhideWhenUsed/>
    <w:qFormat/>
    <w:uiPriority w:val="99"/>
    <w:pPr>
      <w:spacing w:line="240" w:lineRule="auto"/>
    </w:pPr>
    <w:rPr>
      <w:kern w:val="0"/>
      <w:sz w:val="18"/>
      <w:szCs w:val="18"/>
    </w:rPr>
  </w:style>
  <w:style w:type="paragraph" w:styleId="21">
    <w:name w:val="footer"/>
    <w:basedOn w:val="1"/>
    <w:link w:val="40"/>
    <w:unhideWhenUsed/>
    <w:qFormat/>
    <w:uiPriority w:val="99"/>
    <w:pPr>
      <w:tabs>
        <w:tab w:val="center" w:pos="4153"/>
        <w:tab w:val="right" w:pos="8306"/>
      </w:tabs>
      <w:snapToGrid w:val="0"/>
      <w:spacing w:line="240" w:lineRule="atLeast"/>
      <w:jc w:val="left"/>
    </w:pPr>
    <w:rPr>
      <w:kern w:val="0"/>
      <w:sz w:val="18"/>
      <w:szCs w:val="18"/>
    </w:rPr>
  </w:style>
  <w:style w:type="paragraph" w:styleId="22">
    <w:name w:val="header"/>
    <w:basedOn w:val="1"/>
    <w:link w:val="41"/>
    <w:unhideWhenUsed/>
    <w:qFormat/>
    <w:uiPriority w:val="0"/>
    <w:pPr>
      <w:pBdr>
        <w:bottom w:val="single" w:color="auto" w:sz="6" w:space="1"/>
      </w:pBdr>
      <w:tabs>
        <w:tab w:val="center" w:pos="4153"/>
        <w:tab w:val="right" w:pos="8306"/>
      </w:tabs>
      <w:snapToGrid w:val="0"/>
      <w:spacing w:line="240" w:lineRule="atLeast"/>
      <w:ind w:firstLine="360"/>
      <w:jc w:val="center"/>
    </w:pPr>
    <w:rPr>
      <w:kern w:val="0"/>
      <w:sz w:val="18"/>
      <w:szCs w:val="21"/>
    </w:rPr>
  </w:style>
  <w:style w:type="paragraph" w:styleId="23">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4">
    <w:name w:val="toc 4"/>
    <w:basedOn w:val="1"/>
    <w:next w:val="1"/>
    <w:unhideWhenUsed/>
    <w:qFormat/>
    <w:uiPriority w:val="39"/>
    <w:pPr>
      <w:ind w:left="720"/>
      <w:jc w:val="left"/>
    </w:pPr>
    <w:rPr>
      <w:rFonts w:asciiTheme="minorHAnsi" w:eastAsiaTheme="minorHAnsi"/>
      <w:sz w:val="18"/>
      <w:szCs w:val="18"/>
    </w:rPr>
  </w:style>
  <w:style w:type="paragraph" w:styleId="25">
    <w:name w:val="toc 6"/>
    <w:basedOn w:val="1"/>
    <w:next w:val="1"/>
    <w:unhideWhenUsed/>
    <w:qFormat/>
    <w:uiPriority w:val="39"/>
    <w:pPr>
      <w:ind w:left="1200"/>
      <w:jc w:val="left"/>
    </w:pPr>
    <w:rPr>
      <w:rFonts w:asciiTheme="minorHAnsi" w:eastAsiaTheme="minorHAnsi"/>
      <w:sz w:val="18"/>
      <w:szCs w:val="18"/>
    </w:rPr>
  </w:style>
  <w:style w:type="paragraph" w:styleId="26">
    <w:name w:val="toc 2"/>
    <w:basedOn w:val="1"/>
    <w:next w:val="1"/>
    <w:unhideWhenUsed/>
    <w:qFormat/>
    <w:uiPriority w:val="39"/>
    <w:pPr>
      <w:ind w:left="240"/>
      <w:jc w:val="left"/>
    </w:pPr>
    <w:rPr>
      <w:rFonts w:asciiTheme="minorHAnsi" w:eastAsiaTheme="minorHAnsi"/>
      <w:smallCaps/>
      <w:sz w:val="20"/>
      <w:szCs w:val="20"/>
    </w:rPr>
  </w:style>
  <w:style w:type="paragraph" w:styleId="27">
    <w:name w:val="toc 9"/>
    <w:basedOn w:val="1"/>
    <w:next w:val="1"/>
    <w:unhideWhenUsed/>
    <w:qFormat/>
    <w:uiPriority w:val="39"/>
    <w:pPr>
      <w:ind w:left="1920"/>
      <w:jc w:val="left"/>
    </w:pPr>
    <w:rPr>
      <w:rFonts w:asciiTheme="minorHAnsi" w:eastAsiaTheme="minorHAnsi"/>
      <w:sz w:val="18"/>
      <w:szCs w:val="18"/>
    </w:rPr>
  </w:style>
  <w:style w:type="paragraph" w:styleId="28">
    <w:name w:val="Normal (Web)"/>
    <w:basedOn w:val="1"/>
    <w:unhideWhenUsed/>
    <w:qFormat/>
    <w:uiPriority w:val="0"/>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9">
    <w:name w:val="Body Text First Indent"/>
    <w:basedOn w:val="11"/>
    <w:next w:val="18"/>
    <w:link w:val="69"/>
    <w:semiHidden/>
    <w:unhideWhenUsed/>
    <w:qFormat/>
    <w:uiPriority w:val="99"/>
    <w:pPr>
      <w:spacing w:before="0" w:after="120"/>
      <w:ind w:left="0" w:firstLine="420" w:firstLineChars="100"/>
    </w:pPr>
    <w:rPr>
      <w:rFonts w:ascii="Times New Roman" w:hAnsi="Times New Roman"/>
      <w:szCs w:val="22"/>
    </w:rPr>
  </w:style>
  <w:style w:type="table" w:styleId="31">
    <w:name w:val="Table Grid"/>
    <w:basedOn w:val="3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0"/>
    <w:rPr>
      <w:b/>
      <w:bCs/>
    </w:rPr>
  </w:style>
  <w:style w:type="character" w:styleId="34">
    <w:name w:val="line number"/>
    <w:basedOn w:val="32"/>
    <w:unhideWhenUsed/>
    <w:qFormat/>
    <w:uiPriority w:val="99"/>
  </w:style>
  <w:style w:type="character" w:styleId="35">
    <w:name w:val="Hyperlink"/>
    <w:unhideWhenUsed/>
    <w:qFormat/>
    <w:uiPriority w:val="99"/>
    <w:rPr>
      <w:color w:val="0000FF"/>
      <w:u w:val="single"/>
    </w:rPr>
  </w:style>
  <w:style w:type="character" w:customStyle="1" w:styleId="36">
    <w:name w:val="标题 1 字符"/>
    <w:link w:val="4"/>
    <w:qFormat/>
    <w:uiPriority w:val="9"/>
    <w:rPr>
      <w:rFonts w:ascii="Times New Roman" w:hAnsi="Times New Roman"/>
      <w:b/>
      <w:bCs/>
      <w:kern w:val="44"/>
      <w:sz w:val="28"/>
      <w:szCs w:val="44"/>
    </w:rPr>
  </w:style>
  <w:style w:type="character" w:customStyle="1" w:styleId="37">
    <w:name w:val="标题 2 字符"/>
    <w:basedOn w:val="32"/>
    <w:link w:val="5"/>
    <w:qFormat/>
    <w:uiPriority w:val="9"/>
    <w:rPr>
      <w:rFonts w:ascii="Times New Roman" w:hAnsi="Times New Roman" w:cstheme="majorBidi"/>
      <w:b/>
      <w:bCs/>
      <w:kern w:val="2"/>
      <w:sz w:val="24"/>
      <w:szCs w:val="32"/>
    </w:rPr>
  </w:style>
  <w:style w:type="character" w:customStyle="1" w:styleId="38">
    <w:name w:val="标题 4 字符"/>
    <w:basedOn w:val="32"/>
    <w:link w:val="7"/>
    <w:qFormat/>
    <w:uiPriority w:val="9"/>
    <w:rPr>
      <w:rFonts w:ascii="Times New Roman" w:hAnsi="Times New Roman" w:cstheme="majorBidi"/>
      <w:bCs/>
      <w:kern w:val="2"/>
      <w:sz w:val="24"/>
      <w:szCs w:val="28"/>
    </w:rPr>
  </w:style>
  <w:style w:type="character" w:customStyle="1" w:styleId="39">
    <w:name w:val="批注框文本 字符"/>
    <w:link w:val="20"/>
    <w:semiHidden/>
    <w:qFormat/>
    <w:uiPriority w:val="99"/>
    <w:rPr>
      <w:rFonts w:ascii="Times New Roman" w:hAnsi="Times New Roman"/>
      <w:sz w:val="18"/>
      <w:szCs w:val="18"/>
    </w:rPr>
  </w:style>
  <w:style w:type="character" w:customStyle="1" w:styleId="40">
    <w:name w:val="页脚 字符"/>
    <w:link w:val="21"/>
    <w:qFormat/>
    <w:uiPriority w:val="99"/>
    <w:rPr>
      <w:rFonts w:ascii="Times New Roman" w:hAnsi="Times New Roman"/>
      <w:sz w:val="18"/>
      <w:szCs w:val="18"/>
    </w:rPr>
  </w:style>
  <w:style w:type="character" w:customStyle="1" w:styleId="41">
    <w:name w:val="页眉 字符"/>
    <w:link w:val="22"/>
    <w:qFormat/>
    <w:uiPriority w:val="0"/>
    <w:rPr>
      <w:rFonts w:ascii="Times New Roman" w:hAnsi="Times New Roman"/>
      <w:sz w:val="18"/>
      <w:szCs w:val="21"/>
    </w:rPr>
  </w:style>
  <w:style w:type="paragraph" w:customStyle="1" w:styleId="42">
    <w:name w:val="篇名"/>
    <w:link w:val="43"/>
    <w:qFormat/>
    <w:uiPriority w:val="0"/>
    <w:pPr>
      <w:jc w:val="center"/>
    </w:pPr>
    <w:rPr>
      <w:rFonts w:ascii="Times New Roman" w:hAnsi="Times New Roman" w:eastAsia="黑体" w:cs="Times New Roman"/>
      <w:b/>
      <w:sz w:val="44"/>
      <w:lang w:val="en-US" w:eastAsia="zh-CN" w:bidi="ar-SA"/>
    </w:rPr>
  </w:style>
  <w:style w:type="character" w:customStyle="1" w:styleId="43">
    <w:name w:val="篇名 Char"/>
    <w:link w:val="42"/>
    <w:qFormat/>
    <w:uiPriority w:val="0"/>
    <w:rPr>
      <w:rFonts w:ascii="Times New Roman" w:hAnsi="Times New Roman" w:eastAsia="黑体"/>
      <w:b/>
      <w:sz w:val="44"/>
      <w:lang w:bidi="ar-SA"/>
    </w:rPr>
  </w:style>
  <w:style w:type="paragraph" w:customStyle="1" w:styleId="44">
    <w:name w:val="一级标题"/>
    <w:next w:val="45"/>
    <w:link w:val="46"/>
    <w:qFormat/>
    <w:uiPriority w:val="0"/>
    <w:pPr>
      <w:jc w:val="both"/>
      <w:outlineLvl w:val="0"/>
    </w:pPr>
    <w:rPr>
      <w:rFonts w:ascii="Times New Roman" w:hAnsi="Times New Roman" w:eastAsia="仿宋" w:cs="Times New Roman"/>
      <w:b/>
      <w:sz w:val="36"/>
      <w:lang w:val="en-US" w:eastAsia="zh-CN" w:bidi="ar-SA"/>
    </w:rPr>
  </w:style>
  <w:style w:type="paragraph" w:customStyle="1" w:styleId="45">
    <w:name w:val="二级标题"/>
    <w:link w:val="47"/>
    <w:qFormat/>
    <w:uiPriority w:val="0"/>
    <w:pPr>
      <w:outlineLvl w:val="1"/>
    </w:pPr>
    <w:rPr>
      <w:rFonts w:ascii="Times New Roman" w:hAnsi="Times New Roman" w:eastAsia="方正仿宋_GBK" w:cs="Times New Roman"/>
      <w:sz w:val="30"/>
      <w:lang w:val="en-US" w:eastAsia="zh-CN" w:bidi="ar-SA"/>
    </w:rPr>
  </w:style>
  <w:style w:type="character" w:customStyle="1" w:styleId="46">
    <w:name w:val="一级标题 Char"/>
    <w:link w:val="44"/>
    <w:qFormat/>
    <w:uiPriority w:val="0"/>
    <w:rPr>
      <w:rFonts w:ascii="Times New Roman" w:hAnsi="Times New Roman" w:eastAsia="仿宋"/>
      <w:b/>
      <w:sz w:val="36"/>
      <w:lang w:bidi="ar-SA"/>
    </w:rPr>
  </w:style>
  <w:style w:type="character" w:customStyle="1" w:styleId="47">
    <w:name w:val="二级标题 Char"/>
    <w:link w:val="45"/>
    <w:qFormat/>
    <w:uiPriority w:val="0"/>
    <w:rPr>
      <w:rFonts w:ascii="Times New Roman" w:hAnsi="Times New Roman" w:eastAsia="方正仿宋_GBK"/>
      <w:sz w:val="30"/>
      <w:lang w:bidi="ar-SA"/>
    </w:rPr>
  </w:style>
  <w:style w:type="paragraph" w:customStyle="1" w:styleId="48">
    <w:name w:val="三级标题"/>
    <w:next w:val="1"/>
    <w:link w:val="49"/>
    <w:qFormat/>
    <w:uiPriority w:val="0"/>
    <w:pPr>
      <w:outlineLvl w:val="2"/>
    </w:pPr>
    <w:rPr>
      <w:rFonts w:ascii="Times New Roman" w:hAnsi="Times New Roman" w:eastAsia="方正仿宋_GBK" w:cs="Times New Roman"/>
      <w:sz w:val="28"/>
      <w:lang w:val="en-US" w:eastAsia="zh-CN" w:bidi="ar-SA"/>
    </w:rPr>
  </w:style>
  <w:style w:type="character" w:customStyle="1" w:styleId="49">
    <w:name w:val="三级标题 Char"/>
    <w:link w:val="48"/>
    <w:qFormat/>
    <w:uiPriority w:val="0"/>
    <w:rPr>
      <w:rFonts w:ascii="Times New Roman" w:hAnsi="Times New Roman" w:eastAsia="方正仿宋_GBK"/>
      <w:sz w:val="28"/>
      <w:lang w:bidi="ar-SA"/>
    </w:rPr>
  </w:style>
  <w:style w:type="paragraph" w:customStyle="1" w:styleId="50">
    <w:name w:val="图"/>
    <w:link w:val="51"/>
    <w:qFormat/>
    <w:uiPriority w:val="0"/>
    <w:pPr>
      <w:jc w:val="center"/>
    </w:pPr>
    <w:rPr>
      <w:rFonts w:ascii="Times New Roman" w:hAnsi="Times New Roman" w:eastAsia="宋体" w:cs="Times New Roman"/>
      <w:lang w:val="en-US" w:eastAsia="zh-CN" w:bidi="ar-SA"/>
    </w:rPr>
  </w:style>
  <w:style w:type="character" w:customStyle="1" w:styleId="51">
    <w:name w:val="图 Char"/>
    <w:link w:val="50"/>
    <w:qFormat/>
    <w:uiPriority w:val="0"/>
    <w:rPr>
      <w:rFonts w:ascii="Times New Roman" w:hAnsi="Times New Roman"/>
      <w:lang w:val="en-US" w:eastAsia="zh-CN" w:bidi="ar-SA"/>
    </w:rPr>
  </w:style>
  <w:style w:type="paragraph" w:customStyle="1" w:styleId="52">
    <w:name w:val="公式"/>
    <w:basedOn w:val="1"/>
    <w:link w:val="53"/>
    <w:qFormat/>
    <w:uiPriority w:val="0"/>
    <w:pPr>
      <w:ind w:firstLine="0" w:firstLineChars="0"/>
      <w:jc w:val="center"/>
    </w:pPr>
    <w:rPr>
      <w:kern w:val="0"/>
      <w:szCs w:val="20"/>
    </w:rPr>
  </w:style>
  <w:style w:type="character" w:customStyle="1" w:styleId="53">
    <w:name w:val="公式 Char"/>
    <w:link w:val="52"/>
    <w:qFormat/>
    <w:uiPriority w:val="0"/>
    <w:rPr>
      <w:rFonts w:ascii="Times New Roman" w:hAnsi="Times New Roman"/>
      <w:sz w:val="24"/>
    </w:rPr>
  </w:style>
  <w:style w:type="paragraph" w:customStyle="1" w:styleId="54">
    <w:name w:val="四级标题"/>
    <w:next w:val="1"/>
    <w:link w:val="55"/>
    <w:qFormat/>
    <w:uiPriority w:val="0"/>
    <w:pPr>
      <w:outlineLvl w:val="3"/>
    </w:pPr>
    <w:rPr>
      <w:rFonts w:ascii="Times New Roman" w:hAnsi="Times New Roman" w:eastAsia="宋体" w:cs="Times New Roman"/>
      <w:b/>
      <w:sz w:val="28"/>
      <w:szCs w:val="28"/>
      <w:lang w:val="en-US" w:eastAsia="zh-CN" w:bidi="ar-SA"/>
    </w:rPr>
  </w:style>
  <w:style w:type="character" w:customStyle="1" w:styleId="55">
    <w:name w:val="四级标题 Char"/>
    <w:link w:val="54"/>
    <w:qFormat/>
    <w:uiPriority w:val="0"/>
    <w:rPr>
      <w:rFonts w:ascii="Times New Roman" w:hAnsi="Times New Roman"/>
      <w:b/>
      <w:sz w:val="28"/>
      <w:szCs w:val="28"/>
      <w:lang w:bidi="ar-SA"/>
    </w:rPr>
  </w:style>
  <w:style w:type="paragraph" w:customStyle="1" w:styleId="56">
    <w:name w:val="Default"/>
    <w:qFormat/>
    <w:uiPriority w:val="0"/>
    <w:pPr>
      <w:widowControl w:val="0"/>
      <w:autoSpaceDE w:val="0"/>
      <w:autoSpaceDN w:val="0"/>
      <w:adjustRightInd w:val="0"/>
    </w:pPr>
    <w:rPr>
      <w:rFonts w:ascii="等线" w:hAnsi="Times New Roman" w:eastAsia="等线" w:cs="等线"/>
      <w:color w:val="000000"/>
      <w:sz w:val="24"/>
      <w:szCs w:val="24"/>
      <w:lang w:val="en-US" w:eastAsia="zh-CN" w:bidi="ar-SA"/>
    </w:rPr>
  </w:style>
  <w:style w:type="character" w:customStyle="1" w:styleId="57">
    <w:name w:val="apple-converted-space"/>
    <w:basedOn w:val="32"/>
    <w:qFormat/>
    <w:uiPriority w:val="0"/>
  </w:style>
  <w:style w:type="paragraph" w:customStyle="1" w:styleId="58">
    <w:name w:val="TOC 标题1"/>
    <w:basedOn w:val="4"/>
    <w:next w:val="1"/>
    <w:qFormat/>
    <w:uiPriority w:val="39"/>
    <w:pPr>
      <w:widowControl/>
      <w:spacing w:before="480" w:line="276" w:lineRule="auto"/>
      <w:outlineLvl w:val="9"/>
    </w:pPr>
    <w:rPr>
      <w:rFonts w:ascii="Cambria" w:hAnsi="Cambria"/>
      <w:color w:val="365F91"/>
      <w:kern w:val="0"/>
      <w:szCs w:val="28"/>
    </w:rPr>
  </w:style>
  <w:style w:type="paragraph" w:styleId="59">
    <w:name w:val="No Spacing"/>
    <w:link w:val="60"/>
    <w:qFormat/>
    <w:uiPriority w:val="1"/>
    <w:rPr>
      <w:rFonts w:ascii="Calibri" w:hAnsi="Calibri" w:eastAsia="宋体" w:cs="Times New Roman"/>
      <w:sz w:val="22"/>
      <w:szCs w:val="22"/>
      <w:lang w:val="en-US" w:eastAsia="zh-CN" w:bidi="ar-SA"/>
    </w:rPr>
  </w:style>
  <w:style w:type="character" w:customStyle="1" w:styleId="60">
    <w:name w:val="无间隔 字符"/>
    <w:link w:val="59"/>
    <w:qFormat/>
    <w:uiPriority w:val="1"/>
    <w:rPr>
      <w:sz w:val="22"/>
      <w:szCs w:val="22"/>
      <w:lang w:val="en-US" w:eastAsia="zh-CN" w:bidi="ar-SA"/>
    </w:rPr>
  </w:style>
  <w:style w:type="paragraph" w:customStyle="1" w:styleId="61">
    <w:name w:val="表头或图底"/>
    <w:basedOn w:val="1"/>
    <w:next w:val="1"/>
    <w:qFormat/>
    <w:uiPriority w:val="0"/>
    <w:pPr>
      <w:spacing w:line="240" w:lineRule="auto"/>
      <w:ind w:firstLine="0" w:firstLineChars="0"/>
      <w:jc w:val="center"/>
    </w:pPr>
    <w:rPr>
      <w:rFonts w:cs="Arial"/>
      <w:color w:val="000000"/>
      <w:sz w:val="21"/>
      <w:szCs w:val="27"/>
    </w:rPr>
  </w:style>
  <w:style w:type="paragraph" w:customStyle="1" w:styleId="62">
    <w:name w:val="图表"/>
    <w:basedOn w:val="1"/>
    <w:next w:val="1"/>
    <w:link w:val="63"/>
    <w:qFormat/>
    <w:uiPriority w:val="0"/>
    <w:pPr>
      <w:spacing w:line="240" w:lineRule="auto"/>
      <w:ind w:firstLine="0" w:firstLineChars="0"/>
      <w:jc w:val="center"/>
    </w:pPr>
    <w:rPr>
      <w:sz w:val="21"/>
      <w:szCs w:val="24"/>
    </w:rPr>
  </w:style>
  <w:style w:type="character" w:customStyle="1" w:styleId="63">
    <w:name w:val="图表 字符"/>
    <w:basedOn w:val="32"/>
    <w:link w:val="62"/>
    <w:qFormat/>
    <w:uiPriority w:val="0"/>
    <w:rPr>
      <w:rFonts w:ascii="Times New Roman" w:hAnsi="Times New Roman"/>
      <w:kern w:val="2"/>
      <w:sz w:val="21"/>
      <w:szCs w:val="24"/>
    </w:rPr>
  </w:style>
  <w:style w:type="character" w:customStyle="1" w:styleId="64">
    <w:name w:val="标题 3 字符"/>
    <w:basedOn w:val="32"/>
    <w:link w:val="6"/>
    <w:qFormat/>
    <w:uiPriority w:val="9"/>
    <w:rPr>
      <w:rFonts w:ascii="Times New Roman" w:hAnsi="Times New Roman"/>
      <w:bCs/>
      <w:kern w:val="2"/>
      <w:sz w:val="24"/>
      <w:szCs w:val="32"/>
    </w:rPr>
  </w:style>
  <w:style w:type="paragraph" w:customStyle="1" w:styleId="65">
    <w:name w:val="TOC 标题2"/>
    <w:basedOn w:val="4"/>
    <w:next w:val="1"/>
    <w:unhideWhenUsed/>
    <w:qFormat/>
    <w:uiPriority w:val="39"/>
    <w:pPr>
      <w:keepNext/>
      <w:keepLines/>
      <w:widowControl/>
      <w:kinsoku/>
      <w:overflowPunct/>
      <w:autoSpaceDE/>
      <w:autoSpaceDN/>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6">
    <w:name w:val="正文缩进 字符"/>
    <w:link w:val="9"/>
    <w:qFormat/>
    <w:uiPriority w:val="99"/>
    <w:rPr>
      <w:rFonts w:ascii="Times New Roman" w:hAnsi="Times New Roman"/>
      <w:sz w:val="21"/>
      <w:szCs w:val="22"/>
      <w:lang w:eastAsia="en-US" w:bidi="en-US"/>
    </w:rPr>
  </w:style>
  <w:style w:type="paragraph" w:customStyle="1" w:styleId="67">
    <w:name w:val="方案正文"/>
    <w:basedOn w:val="1"/>
    <w:qFormat/>
    <w:uiPriority w:val="0"/>
    <w:pPr>
      <w:widowControl/>
    </w:pPr>
    <w:rPr>
      <w:rFonts w:ascii="宋体" w:hAnsi="宋体"/>
      <w:kern w:val="0"/>
      <w:lang w:eastAsia="en-US" w:bidi="en-US"/>
    </w:rPr>
  </w:style>
  <w:style w:type="character" w:customStyle="1" w:styleId="68">
    <w:name w:val="正文文本 字符"/>
    <w:basedOn w:val="32"/>
    <w:link w:val="11"/>
    <w:qFormat/>
    <w:uiPriority w:val="0"/>
    <w:rPr>
      <w:rFonts w:ascii="宋体" w:hAnsi="宋体"/>
      <w:kern w:val="2"/>
      <w:sz w:val="24"/>
      <w:szCs w:val="24"/>
    </w:rPr>
  </w:style>
  <w:style w:type="character" w:customStyle="1" w:styleId="69">
    <w:name w:val="正文文本首行缩进 字符"/>
    <w:basedOn w:val="68"/>
    <w:link w:val="29"/>
    <w:semiHidden/>
    <w:qFormat/>
    <w:uiPriority w:val="99"/>
    <w:rPr>
      <w:rFonts w:ascii="Times New Roman" w:hAnsi="Times New Roman"/>
      <w:kern w:val="2"/>
      <w:sz w:val="24"/>
      <w:szCs w:val="22"/>
    </w:rPr>
  </w:style>
  <w:style w:type="character" w:customStyle="1" w:styleId="70">
    <w:name w:val="正文文本缩进 2 字符"/>
    <w:basedOn w:val="32"/>
    <w:link w:val="18"/>
    <w:semiHidden/>
    <w:qFormat/>
    <w:uiPriority w:val="99"/>
    <w:rPr>
      <w:rFonts w:ascii="Times New Roman" w:hAnsi="Times New Roman"/>
      <w:kern w:val="2"/>
      <w:sz w:val="24"/>
      <w:szCs w:val="22"/>
    </w:rPr>
  </w:style>
  <w:style w:type="character" w:customStyle="1" w:styleId="71">
    <w:name w:val="纯文本 字符"/>
    <w:basedOn w:val="32"/>
    <w:link w:val="15"/>
    <w:qFormat/>
    <w:uiPriority w:val="0"/>
    <w:rPr>
      <w:rFonts w:ascii="宋体" w:hAnsi="Courier New" w:cs="Courier New"/>
      <w:kern w:val="2"/>
      <w:sz w:val="24"/>
      <w:szCs w:val="21"/>
    </w:rPr>
  </w:style>
  <w:style w:type="paragraph" w:customStyle="1" w:styleId="72">
    <w:name w:val="方案“章”1"/>
    <w:basedOn w:val="73"/>
    <w:qFormat/>
    <w:uiPriority w:val="0"/>
    <w:pPr>
      <w:spacing w:before="120" w:beforeLines="50" w:line="480" w:lineRule="auto"/>
      <w:ind w:firstLine="0" w:firstLineChars="0"/>
    </w:pPr>
    <w:rPr>
      <w:rFonts w:ascii="黑体" w:hAnsi="黑体" w:eastAsia="黑体"/>
      <w:b/>
      <w:bCs/>
      <w:sz w:val="28"/>
      <w:szCs w:val="28"/>
    </w:rPr>
  </w:style>
  <w:style w:type="paragraph" w:customStyle="1" w:styleId="73">
    <w:name w:val="1级标题"/>
    <w:basedOn w:val="1"/>
    <w:next w:val="1"/>
    <w:qFormat/>
    <w:uiPriority w:val="0"/>
    <w:pPr>
      <w:widowControl w:val="0"/>
      <w:ind w:firstLine="480"/>
      <w:outlineLvl w:val="0"/>
    </w:pPr>
    <w:rPr>
      <w:rFonts w:eastAsia="仿宋_GB2312"/>
      <w:kern w:val="2"/>
      <w:szCs w:val="24"/>
      <w:lang w:eastAsia="zh-CN" w:bidi="ar-SA"/>
    </w:rPr>
  </w:style>
  <w:style w:type="paragraph" w:customStyle="1" w:styleId="74">
    <w:name w:val="方案“节”2"/>
    <w:basedOn w:val="5"/>
    <w:qFormat/>
    <w:uiPriority w:val="0"/>
    <w:pPr>
      <w:spacing w:line="360" w:lineRule="auto"/>
    </w:pPr>
    <w:rPr>
      <w:rFonts w:ascii="黑体" w:hAnsi="黑体"/>
      <w:sz w:val="24"/>
      <w:szCs w:val="24"/>
    </w:rPr>
  </w:style>
  <w:style w:type="paragraph" w:customStyle="1" w:styleId="75">
    <w:name w:val="方案“节”3"/>
    <w:basedOn w:val="6"/>
    <w:qFormat/>
    <w:uiPriority w:val="0"/>
    <w:pPr>
      <w:spacing w:line="240" w:lineRule="auto"/>
    </w:pPr>
    <w:rPr>
      <w:rFonts w:ascii="宋体" w:hAnsi="宋体" w:eastAsia="宋体"/>
    </w:rPr>
  </w:style>
  <w:style w:type="paragraph" w:customStyle="1" w:styleId="76">
    <w:name w:val="方案图片表格"/>
    <w:basedOn w:val="1"/>
    <w:qFormat/>
    <w:uiPriority w:val="0"/>
    <w:pPr>
      <w:widowControl w:val="0"/>
      <w:adjustRightInd w:val="0"/>
      <w:snapToGrid w:val="0"/>
      <w:ind w:firstLine="482"/>
      <w:jc w:val="center"/>
    </w:pPr>
    <w:rPr>
      <w:rFonts w:ascii="宋体" w:hAnsi="宋体"/>
      <w:b/>
      <w:bCs/>
      <w:lang w:eastAsia="zh-CN"/>
    </w:rPr>
  </w:style>
  <w:style w:type="character" w:customStyle="1" w:styleId="77">
    <w:name w:val="表格内文字(居中) Char Char"/>
    <w:qFormat/>
    <w:uiPriority w:val="0"/>
    <w:rPr>
      <w:rFonts w:ascii="宋体" w:hAnsi="宋体" w:eastAsia="宋体"/>
      <w:b/>
      <w:szCs w:val="18"/>
    </w:rPr>
  </w:style>
  <w:style w:type="paragraph" w:customStyle="1" w:styleId="78">
    <w:name w:val="表格内：文字"/>
    <w:basedOn w:val="1"/>
    <w:qFormat/>
    <w:uiPriority w:val="0"/>
    <w:pPr>
      <w:spacing w:line="240" w:lineRule="auto"/>
      <w:ind w:firstLine="0" w:firstLineChars="0"/>
      <w:jc w:val="center"/>
    </w:pPr>
    <w:rPr>
      <w:rFonts w:ascii="宋体" w:hAnsi="宋体"/>
      <w:sz w:val="21"/>
      <w:szCs w:val="21"/>
      <w:lang w:eastAsia="zh-CN"/>
    </w:rPr>
  </w:style>
  <w:style w:type="paragraph" w:customStyle="1" w:styleId="79">
    <w:name w:val="图表名"/>
    <w:basedOn w:val="1"/>
    <w:next w:val="1"/>
    <w:qFormat/>
    <w:uiPriority w:val="0"/>
    <w:pPr>
      <w:widowControl w:val="0"/>
      <w:adjustRightInd w:val="0"/>
      <w:snapToGrid w:val="0"/>
      <w:ind w:firstLine="0" w:firstLineChars="0"/>
      <w:jc w:val="center"/>
    </w:pPr>
    <w:rPr>
      <w:b/>
      <w:color w:val="000000"/>
      <w:kern w:val="2"/>
      <w:szCs w:val="24"/>
      <w:lang w:eastAsia="zh-CN" w:bidi="ar-SA"/>
    </w:rPr>
  </w:style>
  <w:style w:type="paragraph" w:customStyle="1" w:styleId="80">
    <w:name w:val="图表内容格式"/>
    <w:basedOn w:val="1"/>
    <w:next w:val="1"/>
    <w:qFormat/>
    <w:uiPriority w:val="0"/>
    <w:pPr>
      <w:widowControl w:val="0"/>
      <w:adjustRightInd w:val="0"/>
      <w:snapToGrid w:val="0"/>
      <w:spacing w:line="240" w:lineRule="auto"/>
      <w:ind w:firstLine="0" w:firstLineChars="0"/>
      <w:jc w:val="center"/>
    </w:pPr>
    <w:rPr>
      <w:kern w:val="2"/>
      <w:sz w:val="21"/>
      <w:lang w:eastAsia="zh-CN" w:bidi="ar-SA"/>
    </w:rPr>
  </w:style>
  <w:style w:type="character" w:customStyle="1" w:styleId="81">
    <w:name w:val="标题 3 Char1"/>
    <w:qFormat/>
    <w:uiPriority w:val="0"/>
    <w:rPr>
      <w:rFonts w:eastAsia="仿宋_GB2312"/>
      <w:kern w:val="2"/>
      <w:sz w:val="28"/>
      <w:lang w:val="en-US" w:eastAsia="zh-CN" w:bidi="ar-SA"/>
    </w:rPr>
  </w:style>
  <w:style w:type="paragraph" w:customStyle="1" w:styleId="82">
    <w:name w:val="标题1最终版"/>
    <w:basedOn w:val="1"/>
    <w:qFormat/>
    <w:uiPriority w:val="0"/>
    <w:pPr>
      <w:widowControl w:val="0"/>
      <w:spacing w:before="50" w:beforeLines="50" w:line="480" w:lineRule="auto"/>
      <w:ind w:firstLine="0" w:firstLineChars="0"/>
      <w:jc w:val="both"/>
      <w:outlineLvl w:val="0"/>
    </w:pPr>
    <w:rPr>
      <w:rFonts w:ascii="黑体" w:hAnsi="黑体" w:eastAsia="黑体" w:cs="宋体"/>
      <w:bCs/>
      <w:kern w:val="2"/>
      <w:sz w:val="28"/>
      <w:szCs w:val="32"/>
      <w:lang w:eastAsia="zh-CN" w:bidi="ar-SA"/>
    </w:rPr>
  </w:style>
  <w:style w:type="paragraph" w:customStyle="1" w:styleId="83">
    <w:name w:val="标题（五桥）"/>
    <w:basedOn w:val="1"/>
    <w:qFormat/>
    <w:uiPriority w:val="0"/>
    <w:pPr>
      <w:jc w:val="center"/>
    </w:pPr>
    <w:rPr>
      <w:rFonts w:ascii="宋体" w:hAnsi="宋体"/>
      <w:b/>
      <w:snapToGrid w:val="0"/>
      <w:spacing w:val="8"/>
    </w:rPr>
  </w:style>
  <w:style w:type="paragraph" w:customStyle="1" w:styleId="84">
    <w:name w:val="样式 正  文 + 宋体"/>
    <w:basedOn w:val="1"/>
    <w:qFormat/>
    <w:uiPriority w:val="0"/>
    <w:pPr>
      <w:adjustRightInd w:val="0"/>
      <w:snapToGrid w:val="0"/>
    </w:pPr>
    <w:rPr>
      <w:rFonts w:hAnsi="宋体" w:cs="宋体"/>
      <w:kern w:val="0"/>
      <w:szCs w:val="20"/>
    </w:rPr>
  </w:style>
  <w:style w:type="paragraph" w:customStyle="1" w:styleId="85">
    <w:name w:val="正文薛"/>
    <w:basedOn w:val="86"/>
    <w:qFormat/>
    <w:uiPriority w:val="0"/>
    <w:pPr>
      <w:jc w:val="left"/>
    </w:pPr>
    <w:rPr>
      <w:rFonts w:ascii="宋体" w:hAnsi="宋体" w:eastAsia="宋体" w:cs="宋体-18030"/>
      <w:lang w:bidi="en-US"/>
    </w:rPr>
  </w:style>
  <w:style w:type="paragraph" w:customStyle="1" w:styleId="86">
    <w:name w:val="正文2.13"/>
    <w:basedOn w:val="87"/>
    <w:qFormat/>
    <w:uiPriority w:val="0"/>
  </w:style>
  <w:style w:type="paragraph" w:customStyle="1" w:styleId="87">
    <w:name w:val="标书正文"/>
    <w:basedOn w:val="1"/>
    <w:qFormat/>
    <w:uiPriority w:val="0"/>
    <w:pPr>
      <w:widowControl w:val="0"/>
      <w:topLinePunct/>
      <w:adjustRightInd w:val="0"/>
      <w:snapToGrid w:val="0"/>
      <w:ind w:firstLine="480"/>
    </w:pPr>
    <w:rPr>
      <w:rFonts w:ascii="仿宋_GB2312" w:eastAsia="仿宋_GB2312"/>
      <w:kern w:val="2"/>
      <w:szCs w:val="24"/>
      <w:lang w:eastAsia="zh-CN" w:bidi="ar-SA"/>
    </w:rPr>
  </w:style>
  <w:style w:type="paragraph" w:customStyle="1" w:styleId="88">
    <w:name w:val="正文（五桥）"/>
    <w:basedOn w:val="1"/>
    <w:qFormat/>
    <w:uiPriority w:val="0"/>
    <w:pPr>
      <w:adjustRightInd w:val="0"/>
      <w:jc w:val="both"/>
    </w:pPr>
    <w:rPr>
      <w:rFonts w:ascii="宋体" w:hAnsi="宋体"/>
    </w:rPr>
  </w:style>
  <w:style w:type="paragraph" w:customStyle="1" w:styleId="89">
    <w:name w:val="3正文"/>
    <w:basedOn w:val="1"/>
    <w:qFormat/>
    <w:uiPriority w:val="0"/>
    <w:pPr>
      <w:jc w:val="left"/>
    </w:pPr>
    <w:rPr>
      <w:rFonts w:ascii="Times New Roman" w:hAnsi="Times New Roman"/>
      <w:kern w:val="0"/>
    </w:rPr>
  </w:style>
  <w:style w:type="paragraph" w:customStyle="1" w:styleId="90">
    <w:name w:val="1.1（五桥）"/>
    <w:basedOn w:val="1"/>
    <w:qFormat/>
    <w:uiPriority w:val="0"/>
    <w:pPr>
      <w:ind w:firstLine="0" w:firstLineChars="0"/>
      <w:outlineLvl w:val="1"/>
    </w:pPr>
    <w:rPr>
      <w:rFonts w:ascii="宋体" w:hAnsi="宋体"/>
      <w:b/>
      <w:kern w:val="0"/>
    </w:rPr>
  </w:style>
  <w:style w:type="paragraph" w:styleId="91">
    <w:name w:val="List Paragraph"/>
    <w:basedOn w:val="1"/>
    <w:qFormat/>
    <w:uiPriority w:val="99"/>
    <w:pPr>
      <w:spacing w:before="12"/>
      <w:ind w:left="1178" w:hanging="323"/>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42E8EE-13B5-4E7F-8E75-CDF53ABE4864}">
  <ds:schemaRefs/>
</ds:datastoreItem>
</file>

<file path=docProps/app.xml><?xml version="1.0" encoding="utf-8"?>
<Properties xmlns="http://schemas.openxmlformats.org/officeDocument/2006/extended-properties" xmlns:vt="http://schemas.openxmlformats.org/officeDocument/2006/docPropsVTypes">
  <Template>Normal</Template>
  <Company>cumt</Company>
  <Pages>21</Pages>
  <Words>9060</Words>
  <Characters>10185</Characters>
  <Lines>95</Lines>
  <Paragraphs>26</Paragraphs>
  <TotalTime>15</TotalTime>
  <ScaleCrop>false</ScaleCrop>
  <LinksUpToDate>false</LinksUpToDate>
  <CharactersWithSpaces>10542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2022-08-28T07:15:00Z</dcterms:created>
  <dc:creator>葛 嵇南</dc:creator>
  <cp:lastModifiedBy>王哲</cp:lastModifiedBy>
  <cp:lastPrinted>2023-09-07T10:02:20Z</cp:lastPrinted>
  <dcterms:modified xsi:type="dcterms:W3CDTF">2023-09-07T10:13:34Z</dcterms:modified>
  <dc:title>渝黔铁路方案</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2052-11.1.0.14309</vt:lpwstr>
  </property>
  <property fmtid="{D5CDD505-2E9C-101B-9397-08002B2CF9AE}" pid="4" name="ICV">
    <vt:lpwstr>24CB4BFDF78949D59B9A2879F31B6826_13</vt:lpwstr>
  </property>
</Properties>
</file>