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before="0" w:after="80"/>
      </w:pPr>
      <w:r>
        <w:rPr>
          <w:rFonts w:ascii="Calibri" w:hAnsi="Calibri" w:eastAsia="Microsoft YaHei"/>
          <w:b/>
          <w:color w:val="000000"/>
          <w:sz w:val="46"/>
        </w:rPr>
        <w:t>华东智联供应链有限公司</w:t>
      </w:r>
    </w:p>
    <w:p>
      <w:pPr>
        <w:spacing w:after="320"/>
      </w:pPr>
      <w:r>
        <w:rPr>
          <w:rFonts w:ascii="Calibri" w:hAnsi="Calibri" w:eastAsia="Microsoft YaHei"/>
          <w:color w:val="373737"/>
          <w:sz w:val="28"/>
        </w:rPr>
        <w:t>2026年度合规风险自查材料</w:t>
      </w:r>
    </w:p>
    <w:p>
      <w:pPr>
        <w:spacing w:after="40"/>
      </w:pPr>
      <w:r>
        <w:rPr>
          <w:rFonts w:ascii="Calibri" w:hAnsi="Calibri" w:eastAsia="Microsoft YaHei"/>
          <w:b/>
        </w:rPr>
        <w:t>材料性质：</w:t>
      </w:r>
      <w:r>
        <w:rPr>
          <w:rFonts w:ascii="Calibri" w:hAnsi="Calibri" w:eastAsia="Microsoft YaHei"/>
        </w:rPr>
        <w:t>内部合规自查记录（演示样例）</w:t>
      </w:r>
    </w:p>
    <w:p>
      <w:pPr>
        <w:spacing w:after="40"/>
      </w:pPr>
      <w:r>
        <w:rPr>
          <w:rFonts w:ascii="Calibri" w:hAnsi="Calibri" w:eastAsia="Microsoft YaHei"/>
          <w:b/>
        </w:rPr>
        <w:t>评估期间：</w:t>
      </w:r>
      <w:r>
        <w:rPr>
          <w:rFonts w:ascii="Calibri" w:hAnsi="Calibri" w:eastAsia="Microsoft YaHei"/>
        </w:rPr>
        <w:t>2026年1月至2026年7月</w:t>
      </w:r>
    </w:p>
    <w:p>
      <w:pPr>
        <w:spacing w:after="40"/>
      </w:pPr>
      <w:r>
        <w:rPr>
          <w:rFonts w:ascii="Calibri" w:hAnsi="Calibri" w:eastAsia="Microsoft YaHei"/>
          <w:b/>
        </w:rPr>
        <w:t>业务范围：</w:t>
      </w:r>
      <w:r>
        <w:rPr>
          <w:rFonts w:ascii="Calibri" w:hAnsi="Calibri" w:eastAsia="Microsoft YaHei"/>
        </w:rPr>
        <w:t>供应链采购、仓储配送、线上营销及跨境客户服务</w:t>
      </w:r>
    </w:p>
    <w:p>
      <w:pPr>
        <w:spacing w:after="40"/>
      </w:pPr>
      <w:r>
        <w:rPr>
          <w:rFonts w:ascii="Calibri" w:hAnsi="Calibri" w:eastAsia="Microsoft YaHei"/>
          <w:b/>
        </w:rPr>
        <w:t>编制说明：</w:t>
      </w:r>
      <w:r>
        <w:rPr>
          <w:rFonts w:ascii="Calibri" w:hAnsi="Calibri" w:eastAsia="Microsoft YaHei"/>
        </w:rPr>
        <w:t>以下事项均为虚构情形，用于验证风险识别、指标匹配和报告展示。</w:t>
      </w:r>
    </w:p>
    <w:p>
      <w:pPr>
        <w:spacing w:before="280" w:after="240"/>
        <w:ind w:left="173" w:right="173"/>
        <w:shd w:fill="F2F4F7"/>
      </w:pPr>
      <w:r>
        <w:rPr>
          <w:rFonts w:ascii="Calibri" w:hAnsi="Calibri" w:eastAsia="Microsoft YaHei"/>
          <w:b/>
          <w:color w:val="1F4D78"/>
        </w:rPr>
        <w:t>风险提示：本材料故意设置多类未完成整改事项，以便基线系统产生可观察的指标结果和风险清单。</w:t>
      </w:r>
    </w:p>
    <w:p>
      <w:pPr>
        <w:pStyle w:val="Heading1"/>
      </w:pPr>
      <w:r>
        <w:t>一、企业与经营概况</w:t>
      </w:r>
    </w:p>
    <w:p>
      <w:r>
        <w:t>华东智联供应链有限公司为区域性供应链服务企业，主要为制造企业提供采购代理、仓储配送、渠道推广和客户数据管理服务，公司现有员工二百余人，并与七十余家供应商保持长期合作。</w:t>
      </w:r>
    </w:p>
    <w:p>
      <w:r>
        <w:t>本次内部检查发现部分采购、营销、用工和数据管理制度尚未有效执行，个别事项已经启动整改，但截至材料编制日仍未形成完整的审批记录、验收材料或闭环证据。</w:t>
      </w:r>
    </w:p>
    <w:p>
      <w:pPr>
        <w:pStyle w:val="Heading1"/>
      </w:pPr>
      <w:r>
        <w:t>二、采购与供应商管理</w:t>
      </w:r>
    </w:p>
    <w:p>
      <w:pPr>
        <w:keepLines/>
      </w:pPr>
      <w:r>
        <w:rPr>
          <w:rFonts w:ascii="Calibri" w:hAnsi="Calibri" w:eastAsia="Microsoft YaHei"/>
          <w:b/>
          <w:color w:val="1F4D78"/>
        </w:rPr>
        <w:t>发现事项一：</w:t>
      </w:r>
      <w:r>
        <w:rPr>
          <w:rFonts w:ascii="Calibri" w:hAnsi="Calibri" w:eastAsia="Microsoft YaHei"/>
        </w:rPr>
        <w:t>采购部门在引入三家物流供应商时仅收集营业执照，未完成资质核验、失信记录查询和年度风险复审，相关供应商合同也未约定反商业贿赂及审计配合条款。</w:t>
      </w:r>
    </w:p>
    <w:p>
      <w:pPr>
        <w:keepLines/>
      </w:pPr>
      <w:r>
        <w:rPr>
          <w:rFonts w:ascii="Calibri" w:hAnsi="Calibri" w:eastAsia="Microsoft YaHei"/>
          <w:b/>
          <w:color w:val="1F4D78"/>
        </w:rPr>
        <w:t>发现事项二：</w:t>
      </w:r>
      <w:r>
        <w:rPr>
          <w:rFonts w:ascii="Calibri" w:hAnsi="Calibri" w:eastAsia="Microsoft YaHei"/>
        </w:rPr>
        <w:t>一项金额一百二十万元的仓储设备采购采用单一来源方式，项目档案中没有保存比价记录、例外审批意见和集体决策材料，采购负责人无法说明跳过竞争程序的充分理由。</w:t>
      </w:r>
    </w:p>
    <w:p>
      <w:pPr>
        <w:keepLines/>
      </w:pPr>
      <w:r>
        <w:rPr>
          <w:rFonts w:ascii="Calibri" w:hAnsi="Calibri" w:eastAsia="Microsoft YaHei"/>
          <w:b/>
          <w:color w:val="1F4D78"/>
        </w:rPr>
        <w:t>发现事项三：</w:t>
      </w:r>
      <w:r>
        <w:rPr>
          <w:rFonts w:ascii="Calibri" w:hAnsi="Calibri" w:eastAsia="Microsoft YaHei"/>
        </w:rPr>
        <w:t>采购经理在供应商年度评价期间收受合作方赠送的购物卡和宴请，折合价值约八千元，未按照公司制度申报登记，该供应商随后仍被评定为优先合作单位。</w:t>
      </w:r>
    </w:p>
    <w:p>
      <w:pPr>
        <w:keepLines/>
      </w:pPr>
      <w:r>
        <w:rPr>
          <w:rFonts w:ascii="Calibri" w:hAnsi="Calibri" w:eastAsia="Microsoft YaHei"/>
          <w:b/>
          <w:color w:val="1F4D78"/>
        </w:rPr>
        <w:t>发现事项四：</w:t>
      </w:r>
      <w:r>
        <w:rPr>
          <w:rFonts w:ascii="Calibri" w:hAnsi="Calibri" w:eastAsia="Microsoft YaHei"/>
        </w:rPr>
        <w:t>公司对两家关键原材料供应商存在较高依赖，但尚未建立替代供应商清单和中断应急预案，最近一次交付延迟已造成客户订单延期，相关处置过程没有形成书面复盘。</w:t>
      </w:r>
    </w:p>
    <w:p>
      <w:pPr>
        <w:pStyle w:val="Heading1"/>
      </w:pPr>
      <w:r>
        <w:t>三、产品宣传与客户管理</w:t>
      </w:r>
    </w:p>
    <w:p>
      <w:pPr>
        <w:keepLines/>
      </w:pPr>
      <w:r>
        <w:rPr>
          <w:rFonts w:ascii="Calibri" w:hAnsi="Calibri" w:eastAsia="Microsoft YaHei"/>
          <w:b/>
          <w:color w:val="1F4D78"/>
        </w:rPr>
        <w:t>发现事项五：</w:t>
      </w:r>
      <w:r>
        <w:rPr>
          <w:rFonts w:ascii="Calibri" w:hAnsi="Calibri" w:eastAsia="Microsoft YaHei"/>
        </w:rPr>
        <w:t>市场部门在官网和宣传材料中使用行业领先、零风险保障等绝对化表述，但未能提供第三方检测报告、市场排名依据或法务审核记录，部分宣传页面目前仍可访问。</w:t>
      </w:r>
    </w:p>
    <w:p>
      <w:pPr>
        <w:keepLines/>
      </w:pPr>
      <w:r>
        <w:rPr>
          <w:rFonts w:ascii="Calibri" w:hAnsi="Calibri" w:eastAsia="Microsoft YaHei"/>
          <w:b/>
          <w:color w:val="1F4D78"/>
        </w:rPr>
        <w:t>发现事项六：</w:t>
      </w:r>
      <w:r>
        <w:rPr>
          <w:rFonts w:ascii="Calibri" w:hAnsi="Calibri" w:eastAsia="Microsoft YaHei"/>
        </w:rPr>
        <w:t>公司开展有奖销售活动时公布了最高奖励金额，但没有在显著位置完整披露中奖概率、兑奖条件和有效期限，客服部门已经收到多起消费者投诉。</w:t>
      </w:r>
    </w:p>
    <w:p>
      <w:pPr>
        <w:keepLines/>
      </w:pPr>
      <w:r>
        <w:rPr>
          <w:rFonts w:ascii="Calibri" w:hAnsi="Calibri" w:eastAsia="Microsoft YaHei"/>
          <w:b/>
          <w:color w:val="1F4D78"/>
        </w:rPr>
        <w:t>发现事项七：</w:t>
      </w:r>
      <w:r>
        <w:rPr>
          <w:rFonts w:ascii="Calibri" w:hAnsi="Calibri" w:eastAsia="Microsoft YaHei"/>
        </w:rPr>
        <w:t>客户投诉台账显示某批次智能仓储设备发生重复故障，公司仅安排维修，没有启动缺陷调查、风险告知或召回评估，售后问题尚未形成关闭结论。</w:t>
      </w:r>
    </w:p>
    <w:p>
      <w:pPr>
        <w:pStyle w:val="Heading1"/>
      </w:pPr>
      <w:r>
        <w:t>四、劳动用工管理</w:t>
      </w:r>
    </w:p>
    <w:p>
      <w:pPr>
        <w:keepLines/>
      </w:pPr>
      <w:r>
        <w:rPr>
          <w:rFonts w:ascii="Calibri" w:hAnsi="Calibri" w:eastAsia="Microsoft YaHei"/>
          <w:b/>
          <w:color w:val="1F4D78"/>
        </w:rPr>
        <w:t>发现事项八：</w:t>
      </w:r>
      <w:r>
        <w:rPr>
          <w:rFonts w:ascii="Calibri" w:hAnsi="Calibri" w:eastAsia="Microsoft YaHei"/>
        </w:rPr>
        <w:t>公司有十八名临时用工人员连续工作超过三个月仍未签订书面劳动合同，其中十二人未按实际工资基数足额缴纳社会保险，人员档案中缺少岗位风险告知记录。</w:t>
      </w:r>
    </w:p>
    <w:p>
      <w:pPr>
        <w:keepLines/>
      </w:pPr>
      <w:r>
        <w:rPr>
          <w:rFonts w:ascii="Calibri" w:hAnsi="Calibri" w:eastAsia="Microsoft YaHei"/>
          <w:b/>
          <w:color w:val="1F4D78"/>
        </w:rPr>
        <w:t>发现事项九：</w:t>
      </w:r>
      <w:r>
        <w:rPr>
          <w:rFonts w:ascii="Calibri" w:hAnsi="Calibri" w:eastAsia="Microsoft YaHei"/>
        </w:rPr>
        <w:t>仓储中心在业务高峰期安排部分员工月加班超过六十小时，未履行特殊工时审批程序，也未完整保存员工同意、调休安排和加班费支付凭证。</w:t>
      </w:r>
    </w:p>
    <w:p>
      <w:pPr>
        <w:pStyle w:val="Heading1"/>
      </w:pPr>
      <w:r>
        <w:t>五、关联交易与企业信用</w:t>
      </w:r>
    </w:p>
    <w:p>
      <w:pPr>
        <w:keepLines/>
      </w:pPr>
      <w:r>
        <w:rPr>
          <w:rFonts w:ascii="Calibri" w:hAnsi="Calibri" w:eastAsia="Microsoft YaHei"/>
          <w:b/>
          <w:color w:val="1F4D78"/>
        </w:rPr>
        <w:t>发现事项十：</w:t>
      </w:r>
      <w:r>
        <w:rPr>
          <w:rFonts w:ascii="Calibri" w:hAnsi="Calibri" w:eastAsia="Microsoft YaHei"/>
        </w:rPr>
        <w:t>公司向实际控制人亲属经营的运输企业采购服务，年度交易金额约二百四十万元，但未履行关联关系申报、价格公允性比较和关联交易审批程序。</w:t>
      </w:r>
    </w:p>
    <w:p>
      <w:pPr>
        <w:keepLines/>
      </w:pPr>
      <w:r>
        <w:rPr>
          <w:rFonts w:ascii="Calibri" w:hAnsi="Calibri" w:eastAsia="Microsoft YaHei"/>
          <w:b/>
          <w:color w:val="1F4D78"/>
        </w:rPr>
        <w:t>发现事项十一：</w:t>
      </w:r>
      <w:r>
        <w:rPr>
          <w:rFonts w:ascii="Calibri" w:hAnsi="Calibri" w:eastAsia="Microsoft YaHei"/>
        </w:rPr>
        <w:t>公司存在三十二万元税款逾期未缴事项，并收到行政机关限期改正通知，管理层尚未明确整改责任人和完成日期，对外合作资料中也未披露该信用风险。</w:t>
      </w:r>
    </w:p>
    <w:p>
      <w:pPr>
        <w:pStyle w:val="Heading1"/>
      </w:pPr>
      <w:r>
        <w:t>六、数据与跨境经营</w:t>
      </w:r>
    </w:p>
    <w:p>
      <w:pPr>
        <w:keepLines/>
      </w:pPr>
      <w:r>
        <w:rPr>
          <w:rFonts w:ascii="Calibri" w:hAnsi="Calibri" w:eastAsia="Microsoft YaHei"/>
          <w:b/>
          <w:color w:val="1F4D78"/>
        </w:rPr>
        <w:t>发现事项十二：</w:t>
      </w:r>
      <w:r>
        <w:rPr>
          <w:rFonts w:ascii="Calibri" w:hAnsi="Calibri" w:eastAsia="Microsoft YaHei"/>
        </w:rPr>
        <w:t>线上客户系统收集联系人身份证号码、手机号码和定位信息时，仅以默认勾选方式取得授权，没有提供单独同意选项，也未明确说明保存期限和删除渠道。</w:t>
      </w:r>
    </w:p>
    <w:p>
      <w:pPr>
        <w:keepLines/>
      </w:pPr>
      <w:r>
        <w:rPr>
          <w:rFonts w:ascii="Calibri" w:hAnsi="Calibri" w:eastAsia="Microsoft YaHei"/>
          <w:b/>
          <w:color w:val="1F4D78"/>
        </w:rPr>
        <w:t>发现事项十三：</w:t>
      </w:r>
      <w:r>
        <w:rPr>
          <w:rFonts w:ascii="Calibri" w:hAnsi="Calibri" w:eastAsia="Microsoft YaHei"/>
        </w:rPr>
        <w:t>公司将约三万条境内客户联系信息同步给境外客户服务商进行工单处理，但尚未完成数据出境风险评估、个人信息保护影响评估和境外接收方合同审查。</w:t>
      </w:r>
    </w:p>
    <w:p>
      <w:pPr>
        <w:keepLines/>
      </w:pPr>
      <w:r>
        <w:rPr>
          <w:rFonts w:ascii="Calibri" w:hAnsi="Calibri" w:eastAsia="Microsoft YaHei"/>
          <w:b/>
          <w:color w:val="1F4D78"/>
        </w:rPr>
        <w:t>发现事项十四：</w:t>
      </w:r>
      <w:r>
        <w:rPr>
          <w:rFonts w:ascii="Calibri" w:hAnsi="Calibri" w:eastAsia="Microsoft YaHei"/>
        </w:rPr>
        <w:t>信息系统权限检查发现五名离职员工账号仍可访问客户资料，日志中存在离职后登录记录，公司尚未完成异常访问范围调查和受影响客户告知评估。</w:t>
      </w:r>
    </w:p>
    <w:p>
      <w:pPr>
        <w:pStyle w:val="Heading1"/>
      </w:pPr>
      <w:r>
        <w:t>七、整改进展</w:t>
      </w:r>
    </w:p>
    <w:p>
      <w:r>
        <w:t>公司已成立整改工作组，计划补充供应商尽调、采购审批、员工合同和数据处理记录，但目前只有整改计划，没有形成完成证明，相关高风险事项仍处于处理中。</w:t>
      </w:r>
    </w:p>
    <w:p>
      <w:r>
        <w:t>管理层要求在三十日内完成第一轮整改复核，并由合规部门对未关闭事项持续跟踪；本材料提交时，尚无事项通过独立复核确认关闭。</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6666"/>
        <w:sz w:val="17"/>
      </w:rPr>
      <w:t>数据均为虚构，仅用于系统功能演示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6666"/>
        <w:sz w:val="18"/>
      </w:rPr>
      <w:t>合规风险自查材料  |  基线演示样例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华东智联供应链有限公司合规风险自查材料（基线演示样例）</dc:title>
  <dc:subject>风险预警平台基线演示上传材料</dc:subject>
  <dc:creator>Risk Warning Platform Demo</dc:creator>
  <cp:keywords>合规, 风险, 供应链, 演示样例</cp:keywords>
  <dc:description>generated by python-docx</dc:description>
  <cp:lastModifiedBy/>
  <cp:revision>1</cp:revision>
  <dcterms:created xsi:type="dcterms:W3CDTF">2013-12-23T23:15:00Z</dcterms:created>
  <dcterms:modified xsi:type="dcterms:W3CDTF">2013-12-23T23:15:00Z</dcterms:modified>
  <cp:category/>
</cp:coreProperties>
</file>