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周期 </w:t>
      </w:r>
    </w:p>
    <w:p>
      <w:pPr>
        <w:bidi w:val="0"/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——华泰证券_行业轮动系列报告之八：再探周期视角下的资产轮动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整体策略：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宏观择时</w:t>
      </w:r>
      <w:r>
        <w:rPr>
          <w:rFonts w:hint="eastAsia"/>
          <w:lang w:val="en-US" w:eastAsia="zh-CN"/>
        </w:rPr>
        <w:t xml:space="preserve">，基于代理指标合成经济周期和流动性周期，判断当前宏观状态，确定大类 资产间的风险预算分配比例（记为 E：B：C） 。如果不需要配置某个大类资产，只需 要将分配给该资产的风险预算设置为 0 即可。 </w: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中观配置</w:t>
      </w:r>
      <w:r>
        <w:rPr>
          <w:rFonts w:hint="eastAsia"/>
          <w:lang w:val="en-US" w:eastAsia="zh-CN"/>
        </w:rPr>
        <w:t xml:space="preserve">，根据前文梳理得到的投资时钟，判断当前宏观状态下应该配置哪些细分资 产，进行预算再分配，也即将分配给大类资产的预算等分给被选中的细分资产。以经 济周期上行且流动性周期上行为例，股票资产内部配置的是周期板块和金融板块，两 者的预算分别为 E/2；债券资产内部配置的是长久期债，预算为 B；商品资产内部配 置的是南华金属指数和南华工业品指数，预算分别为 C/2。 </w:t>
      </w:r>
    </w:p>
    <w:p>
      <w:pPr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eastAsia"/>
          <w:color w:val="FF0000"/>
          <w:lang w:val="en-US" w:eastAsia="zh-CN"/>
        </w:rPr>
        <w:t>组合优化</w:t>
      </w:r>
      <w:r>
        <w:rPr>
          <w:rFonts w:hint="eastAsia"/>
          <w:lang w:val="en-US" w:eastAsia="zh-CN"/>
        </w:rPr>
        <w:t xml:space="preserve">，将所有资产的风险预算归一化，基于 CCD 法或牛顿法（算法原理和实现 参见报告《“华泰周期轮动”基金组合改进版》，20190514）求解，得到目标资产权 重，进而构建投资组合，显然，组合中各个资产贡献的风险占比满足我们预设的风险 预算配比。 </w:t>
      </w:r>
    </w:p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代理指标合成经济周期和流动性周期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股息贴现模型（DDM）是最常用的估值模型，其核心原理是将公司未来发放的全部股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利折现为现值来衡量当前股票的内在价值：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897890"/>
            <wp:effectExtent l="0" t="0" r="3175" b="1651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DDM 模型的核心在于分子端与分母端的拆解：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分子端跟企业盈利挂钩，理论上企业盈利水平越高，分红能力越强。而企业盈利 主要受实体经济景气度变化的影响，也即投资者常说的</w:t>
      </w:r>
      <w:r>
        <w:rPr>
          <w:rFonts w:hint="eastAsia"/>
          <w:color w:val="FF0000"/>
          <w:lang w:val="en-US" w:eastAsia="zh-CN"/>
        </w:rPr>
        <w:t>经济周期</w:t>
      </w:r>
      <w:r>
        <w:rPr>
          <w:rFonts w:hint="eastAsia"/>
          <w:lang w:val="en-US" w:eastAsia="zh-CN"/>
        </w:rPr>
        <w:t xml:space="preserve">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分母端跟无风险利率和风险溢价相关，其中，风险溢价难以定量刻画，暂不考虑； 而无风险利率主要受资金充裕程度的影响，也即投资者常说的</w:t>
      </w:r>
      <w:r>
        <w:rPr>
          <w:rFonts w:hint="eastAsia"/>
          <w:color w:val="FF0000"/>
          <w:lang w:val="en-US" w:eastAsia="zh-CN"/>
        </w:rPr>
        <w:t>流动性周期</w:t>
      </w:r>
      <w:r>
        <w:rPr>
          <w:rFonts w:hint="eastAsia"/>
          <w:lang w:val="en-US" w:eastAsia="zh-CN"/>
        </w:rPr>
        <w:t xml:space="preserve">。 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主要步骤：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梳理经济周期和流动性周期的代理指标，采用主成分合成（PCA）的方式进行降维， 得到表征经济周期和流动性周期走势的合成指标。 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根据合成后的经济周期和流动性周期走势，梳理不同宏观状态下的资产表现，得到周 期视角下的投资时钟。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结合风险预算模型构建自上而下的定量配置体系，实证投资时钟的表现</w:t>
      </w:r>
    </w:p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国内数据</w:t>
      </w:r>
    </w:p>
    <w:p>
      <w:pPr>
        <w:pStyle w:val="3"/>
        <w:numPr>
          <w:ilvl w:val="0"/>
          <w:numId w:val="3"/>
        </w:numPr>
        <w:bidi w:val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CPI（</w:t>
      </w:r>
      <w:r>
        <w:rPr>
          <w:rFonts w:hint="eastAsia" w:ascii="Arial" w:hAnsi="Arial" w:eastAsia="宋体" w:cs="Arial"/>
          <w:b w:val="0"/>
          <w:bCs/>
          <w:i w:val="0"/>
          <w:caps w:val="0"/>
          <w:color w:val="000000"/>
          <w:spacing w:val="0"/>
          <w:sz w:val="28"/>
          <w:szCs w:val="28"/>
          <w:shd w:val="clear" w:fill="FFFFFF"/>
        </w:rPr>
        <w:t>居民消费价格指数</w:t>
      </w:r>
      <w:r>
        <w:rPr>
          <w:rFonts w:hint="eastAsia" w:ascii="Arial" w:hAnsi="Arial" w:eastAsia="宋体" w:cs="Arial"/>
          <w:b w:val="0"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 xml:space="preserve"> 同步</w:t>
      </w:r>
      <w:r>
        <w:rPr>
          <w:rFonts w:hint="eastAsia"/>
          <w:b w:val="0"/>
          <w:bCs/>
          <w:sz w:val="28"/>
          <w:szCs w:val="28"/>
          <w:lang w:val="en-US" w:eastAsia="zh-CN"/>
        </w:rPr>
        <w:t xml:space="preserve">） 数据：1998-01至2019-06 </w:t>
      </w:r>
    </w:p>
    <w:p>
      <w:pPr>
        <w:pStyle w:val="3"/>
        <w:numPr>
          <w:ilvl w:val="0"/>
          <w:numId w:val="0"/>
        </w:numPr>
        <w:bidi w:val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来源：wind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483485"/>
            <wp:effectExtent l="0" t="0" r="6985" b="1206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483485"/>
            <wp:effectExtent l="0" t="0" r="698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94355"/>
            <wp:effectExtent l="0" t="0" r="571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2、PPI（</w:t>
      </w:r>
      <w:r>
        <w:rPr>
          <w:rFonts w:hint="eastAsia" w:ascii="Arial" w:hAnsi="Arial" w:eastAsia="宋体" w:cs="Arial"/>
          <w:b w:val="0"/>
          <w:bCs/>
          <w:i w:val="0"/>
          <w:caps w:val="0"/>
          <w:color w:val="000000"/>
          <w:spacing w:val="0"/>
          <w:sz w:val="18"/>
          <w:szCs w:val="18"/>
          <w:shd w:val="clear" w:fill="FFFFFF"/>
        </w:rPr>
        <w:t>工业生产者出厂价格指数</w:t>
      </w:r>
      <w:r>
        <w:rPr>
          <w:rFonts w:hint="eastAsia" w:ascii="Arial" w:hAnsi="Arial" w:eastAsia="宋体" w:cs="Arial"/>
          <w:b w:val="0"/>
          <w:bCs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同比</w:t>
      </w:r>
      <w:r>
        <w:rPr>
          <w:rFonts w:hint="eastAsia"/>
          <w:b w:val="0"/>
          <w:bCs/>
          <w:lang w:val="en-US" w:eastAsia="zh-CN"/>
        </w:rPr>
        <w:t xml:space="preserve">） </w:t>
      </w:r>
      <w:r>
        <w:rPr>
          <w:rFonts w:hint="eastAsia"/>
          <w:b w:val="0"/>
          <w:bCs/>
          <w:sz w:val="28"/>
          <w:szCs w:val="28"/>
          <w:lang w:val="en-US" w:eastAsia="zh-CN"/>
        </w:rPr>
        <w:t xml:space="preserve">数据：1996-10至2019-06 </w:t>
      </w:r>
    </w:p>
    <w:p>
      <w:pPr>
        <w:pStyle w:val="3"/>
        <w:numPr>
          <w:ilvl w:val="0"/>
          <w:numId w:val="0"/>
        </w:numPr>
        <w:bidi w:val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来源：wind</w:t>
      </w:r>
    </w:p>
    <w:p>
      <w:pPr>
        <w:pStyle w:val="3"/>
        <w:bidi w:val="0"/>
      </w:pPr>
      <w:r>
        <w:drawing>
          <wp:inline distT="0" distB="0" distL="114300" distR="114300">
            <wp:extent cx="5269865" cy="2483485"/>
            <wp:effectExtent l="0" t="0" r="6985" b="120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483485"/>
            <wp:effectExtent l="0" t="0" r="698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94990"/>
            <wp:effectExtent l="0" t="0" r="635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M1 同比，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83485"/>
            <wp:effectExtent l="0" t="0" r="6985" b="1206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483485"/>
            <wp:effectExtent l="0" t="0" r="698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73400"/>
            <wp:effectExtent l="0" t="0" r="571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M2同比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83485"/>
            <wp:effectExtent l="0" t="0" r="6985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83485"/>
            <wp:effectExtent l="0" t="0" r="698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084830"/>
            <wp:effectExtent l="0" t="0" r="635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M1-M2</w:t>
      </w:r>
      <w:r>
        <w:drawing>
          <wp:inline distT="0" distB="0" distL="114300" distR="114300">
            <wp:extent cx="5269865" cy="2483485"/>
            <wp:effectExtent l="0" t="0" r="6985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9865" cy="2483485"/>
            <wp:effectExtent l="0" t="0" r="6985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3103880"/>
            <wp:effectExtent l="0" t="0" r="1333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中债国债到期收益率:1年  （%）取每月最后一天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483485"/>
            <wp:effectExtent l="0" t="0" r="698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83485"/>
            <wp:effectExtent l="0" t="0" r="698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098165"/>
            <wp:effectExtent l="0" t="0" r="1016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中债国债到期收益率:10年  （%）取每月最后一天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83485"/>
            <wp:effectExtent l="0" t="0" r="6985" b="120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483485"/>
            <wp:effectExtent l="0" t="0" r="6985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3117215"/>
            <wp:effectExtent l="0" t="0" r="1460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房地产新开工施工面积 累计增长(%) 月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83485"/>
            <wp:effectExtent l="0" t="0" r="698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83485"/>
            <wp:effectExtent l="0" t="0" r="6985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155950"/>
            <wp:effectExtent l="0" t="0" r="381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未标准化，拟合后主成分提取第一个成分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187065"/>
            <wp:effectExtent l="0" t="0" r="8255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标准化后，主成分提取第一个成分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187065"/>
            <wp:effectExtent l="0" t="0" r="8255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PCA合成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3515" cy="2960370"/>
            <wp:effectExtent l="0" t="0" r="13335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306445"/>
            <wp:effectExtent l="0" t="0" r="2540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经济周期和流动性周期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2880" cy="2992755"/>
            <wp:effectExtent l="0" t="0" r="13970" b="171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经济周期，42月波形，及局部加权回归：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3515" cy="3045460"/>
            <wp:effectExtent l="0" t="0" r="13335" b="254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3016250"/>
            <wp:effectExtent l="0" t="0" r="12065" b="1270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D70836"/>
    <w:multiLevelType w:val="singleLevel"/>
    <w:tmpl w:val="ACD7083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D84236C5"/>
    <w:multiLevelType w:val="singleLevel"/>
    <w:tmpl w:val="D84236C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45E33EA"/>
    <w:multiLevelType w:val="singleLevel"/>
    <w:tmpl w:val="345E33EA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774F02"/>
    <w:rsid w:val="0ED61419"/>
    <w:rsid w:val="1A78087B"/>
    <w:rsid w:val="1DF8056C"/>
    <w:rsid w:val="5C5F36B8"/>
    <w:rsid w:val="602606A1"/>
    <w:rsid w:val="65546B24"/>
    <w:rsid w:val="76FC0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122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</dc:creator>
  <cp:lastModifiedBy>玉佩</cp:lastModifiedBy>
  <dcterms:modified xsi:type="dcterms:W3CDTF">2019-07-17T08:31:18Z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