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64" w:lineRule="auto"/>
      </w:pPr>
      <w:r>
        <w:rPr>
          <w:rFonts w:ascii="Calibri" w:hAnsi="Calibri" w:eastAsia="Microsoft YaHei"/>
          <w:b/>
          <w:color w:val="595959"/>
          <w:sz w:val="20"/>
        </w:rPr>
        <w:t>客户说明文档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00000"/>
          <w:sz w:val="46"/>
        </w:rPr>
        <w:t>明日之问｜本轮玩法逻辑修改说明（客户版）</w:t>
      </w:r>
    </w:p>
    <w:p>
      <w:pPr>
        <w:spacing w:before="0" w:after="280" w:line="288" w:lineRule="auto"/>
      </w:pPr>
      <w:r>
        <w:rPr>
          <w:rFonts w:ascii="Calibri" w:hAnsi="Calibri" w:eastAsia="Microsoft YaHei"/>
          <w:color w:val="595959"/>
          <w:sz w:val="25"/>
        </w:rPr>
        <w:t>面向客户说明本轮需求已落地后的玩法结果和数值口径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1"/>
        </w:rPr>
        <w:t>日期：</w:t>
      </w:r>
      <w:r>
        <w:rPr>
          <w:rFonts w:ascii="Calibri" w:hAnsi="Calibri" w:eastAsia="Microsoft YaHei"/>
          <w:sz w:val="21"/>
        </w:rPr>
        <w:t>2026-05-22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1"/>
        </w:rPr>
        <w:t>用途：</w:t>
      </w:r>
      <w:r>
        <w:rPr>
          <w:rFonts w:ascii="Calibri" w:hAnsi="Calibri" w:eastAsia="Microsoft YaHei"/>
          <w:sz w:val="21"/>
        </w:rPr>
        <w:t>向客户说明本轮需求已落地后的玩法结果和数值口径。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sz w:val="21"/>
        </w:rPr>
        <w:t>说明方式：</w:t>
      </w:r>
      <w:r>
        <w:rPr>
          <w:rFonts w:ascii="Calibri" w:hAnsi="Calibri" w:eastAsia="Microsoft YaHei"/>
          <w:sz w:val="21"/>
        </w:rPr>
        <w:t>本文只解释玩家能看到、能理解、能游玩的规则结果，不展开技术实现细节。</w:t>
      </w:r>
    </w:p>
    <w:p>
      <w:pPr>
        <w:spacing w:before="200" w:after="280" w:line="264" w:lineRule="auto"/>
        <w:pBdr>
          <w:bottom w:val="single" w:sz="12" w:space="6" w:color="2E74B5"/>
        </w:pBdr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1. 本轮交付结论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本轮已经把市场、工厂、财政、建交和封锁相关逻辑统一到当前确认口径。玩家现在看到的是一套更直接的工业化经营循环：</w:t>
      </w:r>
    </w:p>
    <w:p>
      <w:pPr>
        <w:numPr>
          <w:ilvl w:val="0"/>
          <w:numId w:val="10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用工厂预算购买材料、扩建工厂或升级工厂。</w:t>
      </w:r>
    </w:p>
    <w:p>
      <w:pPr>
        <w:numPr>
          <w:ilvl w:val="0"/>
          <w:numId w:val="10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用材料生产统一商品。</w:t>
      </w:r>
    </w:p>
    <w:p>
      <w:pPr>
        <w:numPr>
          <w:ilvl w:val="0"/>
          <w:numId w:val="10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把商品卖到国内或海外。</w:t>
      </w:r>
    </w:p>
    <w:p>
      <w:pPr>
        <w:numPr>
          <w:ilvl w:val="0"/>
          <w:numId w:val="10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销售收入回流到民间购买力、工厂预算和政府财政。</w:t>
      </w:r>
    </w:p>
    <w:p>
      <w:pPr>
        <w:numPr>
          <w:ilvl w:val="0"/>
          <w:numId w:val="10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再用新的资源继续扩大生产、研究科技、争夺海外容量和海上控制。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客户需求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当前版本结果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国内市场按需求和购买力计算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已改为动态价格：民间购买力越高、需求越高，国内价格越有支撑；一次投放过多会降价，但不会禁止出售。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海外市场固定价格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已改为区域固定价：欧洲最高，非洲最低；政策不再提高海外单价。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海外市场不要建交门槛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已删除建交前置；海外默认开放，主要受容量和封锁影响。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政府侧只保留一个海外扩容政策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已只保留“贸易促进”，作用是提高海外容量，不提高海外价格。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市场竞争不加价格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已改为竞争成功只增加该区域额外可售容量。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海军演练不要作为海外扩容入口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已从当前玩家动作中移除。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工厂用总池，不要单行业上限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已改为只看国家总工厂上限；例如英国总上限 16，就可以理论上全部发展成 16 个电气化工厂。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材料按数量购买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已改为玩家选择购买数量，各国有不同的每回合购买上限。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不要两个政府池子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已删除“政策专项额度”，只保留政府财政和行政力。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封锁要让玩家看懂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已改为在海外地区上直接显示开放、被封锁或本国独占。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2. 市场逻辑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2.1 国内市场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国内市场现在不是固定价格，也不是硬性限量出售。它会根据本国经济状态自动变化。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玩家可以这样理解：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民间购买力越高，国内市场越有钱，同样数量的商品更容易卖出高价。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工厂越多、产业越高级，国内社会和产业需求越大，国内市场能承接更多商品。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投放商品少于需求时，市场偏缺货，价格更高。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投放商品接近需求时，价格接近正常水平。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投放商品明显超过需求时，市场偏过剩，价格下降。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当前国内最低成交价为 1，避免商品完全卖不出去。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所以前期国内市场通常价格偏低，玩家更适合先靠海外市场拿启动资金。随着收入回流、工厂增加、产业升级，国内市场的购买力和需求会一起成长，后期国内销售会更有价值。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2.2 市场计算口径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这里用玩家能理解的方式说明市场价格是怎么推出来的。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国内市场先看两个基础数字：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数字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含义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怎么来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民间购买力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本国市场本轮有多少钱买商品。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来自上一轮销售收入回流，以及少量初始资源。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国内承接量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本国市场本轮大约能舒服吃下多少商品。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来自闲置工厂、手工业、机械化、蒸汽、电气化带来的需求。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国内单价的推理顺序为：</w:t>
      </w:r>
    </w:p>
    <w:p>
      <w:pPr>
        <w:numPr>
          <w:ilvl w:val="0"/>
          <w:numId w:val="11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先用民间购买力除以国内承接量，得到一个“正常单价”。</w:t>
      </w:r>
    </w:p>
    <w:p>
      <w:pPr>
        <w:numPr>
          <w:ilvl w:val="0"/>
          <w:numId w:val="11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再看玩家本轮投放了多少商品。</w:t>
      </w:r>
    </w:p>
    <w:p>
      <w:pPr>
        <w:numPr>
          <w:ilvl w:val="0"/>
          <w:numId w:val="11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如果投放少于承接量，说明市场缺货，实际单价会高于正常单价。</w:t>
      </w:r>
    </w:p>
    <w:p>
      <w:pPr>
        <w:numPr>
          <w:ilvl w:val="0"/>
          <w:numId w:val="11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如果投放接近承接量，实际单价接近正常单价。</w:t>
      </w:r>
    </w:p>
    <w:p>
      <w:pPr>
        <w:numPr>
          <w:ilvl w:val="0"/>
          <w:numId w:val="11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如果投放超过承接量，说明市场过剩，实际单价会低于正常单价。</w:t>
      </w:r>
    </w:p>
    <w:p>
      <w:pPr>
        <w:numPr>
          <w:ilvl w:val="0"/>
          <w:numId w:val="11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无论怎么过剩，当前最低成交价不会低于 1。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可以把它理解成：</w:t>
      </w:r>
    </w:p>
    <w:p>
      <w:pPr>
        <w:spacing w:before="40" w:after="160" w:line="264" w:lineRule="auto"/>
      </w:pPr>
      <w:r>
        <w:rPr>
          <w:rFonts w:ascii="Consolas" w:hAnsi="Consolas" w:eastAsia="Microsoft YaHei"/>
          <w:color w:val="303030"/>
          <w:sz w:val="20"/>
        </w:rPr>
        <w:t>正常单价 = 民间购买力 ÷ 国内承接量</w:t>
        <w:br/>
        <w:t>市场拥挤程度 = 本轮投放量 ÷ 国内承接量</w:t>
        <w:br/>
        <w:t>价格调整系数 = 2 - 市场拥挤程度</w:t>
        <w:br/>
        <w:t>国内实际单价 = 正常单价 × 价格调整系数</w:t>
        <w:br/>
        <w:t>国内收入 = 国内成交量 × 国内实际单价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其中“国内承接量”只影响价格，不会硬性拦住出售。只要玩家有库存，投放到国内的商品就可以成交；如果投放过多，表现方式是降价，而不是禁止出售。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当前最低价为 1。如果计算出的国内实际单价低于 1，就按 1 成交。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这个调整系数的含义很简单：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投放情况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玩家感受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价格结果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投放少于承接量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市场缺货，买方抢货。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单价上升。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投放约等于承接量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市场供需接近平衡。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单价接近正常单价。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投放超过承接量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商品倾销，市场吃不下。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单价下降，但不低于 1。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举例说明：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如果某国民间购买力为 150，国内承接量为 30，那么正常单价就是 5。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本轮投放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市场状态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结果理解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15 件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明显缺货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单价会高于 5。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30 件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接近平衡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单价约为 5。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45 件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明显过剩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单价会低于 5。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海外市场的计算更直接：</w:t>
      </w:r>
    </w:p>
    <w:p>
      <w:pPr>
        <w:spacing w:before="40" w:after="160" w:line="264" w:lineRule="auto"/>
      </w:pPr>
      <w:r>
        <w:rPr>
          <w:rFonts w:ascii="Consolas" w:hAnsi="Consolas" w:eastAsia="Microsoft YaHei"/>
          <w:color w:val="303030"/>
          <w:sz w:val="20"/>
        </w:rPr>
        <w:t>海外实际成交量 = 不超过库存、不超过海外容量、不被封锁影响后的可卖数量</w:t>
        <w:br/>
        <w:t>海外收入 = 海外实际成交量 × 对应区域固定单价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例如欧洲固定价为 8。玩家向欧洲投放 6 件商品，但本轮剩余海外容量只有 4，那么实际只能成交 4 件，海外收入为 32。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如果欧洲被其他国家封锁，则本轮对欧洲的可卖数量视为 0。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最后，国内收入和海外收入会合并成国家销售收入，再按 5 : 3 : 2 回流：</w:t>
      </w:r>
    </w:p>
    <w:p>
      <w:pPr>
        <w:spacing w:before="40" w:after="160" w:line="264" w:lineRule="auto"/>
      </w:pPr>
      <w:r>
        <w:rPr>
          <w:rFonts w:ascii="Consolas" w:hAnsi="Consolas" w:eastAsia="Microsoft YaHei"/>
          <w:color w:val="303030"/>
          <w:sz w:val="20"/>
        </w:rPr>
        <w:t>民间购买力获得 50%</w:t>
        <w:br/>
        <w:t>工厂预算获得 30%</w:t>
        <w:br/>
        <w:t>政府财政获得 20%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因此市场不是孤立系统。卖货收入会提高下一轮民间购买力，也会给工厂和政府提供预算，从而推动下一轮生产、扩张和研究。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2.3 海外市场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海外市场现在使用固定区域价格。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海外区域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固定单价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玩家理解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欧洲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8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工业化程度和消费能力最高，是最高价成熟市场。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美洲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7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新兴市场购买力较强，价格略低于欧洲。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亚太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6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人口和贸易规模大，但不按高价市场处理。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中东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战略位置重要，但商品购买力低于欧美。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非洲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4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当期购买力较弱，价值主要来自容量和战略位置。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海外市场的核心不是“卖得更贵”，而是“能卖多少”。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当前海外出售规则：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海外区域默认开放，不再需要建交。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海外收入 = 成交数量 × 区域固定单价。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玩家有一个共享海外容量，用来限制本轮最多能向海外卖多少。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“贸易促进”提高海外容量。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市场竞争成功后，该区域本轮额外可售容量 +2。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如果某个区域被其他国家封锁，玩家对该区域的可售容量视为 0。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2.4 封锁和独占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封锁现在直接显示在海外地区上，玩家不需要理解底层航线节点。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玩家看到的状态会接近：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欧洲：开放。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美洲：开放。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非洲：被某国封锁。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中东：本国独占。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亚太：开放。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含义如下：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被其他国家封锁的地区，当前不能出售。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被本国控制封锁的地区，表示本国在该地区有独占优势，其他国家不能正常出售。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封锁的价值体现在“容量和准入”，不是提高商品单价。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3. 工厂逻辑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3.1 总工厂池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每个国家现在只有一个总工厂池，不再给手工业、机械化、蒸汽、电气化分别设置独立上限。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例如英国总工厂上限为 16，只要科技、材料和预算允许，英国理论上可以全部发展为 16 个电气化工厂。俄罗斯总工厂上限为 20，也可以集中发展为 20 个同类高级工厂。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国家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总工厂上限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单个行业口径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英国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16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不单独限制，只受总工厂池限制。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法国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15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不单独限制，只受总工厂池限制。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普鲁士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16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不单独限制，只受总工厂池限制。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奥地利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14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不单独限制，只受总工厂池限制。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俄罗斯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20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不单独限制，只受总工厂池限制。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闲置工厂代表国家还没有启用的工厂名额。它不生产商品，但会产生少量国内需求，表示人口、城市和产业基础已经存在。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3.2 扩建和升级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工厂有两种发展方式：扩建和升级。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动作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规则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玩家理解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扩建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直接建设目标类型工厂，本回合立即生效；消耗闲置名额、工厂预算，并受科技前置限制。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快速得到想要的工厂，但成本更高。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升级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把已有低级工厂逐级转成高级工厂，本回合立即生效；不增加总工厂数量。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依靠已有工业基础逐步提高效率，成本更低。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升级路径固定为：</w:t>
      </w:r>
    </w:p>
    <w:p>
      <w:pPr>
        <w:spacing w:before="40" w:after="160" w:line="264" w:lineRule="auto"/>
      </w:pPr>
      <w:r>
        <w:rPr>
          <w:rFonts w:ascii="Consolas" w:hAnsi="Consolas" w:eastAsia="Microsoft YaHei"/>
          <w:color w:val="303030"/>
          <w:sz w:val="20"/>
        </w:rPr>
        <w:t>闲置工厂 -&gt; 手工业 -&gt; 机械化 -&gt; 蒸汽 -&gt; 电气化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不能跳级升级。例如不能从闲置工厂直接变成机械化，也不能从手工业直接变成蒸汽。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当前成本如下：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目标工厂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直接扩建成本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逐级升级成本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手工业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13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机械化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26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蒸汽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40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电气化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56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24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3.3 产出和需求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越高级的工厂，材料转化效率越高，同时也会带来更高的国内需求。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工厂状态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每 1 材料产出商品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每 1 工厂带来的国内需求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闲置工厂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手工业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机械化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蒸汽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4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电气化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8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5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这会让游戏形成清楚的成长节奏：前期产出低、国内需求低；后期工厂升级后，产出增加，国内需求也增加，国内市场逐渐变得更有价值。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4. 材料购买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材料现在按数量购买，玩家可以清楚选择本回合买多少材料。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当前规则：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购买材料消耗工厂预算。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当前单位成本为 1 工厂预算购买 1 原材料。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购买的材料本回合立即可用于生产。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购买材料不会永久提高每回合自然产出。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各国每回合材料购买上限不同，用来体现国家资源条件差异。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国家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每回合材料购买上限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英国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法国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普鲁士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17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奥地利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15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俄罗斯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sz w:val="20"/>
              </w:rPr>
              <w:t>20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俄罗斯材料上限更高，体现原料供应更充足；英国和奥地利上限较低，体现本土资源和人口条件限制。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5. 财政和成长循环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当前玩家主要看到四类资源：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民间购买力：影响国内市场价格。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工厂预算：用于买材料、投料生产、扩建和升级。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政府财政：用于研究、军事、政策和政府相关行动。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行政力：用于执行政府政策。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销售收入默认按 5 : 3 : 2 回流：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Ind w:w="120" w:type="dxa"/>
      </w:tblPr>
      <w:tblGrid>
        <w:gridCol w:w="2100"/>
        <w:gridCol w:w="2200"/>
        <w:gridCol w:w="50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去向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比例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民间购买力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50%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提高下回合国内市场承接能力。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工厂预算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30%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支撑下一轮生产、材料购买、扩建和升级。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政府财政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20%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sz w:val="20"/>
              </w:rPr>
              <w:t>支撑研究、军事和政策行动。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因此游戏节奏会变成：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前期：国内购买力低，主要靠海外固定价拿启动资金。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中期：销售收入回流后，工厂扩建和升级，国内需求开始增长。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后期：高级工厂产量高，国内市场购买力也更强，玩家需要在国内高价、海外固定价、海外容量和封锁风险之间取舍。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6. 本轮版本口径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本轮客户提出的核心逻辑，当前版本已经统一为以下口径：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国内市场按购买力、需求和投放量动态定价。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海外市场按区域固定价出售，欧洲 &gt; 美洲 &gt; 亚太 &gt; 中东 &gt; 非洲。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海外出售不再需要建交。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海外政策只保留“贸易促进”，用于提高海外容量。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市场竞争成功只增加额外可售容量，不提高售价。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封锁直接体现在海外地区上，被封锁地区对其他国家容量为 0。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工厂只受国家总工厂上限限制，不再有单个行业上限。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扩建和升级本回合立即生效；扩建成本高，升级成本低但必须逐级。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材料按数量购买，并按国家设置不同购买上限。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政府财政只保留一个池子，不再显示政策专项额度。</w:t>
      </w:r>
    </w:p>
    <w:p>
      <w:pPr>
        <w:numPr>
          <w:ilvl w:val="0"/>
          <w:numId w:val="12"/>
        </w:numPr>
        <w:spacing w:before="0" w:after="100" w:line="269" w:lineRule="auto"/>
        <w:ind w:left="720" w:hanging="360"/>
      </w:pPr>
      <w:r>
        <w:rPr>
          <w:rFonts w:ascii="Calibri" w:hAnsi="Calibri" w:eastAsia="Microsoft YaHei"/>
          <w:sz w:val="22"/>
        </w:rPr>
        <w:t>销售收入按 5 : 3 : 2 回流，支撑国内市场、工厂发展和政府行动。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color w:val="595959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/>
    <w:r>
      <w:rPr>
        <w:rFonts w:ascii="Calibri" w:hAnsi="Calibri" w:eastAsia="Microsoft YaHei"/>
        <w:color w:val="595959"/>
        <w:sz w:val="18"/>
      </w:rPr>
      <w:t>明日之问｜玩法逻辑修改说明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