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8E" w:rsidRPr="008E3FF7" w:rsidRDefault="008E3FF7" w:rsidP="008E3FF7">
      <w:pPr>
        <w:ind w:firstLine="708"/>
        <w:jc w:val="center"/>
        <w:rPr>
          <w:b/>
        </w:rPr>
      </w:pPr>
      <w:r w:rsidRPr="008E3FF7">
        <w:rPr>
          <w:b/>
        </w:rPr>
        <w:t>ВОРОНЕЖКИЙ ГОСУДАРСТВЕННЫЙ УНИВЕРСИТЕТ</w:t>
      </w:r>
    </w:p>
    <w:p w:rsidR="009377DC" w:rsidRDefault="009377DC" w:rsidP="009377DC">
      <w:pPr>
        <w:pStyle w:val="11"/>
      </w:pPr>
    </w:p>
    <w:p w:rsidR="0012708E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9377DC" w:rsidP="00B109F7">
      <w:pPr>
        <w:pStyle w:val="11"/>
      </w:pPr>
      <w:r>
        <w:t>Руководитель (должность, наименование предприятия - заказчика АС)</w:t>
      </w:r>
    </w:p>
    <w:p w:rsidR="009377DC" w:rsidRDefault="009377DC" w:rsidP="00B109F7">
      <w:pPr>
        <w:pStyle w:val="11"/>
      </w:pPr>
      <w:r w:rsidRPr="00EC393E">
        <w:rPr>
          <w:u w:val="single"/>
        </w:rPr>
        <w:t>Личная подпись</w:t>
      </w:r>
      <w:r>
        <w:t xml:space="preserve">  </w:t>
      </w:r>
      <w:r w:rsidRPr="00EC393E">
        <w:rPr>
          <w:u w:val="single"/>
        </w:rPr>
        <w:t>Расшифровка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 xml:space="preserve">Дата </w:t>
      </w:r>
    </w:p>
    <w:p w:rsidR="009377DC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9377DC" w:rsidP="00B109F7">
      <w:pPr>
        <w:pStyle w:val="11"/>
      </w:pPr>
      <w:r>
        <w:t>Руководитель (должность, наименование предприятия - заказчика АС)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12708E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8E3FF7" w:rsidRDefault="008E3FF7">
      <w:pPr>
        <w:pStyle w:val="11"/>
      </w:pPr>
      <w:r>
        <w:tab/>
      </w:r>
      <w:r>
        <w:tab/>
      </w:r>
      <w:r>
        <w:tab/>
      </w:r>
    </w:p>
    <w:p w:rsidR="008E3FF7" w:rsidRDefault="008E3FF7">
      <w:pPr>
        <w:pStyle w:val="11"/>
      </w:pPr>
    </w:p>
    <w:p w:rsidR="008E3FF7" w:rsidRDefault="008E3FF7">
      <w:pPr>
        <w:pStyle w:val="11"/>
      </w:pPr>
    </w:p>
    <w:p w:rsidR="008E3FF7" w:rsidRDefault="008E3FF7">
      <w:pPr>
        <w:pStyle w:val="11"/>
      </w:pPr>
    </w:p>
    <w:p w:rsidR="0012708E" w:rsidRPr="008E3FF7" w:rsidRDefault="008E3FF7" w:rsidP="008E3FF7">
      <w:pPr>
        <w:pStyle w:val="11"/>
        <w:jc w:val="center"/>
        <w:rPr>
          <w:b/>
        </w:rPr>
      </w:pPr>
      <w:r w:rsidRPr="008E3FF7">
        <w:rPr>
          <w:b/>
          <w:sz w:val="28"/>
        </w:rPr>
        <w:t>Мобильное приложение «</w:t>
      </w:r>
      <w:r w:rsidRPr="008E3FF7">
        <w:rPr>
          <w:b/>
          <w:sz w:val="28"/>
          <w:lang w:val="en-US"/>
        </w:rPr>
        <w:t>MyCosts</w:t>
      </w:r>
      <w:r w:rsidRPr="008E3FF7">
        <w:rPr>
          <w:b/>
          <w:sz w:val="28"/>
        </w:rPr>
        <w:t>»</w:t>
      </w:r>
    </w:p>
    <w:p w:rsidR="0012708E" w:rsidRDefault="0012708E">
      <w:pPr>
        <w:pStyle w:val="11"/>
      </w:pPr>
    </w:p>
    <w:p w:rsidR="008E3FF7" w:rsidRDefault="008E3FF7">
      <w:pPr>
        <w:pStyle w:val="13"/>
      </w:pPr>
    </w:p>
    <w:p w:rsidR="008E3FF7" w:rsidRDefault="008E3FF7">
      <w:pPr>
        <w:pStyle w:val="13"/>
      </w:pPr>
    </w:p>
    <w:p w:rsidR="008E3FF7" w:rsidRDefault="008E3FF7">
      <w:pPr>
        <w:pStyle w:val="13"/>
      </w:pPr>
    </w:p>
    <w:p w:rsidR="0012708E" w:rsidRDefault="004008E8">
      <w:pPr>
        <w:pStyle w:val="13"/>
      </w:pPr>
      <w:r>
        <w:t>Действует с «___»________2019</w:t>
      </w:r>
      <w:r w:rsidR="0012708E">
        <w:t xml:space="preserve"> г.</w:t>
      </w:r>
    </w:p>
    <w:p w:rsidR="0012708E" w:rsidRDefault="0012708E">
      <w:pPr>
        <w:pStyle w:val="11"/>
      </w:pPr>
    </w:p>
    <w:p w:rsidR="008E3FF7" w:rsidRDefault="008E3FF7" w:rsidP="00B109F7">
      <w:pPr>
        <w:pStyle w:val="11"/>
      </w:pPr>
    </w:p>
    <w:p w:rsidR="008E3FF7" w:rsidRDefault="008E3FF7" w:rsidP="00B109F7">
      <w:pPr>
        <w:pStyle w:val="11"/>
      </w:pPr>
    </w:p>
    <w:p w:rsidR="00640885" w:rsidRDefault="00640885" w:rsidP="00B109F7">
      <w:pPr>
        <w:pStyle w:val="11"/>
      </w:pPr>
      <w:r>
        <w:t>СОГЛАСОВАНО</w:t>
      </w:r>
    </w:p>
    <w:p w:rsidR="00640885" w:rsidRDefault="00640885" w:rsidP="00B109F7">
      <w:pPr>
        <w:pStyle w:val="11"/>
      </w:pPr>
      <w:r>
        <w:t>Руководитель (должность, наименование согласующей организации)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8E3FF7" w:rsidRPr="0000699F" w:rsidRDefault="008E3FF7" w:rsidP="008E3FF7">
      <w:pPr>
        <w:pStyle w:val="11"/>
        <w:ind w:firstLine="0"/>
      </w:pPr>
    </w:p>
    <w:p w:rsidR="008E3FF7" w:rsidRDefault="008E3FF7">
      <w:pPr>
        <w:pStyle w:val="11"/>
      </w:pPr>
    </w:p>
    <w:p w:rsidR="008E3FF7" w:rsidRPr="008E3FF7" w:rsidRDefault="004008E8" w:rsidP="0000699F">
      <w:pPr>
        <w:pStyle w:val="13"/>
      </w:pPr>
      <w:r>
        <w:t>Воронеж 2019</w:t>
      </w:r>
    </w:p>
    <w:p w:rsidR="00E90790" w:rsidRDefault="00E90790" w:rsidP="001F2162">
      <w:pPr>
        <w:pStyle w:val="a8"/>
        <w:ind w:firstLine="0"/>
      </w:pPr>
    </w:p>
    <w:p w:rsidR="008E3FF7" w:rsidRPr="00894D41" w:rsidRDefault="0000699F">
      <w:pPr>
        <w:pStyle w:val="af6"/>
        <w:rPr>
          <w:rFonts w:ascii="Times New Roman" w:hAnsi="Times New Roman"/>
          <w:b/>
          <w:color w:val="000000"/>
        </w:rPr>
      </w:pPr>
      <w:bookmarkStart w:id="0" w:name="_Toc177034340"/>
      <w:r w:rsidRPr="00894D41">
        <w:rPr>
          <w:rFonts w:ascii="Times New Roman" w:hAnsi="Times New Roman"/>
          <w:b/>
          <w:color w:val="000000"/>
          <w:sz w:val="28"/>
        </w:rPr>
        <w:t>ОГЛАВЛЕНИЕ</w:t>
      </w:r>
      <w:bookmarkStart w:id="1" w:name="_GoBack"/>
      <w:bookmarkEnd w:id="1"/>
    </w:p>
    <w:p w:rsidR="008E3FF7" w:rsidRPr="008E3FF7" w:rsidRDefault="008E3FF7">
      <w:pPr>
        <w:pStyle w:val="12"/>
        <w:rPr>
          <w:rFonts w:ascii="Calibri" w:hAnsi="Calibr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4598512" w:history="1">
        <w:r w:rsidRPr="0010494F">
          <w:rPr>
            <w:rStyle w:val="a4"/>
            <w:noProof/>
          </w:rPr>
          <w:t>1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3" w:history="1">
        <w:r w:rsidR="008E3FF7" w:rsidRPr="0010494F">
          <w:rPr>
            <w:rStyle w:val="a4"/>
            <w:noProof/>
          </w:rPr>
          <w:t>1.1 Полное наименование системы и ее условное обозначение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_Toc4598513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4" w:history="1">
        <w:r w:rsidR="008E3FF7" w:rsidRPr="0010494F">
          <w:rPr>
            <w:rStyle w:val="a4"/>
            <w:noProof/>
          </w:rPr>
          <w:t>1.2 Перечень документов, на основании которых создается система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_Toc4598514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5" w:history="1">
        <w:r w:rsidR="008E3FF7" w:rsidRPr="0010494F">
          <w:rPr>
            <w:rStyle w:val="a4"/>
            <w:noProof/>
          </w:rPr>
          <w:t>1.3 Плановые сроки начала и окончания работы по созданию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_Toc4598515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6" w:history="1">
        <w:r w:rsidR="008E3FF7" w:rsidRPr="0010494F">
          <w:rPr>
            <w:rStyle w:val="a4"/>
            <w:noProof/>
          </w:rPr>
          <w:t>1.4 Порядок оформления и предъявления заказчику результатов работ по созданию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_Toc4598516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7" w:history="1">
        <w:r w:rsidR="008E3FF7" w:rsidRPr="0010494F">
          <w:rPr>
            <w:rStyle w:val="a4"/>
            <w:noProof/>
          </w:rPr>
          <w:t>1.5 Перечень нормативно-технических документов, методических материалов, использованных при разработке ТЗ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_Toc4598517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8" w:history="1">
        <w:r w:rsidR="008E3FF7" w:rsidRPr="0010494F">
          <w:rPr>
            <w:rStyle w:val="a4"/>
            <w:noProof/>
          </w:rPr>
          <w:t>1.6 Определения, обозначения и сокращения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_Toc4598518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12"/>
        <w:rPr>
          <w:rFonts w:ascii="Calibri" w:hAnsi="Calibri"/>
          <w:noProof/>
          <w:sz w:val="22"/>
          <w:szCs w:val="22"/>
        </w:rPr>
      </w:pPr>
      <w:hyperlink w:anchor="_Toc4598519" w:history="1">
        <w:r w:rsidR="008E3FF7" w:rsidRPr="0010494F">
          <w:rPr>
            <w:rStyle w:val="a4"/>
            <w:noProof/>
          </w:rPr>
          <w:t>2 НАЗНАЧЕНИЕ И ЦЕЛИ СОЗДАНИЯ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_Toc4598519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6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0" w:history="1">
        <w:r w:rsidR="008E3FF7" w:rsidRPr="0010494F">
          <w:rPr>
            <w:rStyle w:val="a4"/>
            <w:noProof/>
          </w:rPr>
          <w:t>2.1 Назначение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_Toc4598520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6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1" w:history="1">
        <w:r w:rsidR="008E3FF7" w:rsidRPr="0010494F">
          <w:rPr>
            <w:rStyle w:val="a4"/>
            <w:noProof/>
          </w:rPr>
          <w:t>2.2 Цели создания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_Toc4598521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6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12"/>
        <w:rPr>
          <w:rFonts w:ascii="Calibri" w:hAnsi="Calibri"/>
          <w:noProof/>
          <w:sz w:val="22"/>
          <w:szCs w:val="22"/>
        </w:rPr>
      </w:pPr>
      <w:hyperlink w:anchor="_Toc4598522" w:history="1">
        <w:r w:rsidR="008E3FF7" w:rsidRPr="0010494F">
          <w:rPr>
            <w:rStyle w:val="a4"/>
            <w:noProof/>
          </w:rPr>
          <w:t>3 ТРЕБОВАНИЯ К СИСТЕМЕ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_Toc4598522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3" w:history="1">
        <w:r w:rsidR="008E3FF7" w:rsidRPr="0010494F">
          <w:rPr>
            <w:rStyle w:val="a4"/>
            <w:noProof/>
          </w:rPr>
          <w:t>3.1 Требования к системе в целом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_Toc4598523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4" w:history="1">
        <w:r w:rsidR="008E3FF7" w:rsidRPr="0010494F">
          <w:rPr>
            <w:rStyle w:val="a4"/>
            <w:noProof/>
          </w:rPr>
          <w:t>3.1.1 Требования к структуре и функционированию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_Toc4598524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5" w:history="1">
        <w:r w:rsidR="008E3FF7" w:rsidRPr="0010494F">
          <w:rPr>
            <w:rStyle w:val="a4"/>
            <w:noProof/>
          </w:rPr>
          <w:t>3.1.2 Требования к безопасности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_Toc4598525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6" w:history="1">
        <w:r w:rsidR="008E3FF7" w:rsidRPr="0010494F">
          <w:rPr>
            <w:rStyle w:val="a4"/>
            <w:noProof/>
          </w:rPr>
          <w:t>3.1.3 Требования к эргономике и технической эстетике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_Toc4598526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7" w:history="1">
        <w:r w:rsidR="008E3FF7" w:rsidRPr="0010494F">
          <w:rPr>
            <w:rStyle w:val="a4"/>
            <w:noProof/>
          </w:rPr>
          <w:t>3.1.4 Требования к защите информации от несанкционированного доступа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_Toc4598527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8" w:history="1">
        <w:r w:rsidR="008E3FF7" w:rsidRPr="0010494F">
          <w:rPr>
            <w:rStyle w:val="a4"/>
            <w:noProof/>
          </w:rPr>
          <w:t>3.2 Требования к функциям (задачам), выполняемым системой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_Toc4598528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9" w:history="1">
        <w:r w:rsidR="008E3FF7" w:rsidRPr="0010494F">
          <w:rPr>
            <w:rStyle w:val="a4"/>
            <w:noProof/>
          </w:rPr>
          <w:t>3.3 Требования к видам обеспечения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_Toc4598529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0" w:history="1">
        <w:r w:rsidR="008E3FF7" w:rsidRPr="0010494F">
          <w:rPr>
            <w:rStyle w:val="a4"/>
            <w:noProof/>
          </w:rPr>
          <w:t>3.3.1 Требования информационному обеспечению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_Toc4598530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1" w:history="1">
        <w:r w:rsidR="008E3FF7" w:rsidRPr="0010494F">
          <w:rPr>
            <w:rStyle w:val="a4"/>
            <w:noProof/>
          </w:rPr>
          <w:t>3.3.2 Требования к лингвистическому обеспечению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_Toc4598531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2" w:history="1">
        <w:r w:rsidR="008E3FF7" w:rsidRPr="0010494F">
          <w:rPr>
            <w:rStyle w:val="a4"/>
            <w:noProof/>
          </w:rPr>
          <w:t>3.3.3 Требования к программному обеспечению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_Toc4598532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9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3" w:history="1">
        <w:r w:rsidR="008E3FF7" w:rsidRPr="0010494F">
          <w:rPr>
            <w:rStyle w:val="a4"/>
            <w:noProof/>
          </w:rPr>
          <w:t>3.3.4 Требования к техническому обеспечению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_Toc4598533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9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12"/>
        <w:rPr>
          <w:rFonts w:ascii="Calibri" w:hAnsi="Calibri"/>
          <w:noProof/>
          <w:sz w:val="22"/>
          <w:szCs w:val="22"/>
        </w:rPr>
      </w:pPr>
      <w:hyperlink w:anchor="_Toc4598534" w:history="1">
        <w:r w:rsidR="008E3FF7" w:rsidRPr="0010494F">
          <w:rPr>
            <w:rStyle w:val="a4"/>
            <w:noProof/>
          </w:rPr>
          <w:t>4 СОСТАВ И СОДЕРЖАНИЕ РАБОТ ПО СОЗДАНИЮ (РАЗВИТИЮ)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_Toc4598534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10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12"/>
        <w:rPr>
          <w:rFonts w:ascii="Calibri" w:hAnsi="Calibri"/>
          <w:noProof/>
          <w:sz w:val="22"/>
          <w:szCs w:val="22"/>
        </w:rPr>
      </w:pPr>
      <w:hyperlink w:anchor="_Toc4598535" w:history="1">
        <w:r w:rsidR="008E3FF7" w:rsidRPr="0010494F">
          <w:rPr>
            <w:rStyle w:val="a4"/>
            <w:noProof/>
          </w:rPr>
          <w:t>5 ПОРЯДОК КОНТРОЛЯ И ПРИЕМКИ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_Toc4598535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11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6" w:history="1">
        <w:r w:rsidR="008E3FF7" w:rsidRPr="0010494F">
          <w:rPr>
            <w:rStyle w:val="a4"/>
            <w:noProof/>
          </w:rPr>
          <w:t>5.1 Виды, состав, объем и методы испытаний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_Toc4598536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11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7" w:history="1">
        <w:r w:rsidR="008E3FF7" w:rsidRPr="0010494F">
          <w:rPr>
            <w:rStyle w:val="a4"/>
            <w:noProof/>
          </w:rPr>
          <w:t>5.2 Общие требования к приемке работ по стадиям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_Toc4598537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11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8" w:history="1">
        <w:r w:rsidR="008E3FF7" w:rsidRPr="0010494F">
          <w:rPr>
            <w:rStyle w:val="a4"/>
            <w:noProof/>
          </w:rPr>
          <w:t>5.3 Статус приемочной комиссии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_Toc4598538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11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12"/>
        <w:rPr>
          <w:rFonts w:ascii="Calibri" w:hAnsi="Calibri"/>
          <w:noProof/>
          <w:sz w:val="22"/>
          <w:szCs w:val="22"/>
        </w:rPr>
      </w:pPr>
      <w:hyperlink w:anchor="_Toc4598539" w:history="1">
        <w:r w:rsidR="008E3FF7" w:rsidRPr="0010494F">
          <w:rPr>
            <w:rStyle w:val="a4"/>
            <w:noProof/>
          </w:rPr>
          <w:t>6 ТРЕБОВАНИЯ К СОСТАВУ И СОДЕРЖАНИЮ РАБОТ ПО ПОДГОТОВКЕ ОБЪЕКТА АВТОМАТИЗАЦИИ К ВВОДУ СИСТЕМЫ В ДЕЙСТВИЕ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_Toc4598539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12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12"/>
        <w:rPr>
          <w:rFonts w:ascii="Calibri" w:hAnsi="Calibri"/>
          <w:noProof/>
          <w:sz w:val="22"/>
          <w:szCs w:val="22"/>
        </w:rPr>
      </w:pPr>
      <w:hyperlink w:anchor="_Toc4598540" w:history="1">
        <w:r w:rsidR="008E3FF7" w:rsidRPr="0010494F">
          <w:rPr>
            <w:rStyle w:val="a4"/>
            <w:noProof/>
          </w:rPr>
          <w:t>7 ТРЕБОВАНИЯ К ДОКУМЕНТИРОВАНИЮ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_Toc4598540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13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12"/>
        <w:rPr>
          <w:rFonts w:ascii="Calibri" w:hAnsi="Calibri"/>
          <w:noProof/>
          <w:sz w:val="22"/>
          <w:szCs w:val="22"/>
        </w:rPr>
      </w:pPr>
      <w:hyperlink w:anchor="_Toc4598541" w:history="1">
        <w:r w:rsidR="008E3FF7" w:rsidRPr="0010494F">
          <w:rPr>
            <w:rStyle w:val="a4"/>
            <w:noProof/>
          </w:rPr>
          <w:t>8 ИСТОЧНИКИ РАЗРАБОТКИ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_Toc4598541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14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894D41">
      <w:pPr>
        <w:pStyle w:val="12"/>
        <w:rPr>
          <w:rFonts w:ascii="Calibri" w:hAnsi="Calibri"/>
          <w:noProof/>
          <w:sz w:val="22"/>
          <w:szCs w:val="22"/>
        </w:rPr>
      </w:pPr>
      <w:hyperlink w:anchor="_Toc4598542" w:history="1">
        <w:r w:rsidR="008E3FF7" w:rsidRPr="0010494F">
          <w:rPr>
            <w:rStyle w:val="a4"/>
            <w:noProof/>
          </w:rPr>
          <w:t>ПРИЛОЖЕНИЕ А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_Toc4598542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15</w:t>
        </w:r>
        <w:r w:rsidR="008E3FF7">
          <w:rPr>
            <w:noProof/>
            <w:webHidden/>
          </w:rPr>
          <w:fldChar w:fldCharType="end"/>
        </w:r>
      </w:hyperlink>
    </w:p>
    <w:p w:rsidR="0012708E" w:rsidRDefault="008E3FF7" w:rsidP="008E3FF7">
      <w:pPr>
        <w:sectPr w:rsidR="0012708E">
          <w:headerReference w:type="default" r:id="rId8"/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  <w:r>
        <w:rPr>
          <w:b/>
          <w:bCs/>
        </w:rPr>
        <w:fldChar w:fldCharType="end"/>
      </w:r>
      <w:bookmarkEnd w:id="0"/>
    </w:p>
    <w:p w:rsidR="0012708E" w:rsidRDefault="0012708E">
      <w:pPr>
        <w:pStyle w:val="1"/>
      </w:pPr>
      <w:bookmarkStart w:id="2" w:name="_Toc177034341"/>
      <w:bookmarkStart w:id="3" w:name="_Toc4598512"/>
      <w:bookmarkStart w:id="4" w:name="_Ref52756232"/>
      <w:bookmarkStart w:id="5" w:name="_Ref52756240"/>
      <w:r>
        <w:lastRenderedPageBreak/>
        <w:t>ОБЩИЕ ПОЛОЖЕНИЯ</w:t>
      </w:r>
      <w:bookmarkEnd w:id="2"/>
      <w:bookmarkEnd w:id="3"/>
    </w:p>
    <w:p w:rsidR="0012708E" w:rsidRDefault="0012708E">
      <w:pPr>
        <w:pStyle w:val="2"/>
      </w:pPr>
      <w:bookmarkStart w:id="6" w:name="_Toc177034189"/>
      <w:bookmarkStart w:id="7" w:name="_Toc177034342"/>
      <w:bookmarkStart w:id="8" w:name="_Toc4598513"/>
      <w:r>
        <w:t>Полное наименование системы и ее условное обозначение</w:t>
      </w:r>
      <w:bookmarkEnd w:id="6"/>
      <w:bookmarkEnd w:id="7"/>
      <w:bookmarkEnd w:id="8"/>
    </w:p>
    <w:p w:rsidR="001F2162" w:rsidRPr="001F2162" w:rsidRDefault="001F2162" w:rsidP="001F2162">
      <w:pPr>
        <w:pStyle w:val="11"/>
        <w:rPr>
          <w:lang w:val="en-US"/>
        </w:rPr>
      </w:pPr>
      <w:r>
        <w:t xml:space="preserve">Наименование системы: </w:t>
      </w:r>
      <w:r>
        <w:rPr>
          <w:lang w:val="en-US"/>
        </w:rPr>
        <w:t>MyCosts</w:t>
      </w:r>
    </w:p>
    <w:p w:rsidR="0012708E" w:rsidRDefault="0012708E">
      <w:pPr>
        <w:pStyle w:val="2"/>
      </w:pPr>
      <w:bookmarkStart w:id="9" w:name="_Toc177034192"/>
      <w:bookmarkStart w:id="10" w:name="_Toc177034345"/>
      <w:bookmarkStart w:id="11" w:name="_Toc4598514"/>
      <w:r>
        <w:t>Перечень документов, на основании которых создается система</w:t>
      </w:r>
      <w:bookmarkEnd w:id="9"/>
      <w:bookmarkEnd w:id="10"/>
      <w:bookmarkEnd w:id="11"/>
    </w:p>
    <w:p w:rsidR="0012708E" w:rsidRDefault="0012708E">
      <w:pPr>
        <w:pStyle w:val="2"/>
      </w:pPr>
      <w:bookmarkStart w:id="12" w:name="_Toc177034193"/>
      <w:bookmarkStart w:id="13" w:name="_Toc177034346"/>
      <w:bookmarkStart w:id="14" w:name="_Toc4598515"/>
      <w:r>
        <w:t>Плановые сроки начала и окончания работы по созданию системы</w:t>
      </w:r>
      <w:bookmarkEnd w:id="12"/>
      <w:bookmarkEnd w:id="13"/>
      <w:bookmarkEnd w:id="14"/>
    </w:p>
    <w:p w:rsidR="001F2162" w:rsidRDefault="001F2162" w:rsidP="001F2162">
      <w:pPr>
        <w:pStyle w:val="11"/>
      </w:pPr>
      <w:r>
        <w:t>Начало работ: 27 марта 2019 года.</w:t>
      </w:r>
    </w:p>
    <w:p w:rsidR="001F2162" w:rsidRPr="001F2162" w:rsidRDefault="001F2162" w:rsidP="001F2162">
      <w:pPr>
        <w:pStyle w:val="11"/>
      </w:pPr>
      <w:r>
        <w:t>Планируемая дата окончания работ: 15 июня 2019 года.</w:t>
      </w:r>
    </w:p>
    <w:p w:rsidR="0012708E" w:rsidRDefault="0012708E">
      <w:pPr>
        <w:pStyle w:val="2"/>
      </w:pPr>
      <w:bookmarkStart w:id="15" w:name="_Toc177034195"/>
      <w:bookmarkStart w:id="16" w:name="_Toc177034348"/>
      <w:bookmarkStart w:id="17" w:name="_Toc4598516"/>
      <w:r>
        <w:t>Порядок оформления и предъявления заказчику результатов работ по созданию системы</w:t>
      </w:r>
      <w:bookmarkEnd w:id="15"/>
      <w:bookmarkEnd w:id="16"/>
      <w:bookmarkEnd w:id="17"/>
    </w:p>
    <w:p w:rsidR="0012708E" w:rsidRDefault="0012708E">
      <w:pPr>
        <w:pStyle w:val="2"/>
        <w:jc w:val="both"/>
      </w:pPr>
      <w:bookmarkStart w:id="18" w:name="_Toc89770740"/>
      <w:bookmarkStart w:id="19" w:name="_Toc177034196"/>
      <w:bookmarkStart w:id="20" w:name="_Toc177034349"/>
      <w:bookmarkStart w:id="21" w:name="_Toc4598517"/>
      <w:r>
        <w:t xml:space="preserve">Перечень нормативно-технических документов, методических материалов, использованных при </w:t>
      </w:r>
      <w:bookmarkEnd w:id="18"/>
      <w:r>
        <w:t>разработке ТЗ</w:t>
      </w:r>
      <w:bookmarkEnd w:id="19"/>
      <w:bookmarkEnd w:id="20"/>
      <w:bookmarkEnd w:id="21"/>
    </w:p>
    <w:p w:rsidR="0012708E" w:rsidRDefault="0012708E">
      <w:pPr>
        <w:pStyle w:val="2"/>
        <w:jc w:val="both"/>
      </w:pPr>
      <w:bookmarkStart w:id="22" w:name="_Toc33335881"/>
      <w:bookmarkStart w:id="23" w:name="_Toc88453149"/>
      <w:bookmarkStart w:id="24" w:name="_Toc89770741"/>
      <w:bookmarkStart w:id="25" w:name="_Toc177034197"/>
      <w:bookmarkStart w:id="26" w:name="_Toc177034350"/>
      <w:bookmarkStart w:id="27" w:name="_Toc4598518"/>
      <w:r>
        <w:t>Определения, обозначения</w:t>
      </w:r>
      <w:bookmarkEnd w:id="22"/>
      <w:r>
        <w:t xml:space="preserve"> и сокращения</w:t>
      </w:r>
      <w:bookmarkEnd w:id="23"/>
      <w:bookmarkEnd w:id="24"/>
      <w:bookmarkEnd w:id="25"/>
      <w:bookmarkEnd w:id="26"/>
      <w:bookmarkEnd w:id="27"/>
    </w:p>
    <w:tbl>
      <w:tblPr>
        <w:tblpPr w:leftFromText="180" w:rightFromText="180" w:vertAnchor="text" w:horzAnchor="margin" w:tblpXSpec="center" w:tblpY="886"/>
        <w:tblW w:w="9301" w:type="dxa"/>
        <w:tblLayout w:type="fixed"/>
        <w:tblLook w:val="0000" w:firstRow="0" w:lastRow="0" w:firstColumn="0" w:lastColumn="0" w:noHBand="0" w:noVBand="0"/>
      </w:tblPr>
      <w:tblGrid>
        <w:gridCol w:w="2528"/>
        <w:gridCol w:w="6773"/>
      </w:tblGrid>
      <w:tr w:rsidR="001F2162" w:rsidRPr="001F2162" w:rsidTr="00A0785F">
        <w:trPr>
          <w:tblHeader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120" w:after="60"/>
              <w:jc w:val="center"/>
              <w:rPr>
                <w:b/>
                <w:lang w:eastAsia="he-IL" w:bidi="he-IL"/>
              </w:rPr>
            </w:pPr>
            <w:r w:rsidRPr="001F2162">
              <w:rPr>
                <w:b/>
                <w:lang w:eastAsia="he-IL" w:bidi="he-IL"/>
              </w:rPr>
              <w:t>Термин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120" w:after="60"/>
              <w:jc w:val="center"/>
              <w:rPr>
                <w:b/>
                <w:lang w:eastAsia="he-IL" w:bidi="he-IL"/>
              </w:rPr>
            </w:pPr>
            <w:r>
              <w:rPr>
                <w:b/>
                <w:lang w:eastAsia="he-IL" w:bidi="he-IL"/>
              </w:rPr>
              <w:t>Определение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Доходы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денежные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средства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полученные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пользователем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в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результате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какой</w:t>
            </w:r>
            <w:r w:rsidRPr="001F2162">
              <w:rPr>
                <w:lang w:eastAsia="ar-SA"/>
              </w:rPr>
              <w:t>-</w:t>
            </w:r>
            <w:r w:rsidRPr="001F2162">
              <w:rPr>
                <w:rFonts w:hint="eastAsia"/>
                <w:lang w:eastAsia="ar-SA"/>
              </w:rPr>
              <w:t>либо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деятельности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за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определённый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период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времени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Расходы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денежные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средства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потраченные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пользователем</w:t>
            </w:r>
          </w:p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на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какую</w:t>
            </w:r>
            <w:r w:rsidRPr="001F2162">
              <w:rPr>
                <w:lang w:eastAsia="ar-SA"/>
              </w:rPr>
              <w:t>-</w:t>
            </w:r>
            <w:r w:rsidRPr="001F2162">
              <w:rPr>
                <w:rFonts w:hint="eastAsia"/>
                <w:lang w:eastAsia="ar-SA"/>
              </w:rPr>
              <w:t>либо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группу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товаров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или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услуг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Инкрементные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затраты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поступления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разница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между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понесенными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расходами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поступлениями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Расчетный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период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отрывок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времени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в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течение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которого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ведется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учёт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бюджета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jc w:val="both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Категория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jc w:val="both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группа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товаров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или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услуг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jc w:val="both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Предел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расходов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jc w:val="both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намерение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пользователя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потратить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сумму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не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превышающую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заданной</w:t>
            </w:r>
          </w:p>
        </w:tc>
      </w:tr>
    </w:tbl>
    <w:p w:rsidR="001F2162" w:rsidRPr="001F2162" w:rsidRDefault="001F2162" w:rsidP="001F2162">
      <w:pPr>
        <w:pStyle w:val="11"/>
      </w:pPr>
    </w:p>
    <w:p w:rsidR="0012708E" w:rsidRDefault="0012708E">
      <w:pPr>
        <w:pStyle w:val="1"/>
      </w:pPr>
      <w:bookmarkStart w:id="28" w:name="_Toc177034351"/>
      <w:bookmarkStart w:id="29" w:name="_Toc4598519"/>
      <w:r>
        <w:lastRenderedPageBreak/>
        <w:t>НАЗНАЧЕНИЕ И ЦЕЛИ СОЗДАНИЯ СИСТЕМЫ</w:t>
      </w:r>
      <w:bookmarkEnd w:id="28"/>
      <w:bookmarkEnd w:id="29"/>
    </w:p>
    <w:p w:rsidR="0012708E" w:rsidRDefault="0012708E">
      <w:pPr>
        <w:pStyle w:val="2"/>
      </w:pPr>
      <w:bookmarkStart w:id="30" w:name="_Toc177034198"/>
      <w:bookmarkStart w:id="31" w:name="_Toc177034352"/>
      <w:bookmarkStart w:id="32" w:name="_Toc4598520"/>
      <w:r>
        <w:t>Назначение системы</w:t>
      </w:r>
      <w:bookmarkEnd w:id="30"/>
      <w:bookmarkEnd w:id="31"/>
      <w:bookmarkEnd w:id="32"/>
      <w:r>
        <w:t xml:space="preserve"> </w:t>
      </w:r>
    </w:p>
    <w:p w:rsidR="001F2162" w:rsidRPr="001F2162" w:rsidRDefault="001F2162" w:rsidP="001F2162">
      <w:pPr>
        <w:pStyle w:val="11"/>
      </w:pPr>
      <w:r>
        <w:t>Мобильное приложение для учета персональных расходов пользователя.</w:t>
      </w:r>
    </w:p>
    <w:p w:rsidR="0012708E" w:rsidRDefault="0012708E">
      <w:pPr>
        <w:pStyle w:val="2"/>
      </w:pPr>
      <w:bookmarkStart w:id="33" w:name="_Toc177034199"/>
      <w:bookmarkStart w:id="34" w:name="_Toc177034353"/>
      <w:bookmarkStart w:id="35" w:name="_Toc4598521"/>
      <w:r>
        <w:t>Цели создания системы</w:t>
      </w:r>
      <w:bookmarkEnd w:id="33"/>
      <w:bookmarkEnd w:id="34"/>
      <w:bookmarkEnd w:id="35"/>
    </w:p>
    <w:p w:rsidR="004008E8" w:rsidRPr="008E3FF7" w:rsidRDefault="004008E8" w:rsidP="00481DDB">
      <w:pPr>
        <w:pStyle w:val="a8"/>
        <w:rPr>
          <w:color w:val="000000"/>
        </w:rPr>
      </w:pPr>
      <w:r w:rsidRPr="008E3FF7">
        <w:rPr>
          <w:color w:val="000000"/>
        </w:rPr>
        <w:t>Цель проекта создать приложение, которое будет максимально эффективно и уд</w:t>
      </w:r>
      <w:r w:rsidR="00394EF4" w:rsidRPr="008E3FF7">
        <w:rPr>
          <w:color w:val="000000"/>
        </w:rPr>
        <w:t xml:space="preserve">обно для конечного пользователя. </w:t>
      </w:r>
    </w:p>
    <w:p w:rsidR="0012708E" w:rsidRDefault="0012708E">
      <w:pPr>
        <w:pStyle w:val="1"/>
      </w:pPr>
      <w:bookmarkStart w:id="36" w:name="_Toc177034355"/>
      <w:bookmarkStart w:id="37" w:name="_Toc4598522"/>
      <w:r>
        <w:lastRenderedPageBreak/>
        <w:t>ТРЕБОВАНИЯ К СИСТЕМЕ</w:t>
      </w:r>
      <w:bookmarkEnd w:id="36"/>
      <w:bookmarkEnd w:id="37"/>
    </w:p>
    <w:p w:rsidR="0012708E" w:rsidRDefault="0012708E">
      <w:pPr>
        <w:pStyle w:val="2"/>
      </w:pPr>
      <w:bookmarkStart w:id="38" w:name="_Toc177034200"/>
      <w:bookmarkStart w:id="39" w:name="_Toc177034356"/>
      <w:bookmarkStart w:id="40" w:name="_Toc4598523"/>
      <w:r>
        <w:t>Требования к системе в целом</w:t>
      </w:r>
      <w:bookmarkEnd w:id="38"/>
      <w:bookmarkEnd w:id="39"/>
      <w:bookmarkEnd w:id="40"/>
    </w:p>
    <w:p w:rsidR="0012708E" w:rsidRDefault="0012708E" w:rsidP="005058BF">
      <w:pPr>
        <w:pStyle w:val="3"/>
      </w:pPr>
      <w:bookmarkStart w:id="41" w:name="_Toc177034201"/>
      <w:bookmarkStart w:id="42" w:name="_Toc177034357"/>
      <w:bookmarkStart w:id="43" w:name="_Toc4598524"/>
      <w:r>
        <w:t>Требования к структуре и функционированию системы</w:t>
      </w:r>
      <w:bookmarkEnd w:id="41"/>
      <w:bookmarkEnd w:id="42"/>
      <w:bookmarkEnd w:id="43"/>
    </w:p>
    <w:p w:rsidR="00394EF4" w:rsidRPr="00394EF4" w:rsidRDefault="00394EF4" w:rsidP="00394EF4">
      <w:pPr>
        <w:pStyle w:val="11"/>
      </w:pPr>
    </w:p>
    <w:p w:rsidR="00394EF4" w:rsidRPr="00394EF4" w:rsidRDefault="00394EF4" w:rsidP="00394EF4">
      <w:pPr>
        <w:pStyle w:val="11"/>
      </w:pPr>
    </w:p>
    <w:p w:rsidR="0012708E" w:rsidRDefault="0012708E" w:rsidP="00C51866">
      <w:pPr>
        <w:pStyle w:val="3"/>
        <w:keepNext w:val="0"/>
      </w:pPr>
      <w:bookmarkStart w:id="44" w:name="_Toc177034207"/>
      <w:bookmarkStart w:id="45" w:name="_Toc177034363"/>
      <w:bookmarkStart w:id="46" w:name="_Toc4598525"/>
      <w:r>
        <w:t>Требования к безопасности</w:t>
      </w:r>
      <w:bookmarkEnd w:id="44"/>
      <w:bookmarkEnd w:id="45"/>
      <w:bookmarkEnd w:id="46"/>
    </w:p>
    <w:p w:rsidR="00B50C80" w:rsidRPr="00B50C80" w:rsidRDefault="00B50C80" w:rsidP="00B50C80">
      <w:pPr>
        <w:pStyle w:val="11"/>
        <w:rPr>
          <w:lang w:val="ru-MD"/>
        </w:rPr>
      </w:pPr>
      <w:r w:rsidRPr="00B50C80">
        <w:rPr>
          <w:lang w:val="ru-MD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:rsidR="0012708E" w:rsidRDefault="0012708E" w:rsidP="000B1B02">
      <w:pPr>
        <w:pStyle w:val="3"/>
        <w:keepNext w:val="0"/>
      </w:pPr>
      <w:bookmarkStart w:id="47" w:name="_Toc177034208"/>
      <w:bookmarkStart w:id="48" w:name="_Toc177034364"/>
      <w:bookmarkStart w:id="49" w:name="_Toc4598526"/>
      <w:r>
        <w:t>Требования к эргономике и технической эстетике</w:t>
      </w:r>
      <w:bookmarkEnd w:id="47"/>
      <w:bookmarkEnd w:id="48"/>
      <w:bookmarkEnd w:id="49"/>
    </w:p>
    <w:p w:rsidR="00B50C80" w:rsidRDefault="00B50C80" w:rsidP="00B50C80">
      <w:pPr>
        <w:spacing w:before="120" w:line="360" w:lineRule="auto"/>
      </w:pPr>
      <w:bookmarkStart w:id="50" w:name="_Toc177034209"/>
      <w:bookmarkStart w:id="51" w:name="_Toc177034365"/>
      <w:r>
        <w:t>Взаимодействие пользователей с системой должно осуществляться посредством визуального графического интерфейса (</w:t>
      </w:r>
      <w:r>
        <w:rPr>
          <w:lang w:val="en-US"/>
        </w:rPr>
        <w:t>GUI</w:t>
      </w:r>
      <w:r>
        <w:t>). Ввод-вывод данных, прием управляющих команд и отображение результатов их исполнения должны выполняться в интерактивном режиме, в реальном масштабе времени. Интерфейс должен соответствовать современным эргономическим требованиям и обеспечивать удобный доступ к основным функциям и операциям, выполняемым подсистемами.</w:t>
      </w:r>
    </w:p>
    <w:p w:rsidR="00B50C80" w:rsidRDefault="00B50C80" w:rsidP="00B50C80">
      <w:pPr>
        <w:spacing w:before="120" w:line="360" w:lineRule="auto"/>
        <w:rPr>
          <w:iCs/>
          <w:szCs w:val="20"/>
        </w:rPr>
      </w:pPr>
      <w:r>
        <w:rPr>
          <w:iCs/>
        </w:rPr>
        <w:t>Страницы пользовательского интерфейса должны проектироваться с учетом требований унификации:</w:t>
      </w:r>
    </w:p>
    <w:p w:rsidR="00B50C80" w:rsidRDefault="00B50C80" w:rsidP="00B50C80">
      <w:pPr>
        <w:numPr>
          <w:ilvl w:val="0"/>
          <w:numId w:val="34"/>
        </w:numPr>
        <w:spacing w:before="120" w:line="360" w:lineRule="auto"/>
        <w:jc w:val="both"/>
        <w:rPr>
          <w:iCs/>
        </w:rPr>
      </w:pPr>
      <w:r>
        <w:rPr>
          <w:iCs/>
        </w:rPr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:rsidR="00B50C80" w:rsidRDefault="00B50C80" w:rsidP="00B50C80">
      <w:pPr>
        <w:numPr>
          <w:ilvl w:val="0"/>
          <w:numId w:val="34"/>
        </w:numPr>
        <w:spacing w:before="120" w:line="360" w:lineRule="auto"/>
        <w:jc w:val="both"/>
        <w:rPr>
          <w:iCs/>
        </w:rPr>
      </w:pPr>
      <w:r>
        <w:rPr>
          <w:iCs/>
        </w:rPr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:rsidR="00B50C80" w:rsidRDefault="00B50C80" w:rsidP="00B50C80">
      <w:pPr>
        <w:spacing w:before="120" w:line="360" w:lineRule="auto"/>
        <w:rPr>
          <w:szCs w:val="20"/>
        </w:rPr>
      </w:pPr>
    </w:p>
    <w:p w:rsidR="00B50C80" w:rsidRDefault="00B50C80" w:rsidP="00B50C80">
      <w:pPr>
        <w:spacing w:before="120" w:line="360" w:lineRule="auto"/>
        <w:rPr>
          <w:szCs w:val="20"/>
        </w:rPr>
      </w:pPr>
    </w:p>
    <w:p w:rsidR="0012708E" w:rsidRDefault="0012708E" w:rsidP="000B1B02">
      <w:pPr>
        <w:pStyle w:val="3"/>
        <w:keepNext w:val="0"/>
      </w:pPr>
      <w:bookmarkStart w:id="52" w:name="_Toc177034211"/>
      <w:bookmarkStart w:id="53" w:name="_Toc177034367"/>
      <w:bookmarkStart w:id="54" w:name="_Toc4598527"/>
      <w:bookmarkEnd w:id="50"/>
      <w:bookmarkEnd w:id="51"/>
      <w:r>
        <w:lastRenderedPageBreak/>
        <w:t>Требования к защите информации от несанкционированного доступа</w:t>
      </w:r>
      <w:bookmarkEnd w:id="52"/>
      <w:bookmarkEnd w:id="53"/>
      <w:bookmarkEnd w:id="54"/>
    </w:p>
    <w:p w:rsidR="00B50C80" w:rsidRPr="003F32EA" w:rsidRDefault="003F32EA" w:rsidP="003F32EA">
      <w:pPr>
        <w:spacing w:line="360" w:lineRule="auto"/>
        <w:ind w:left="708"/>
        <w:jc w:val="both"/>
      </w:pPr>
      <w:r>
        <w:t>1.</w:t>
      </w:r>
      <w:r>
        <w:tab/>
      </w:r>
      <w:r w:rsidR="00B50C80" w:rsidRPr="003F32EA">
        <w:t>Данные пользователя должны храниться на устройстве пользователя.</w:t>
      </w:r>
    </w:p>
    <w:p w:rsidR="003F32EA" w:rsidRPr="003F32EA" w:rsidRDefault="003F32EA" w:rsidP="003F32EA">
      <w:pPr>
        <w:spacing w:line="360" w:lineRule="auto"/>
        <w:ind w:left="708"/>
        <w:jc w:val="both"/>
      </w:pPr>
      <w:r>
        <w:t>2.</w:t>
      </w:r>
      <w:r>
        <w:tab/>
      </w:r>
      <w:r w:rsidR="00B50C80" w:rsidRPr="003F32EA">
        <w:t>Запрещено хранить данные пользователя на веб-сервере.</w:t>
      </w:r>
    </w:p>
    <w:p w:rsidR="00B50C80" w:rsidRPr="005D0938" w:rsidRDefault="003F32EA" w:rsidP="003F32EA">
      <w:pPr>
        <w:spacing w:line="360" w:lineRule="auto"/>
        <w:ind w:left="708"/>
        <w:jc w:val="both"/>
      </w:pPr>
      <w:r>
        <w:t>3.</w:t>
      </w:r>
      <w:r>
        <w:tab/>
      </w:r>
      <w:r w:rsidRPr="003F32EA">
        <w:t>Запрещено отправлять данные пользователя на сторонние сервисы.</w:t>
      </w:r>
    </w:p>
    <w:p w:rsidR="005D0938" w:rsidRDefault="0012708E" w:rsidP="005D0938">
      <w:pPr>
        <w:pStyle w:val="2"/>
        <w:keepNext w:val="0"/>
      </w:pPr>
      <w:bookmarkStart w:id="55" w:name="_Toc177034217"/>
      <w:bookmarkStart w:id="56" w:name="_Toc177034373"/>
      <w:bookmarkStart w:id="57" w:name="_Toc4598528"/>
      <w:r>
        <w:t>Требования к функциям (задачам), выполняемым системой</w:t>
      </w:r>
      <w:bookmarkEnd w:id="55"/>
      <w:bookmarkEnd w:id="56"/>
      <w:bookmarkEnd w:id="57"/>
    </w:p>
    <w:p w:rsidR="005D0938" w:rsidRDefault="005D0938" w:rsidP="005D0938">
      <w:pPr>
        <w:pStyle w:val="11"/>
      </w:pPr>
      <w:r>
        <w:t>1.</w:t>
      </w:r>
      <w:r>
        <w:tab/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D0938" w:rsidRDefault="005D0938" w:rsidP="005D0938">
      <w:pPr>
        <w:pStyle w:val="11"/>
      </w:pPr>
      <w:r>
        <w:t>2.</w:t>
      </w:r>
      <w:r>
        <w:tab/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D0938" w:rsidRDefault="005D0938" w:rsidP="005D0938">
      <w:pPr>
        <w:pStyle w:val="11"/>
      </w:pPr>
      <w:r>
        <w:t>3.</w:t>
      </w:r>
      <w:r>
        <w:tab/>
        <w:t>Пользователь может просматривать все записи с помощью клика на советующую кнопку в главном меню.</w:t>
      </w:r>
    </w:p>
    <w:p w:rsidR="005D0938" w:rsidRDefault="005D0938" w:rsidP="005D0938">
      <w:pPr>
        <w:pStyle w:val="11"/>
      </w:pPr>
      <w:r>
        <w:t>4.</w:t>
      </w:r>
      <w:r>
        <w:tab/>
        <w:t>Пользователь может изменять существующие записи о расходах ,выбрав необходимую запись в общем списке записей. Он может изменить дату, сумму или категорию расхода.</w:t>
      </w:r>
    </w:p>
    <w:p w:rsidR="005D0938" w:rsidRDefault="005D0938" w:rsidP="005D0938">
      <w:pPr>
        <w:pStyle w:val="11"/>
      </w:pPr>
      <w:r>
        <w:t>5.</w:t>
      </w:r>
      <w:r>
        <w:tab/>
        <w:t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При этого система отобразит окно ,где пользователю будет необходимо подтвердить свои действия.</w:t>
      </w:r>
    </w:p>
    <w:p w:rsidR="005D0938" w:rsidRDefault="005D0938" w:rsidP="005D0938">
      <w:pPr>
        <w:pStyle w:val="11"/>
      </w:pPr>
      <w:r>
        <w:t>6.</w:t>
      </w:r>
      <w:r>
        <w:tab/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D0938" w:rsidRDefault="005D0938" w:rsidP="005D0938">
      <w:pPr>
        <w:pStyle w:val="11"/>
      </w:pPr>
      <w:r>
        <w:t>7.</w:t>
      </w:r>
      <w:r>
        <w:tab/>
        <w:t>Пользователь может редактировать категории. Можно изменить название категории ,добавить лимит или изменить лимит.</w:t>
      </w:r>
    </w:p>
    <w:p w:rsidR="005D0938" w:rsidRDefault="005D0938" w:rsidP="005D0938">
      <w:pPr>
        <w:pStyle w:val="11"/>
      </w:pPr>
      <w:r>
        <w:t>8.</w:t>
      </w:r>
      <w:r>
        <w:tab/>
        <w:t xml:space="preserve">Пользователь может удалить категорию. При этом все записи расходов для этой категории удаляются. </w:t>
      </w:r>
    </w:p>
    <w:p w:rsidR="005D0938" w:rsidRPr="005D0938" w:rsidRDefault="005D0938" w:rsidP="005D0938">
      <w:pPr>
        <w:pStyle w:val="11"/>
      </w:pPr>
      <w:r>
        <w:t>9.</w:t>
      </w:r>
      <w:r>
        <w:tab/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12708E" w:rsidRDefault="0012708E" w:rsidP="000B1B02">
      <w:pPr>
        <w:pStyle w:val="2"/>
        <w:keepNext w:val="0"/>
      </w:pPr>
      <w:bookmarkStart w:id="58" w:name="_Toc177034218"/>
      <w:bookmarkStart w:id="59" w:name="_Toc177034374"/>
      <w:bookmarkStart w:id="60" w:name="_Toc4598529"/>
      <w:r>
        <w:t>Требования к видам обеспечения</w:t>
      </w:r>
      <w:bookmarkEnd w:id="58"/>
      <w:bookmarkEnd w:id="59"/>
      <w:bookmarkEnd w:id="60"/>
    </w:p>
    <w:p w:rsidR="0012708E" w:rsidRDefault="0012708E" w:rsidP="000B1B02">
      <w:pPr>
        <w:pStyle w:val="3"/>
        <w:keepNext w:val="0"/>
      </w:pPr>
      <w:bookmarkStart w:id="61" w:name="_Toc177034220"/>
      <w:bookmarkStart w:id="62" w:name="_Toc177034376"/>
      <w:bookmarkStart w:id="63" w:name="_Toc4598530"/>
      <w:r>
        <w:t>Требования информационному обеспечению системы</w:t>
      </w:r>
      <w:bookmarkEnd w:id="61"/>
      <w:bookmarkEnd w:id="62"/>
      <w:bookmarkEnd w:id="63"/>
    </w:p>
    <w:p w:rsidR="003F32EA" w:rsidRPr="003F32EA" w:rsidRDefault="003F32EA" w:rsidP="003F32EA">
      <w:pPr>
        <w:pStyle w:val="11"/>
      </w:pPr>
    </w:p>
    <w:p w:rsidR="0012708E" w:rsidRDefault="0012708E" w:rsidP="000B1B02">
      <w:pPr>
        <w:pStyle w:val="3"/>
        <w:keepNext w:val="0"/>
      </w:pPr>
      <w:bookmarkStart w:id="64" w:name="_Toc177034221"/>
      <w:bookmarkStart w:id="65" w:name="_Toc177034377"/>
      <w:bookmarkStart w:id="66" w:name="_Toc4598531"/>
      <w:r>
        <w:t>Требования к лингвистическому обеспечению системы</w:t>
      </w:r>
      <w:bookmarkEnd w:id="64"/>
      <w:bookmarkEnd w:id="65"/>
      <w:bookmarkEnd w:id="66"/>
      <w:r>
        <w:t xml:space="preserve"> </w:t>
      </w:r>
    </w:p>
    <w:p w:rsidR="003F32EA" w:rsidRPr="008E3FF7" w:rsidRDefault="008E3FF7" w:rsidP="003F32EA">
      <w:pPr>
        <w:pStyle w:val="11"/>
      </w:pPr>
      <w:r>
        <w:lastRenderedPageBreak/>
        <w:t xml:space="preserve">Операционная система: </w:t>
      </w:r>
      <w:r>
        <w:rPr>
          <w:lang w:val="en-US"/>
        </w:rPr>
        <w:t>Android</w:t>
      </w:r>
      <w:r w:rsidRPr="008E3FF7">
        <w:t xml:space="preserve"> </w:t>
      </w:r>
      <w:r>
        <w:rPr>
          <w:lang w:val="en-US"/>
        </w:rPr>
        <w:t>OS</w:t>
      </w:r>
    </w:p>
    <w:p w:rsidR="008E3FF7" w:rsidRDefault="008E3FF7" w:rsidP="003F32EA">
      <w:pPr>
        <w:pStyle w:val="11"/>
        <w:rPr>
          <w:lang w:val="en-US"/>
        </w:rPr>
      </w:pPr>
      <w:r>
        <w:t xml:space="preserve">Язык программирования: </w:t>
      </w:r>
      <w:r>
        <w:rPr>
          <w:lang w:val="en-US"/>
        </w:rPr>
        <w:t>Java</w:t>
      </w:r>
    </w:p>
    <w:p w:rsidR="008E3FF7" w:rsidRPr="008E3FF7" w:rsidRDefault="008E3FF7" w:rsidP="003F32EA">
      <w:pPr>
        <w:pStyle w:val="11"/>
      </w:pPr>
      <w:r>
        <w:t xml:space="preserve">СУБД: </w:t>
      </w:r>
    </w:p>
    <w:p w:rsidR="0012708E" w:rsidRDefault="0012708E" w:rsidP="000B1B02">
      <w:pPr>
        <w:pStyle w:val="3"/>
        <w:keepNext w:val="0"/>
      </w:pPr>
      <w:bookmarkStart w:id="67" w:name="_Toc177034222"/>
      <w:bookmarkStart w:id="68" w:name="_Toc177034378"/>
      <w:bookmarkStart w:id="69" w:name="_Toc4598532"/>
      <w:r>
        <w:t>Требования к программному обеспечению системы</w:t>
      </w:r>
      <w:bookmarkEnd w:id="67"/>
      <w:bookmarkEnd w:id="68"/>
      <w:bookmarkEnd w:id="69"/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Для программного обеспечения системы приводят перечень покупных программных средств, а также требования: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1) к независимости программных средств от используемых СВТ и операционной среды;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2) к качеству программных средств, а также к способам его обеспечения и контроля;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>3) по необходимости согласования вновь разрабатываемых программных средств с фондом алгоритмов и программ.</w:t>
      </w:r>
    </w:p>
    <w:p w:rsidR="0012708E" w:rsidRDefault="0012708E" w:rsidP="000B1B02">
      <w:pPr>
        <w:pStyle w:val="3"/>
        <w:keepNext w:val="0"/>
      </w:pPr>
      <w:bookmarkStart w:id="70" w:name="_Toc177034223"/>
      <w:bookmarkStart w:id="71" w:name="_Toc177034379"/>
      <w:bookmarkStart w:id="72" w:name="_Toc4598533"/>
      <w:r>
        <w:t>Требования к техническому обеспечению</w:t>
      </w:r>
      <w:bookmarkEnd w:id="70"/>
      <w:bookmarkEnd w:id="71"/>
      <w:bookmarkEnd w:id="72"/>
      <w:r>
        <w:t xml:space="preserve">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Для технического обеспечения системы приводят требования: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:rsidR="0012708E" w:rsidRDefault="0012708E">
      <w:pPr>
        <w:pStyle w:val="1"/>
      </w:pPr>
      <w:bookmarkStart w:id="73" w:name="_Toc177034383"/>
      <w:bookmarkStart w:id="74" w:name="_Toc4598534"/>
      <w:r>
        <w:lastRenderedPageBreak/>
        <w:t>СОСТАВ И СОДЕРЖАНИЕ РАБОТ ПО СОЗДАНИЮ (РАЗВИТИЮ) СИСТЕМЫ</w:t>
      </w:r>
      <w:bookmarkEnd w:id="73"/>
      <w:bookmarkEnd w:id="74"/>
    </w:p>
    <w:p w:rsidR="0031695C" w:rsidRDefault="0031695C" w:rsidP="0031695C">
      <w:pPr>
        <w:pStyle w:val="a8"/>
      </w:pPr>
      <w:r>
        <w:t xml:space="preserve">Раздел «Состав и содержание работ по созданию (развитию) системы»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 </w:t>
      </w:r>
    </w:p>
    <w:p w:rsidR="0031695C" w:rsidRDefault="0031695C" w:rsidP="0031695C">
      <w:pPr>
        <w:pStyle w:val="a8"/>
      </w:pPr>
      <w:r>
        <w:t xml:space="preserve">В данном разделе также приводят: </w:t>
      </w:r>
    </w:p>
    <w:p w:rsidR="0031695C" w:rsidRDefault="0031695C" w:rsidP="0031695C">
      <w:pPr>
        <w:pStyle w:val="a8"/>
      </w:pPr>
      <w:r>
        <w:t xml:space="preserve">1) перечень документов, по </w:t>
      </w:r>
      <w:r w:rsidRPr="0031695C">
        <w:t>ГОСТ 34.201-89</w:t>
      </w:r>
      <w:r>
        <w:t xml:space="preserve">, предъявляемых по окончании соответствующих стадий и этапов работ; </w:t>
      </w:r>
    </w:p>
    <w:p w:rsidR="0031695C" w:rsidRDefault="0031695C" w:rsidP="0031695C">
      <w:pPr>
        <w:pStyle w:val="a8"/>
      </w:pPr>
      <w:r>
        <w:t xml:space="preserve">2) вид и порядок проведения экспертизы технической документации (стадия, этап, объем проверяемой документации, организация-эксперт); </w:t>
      </w:r>
    </w:p>
    <w:p w:rsidR="0031695C" w:rsidRDefault="0031695C" w:rsidP="0031695C">
      <w:pPr>
        <w:pStyle w:val="a8"/>
      </w:pPr>
      <w:r>
        <w:t xml:space="preserve">3) программу работ, направленных на обеспечение требуемого уровня надежности разрабатываемой системы (при необходимости); </w:t>
      </w:r>
    </w:p>
    <w:p w:rsidR="0031695C" w:rsidRDefault="0031695C" w:rsidP="0031695C">
      <w:pPr>
        <w:pStyle w:val="a8"/>
      </w:pPr>
      <w:r>
        <w:t xml:space="preserve"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 </w:t>
      </w:r>
    </w:p>
    <w:p w:rsidR="0031695C" w:rsidRPr="0031695C" w:rsidRDefault="0031695C" w:rsidP="0031695C">
      <w:pPr>
        <w:pStyle w:val="11"/>
      </w:pPr>
    </w:p>
    <w:p w:rsidR="0012708E" w:rsidRDefault="0012708E">
      <w:pPr>
        <w:pStyle w:val="1"/>
      </w:pPr>
      <w:bookmarkStart w:id="75" w:name="_Toc177034384"/>
      <w:bookmarkStart w:id="76" w:name="_Toc4598535"/>
      <w:r>
        <w:lastRenderedPageBreak/>
        <w:t>ПОРЯДОК КОНТРОЛЯ И ПРИЕМКИ СИСТЕМЫ</w:t>
      </w:r>
      <w:bookmarkEnd w:id="75"/>
      <w:bookmarkEnd w:id="76"/>
    </w:p>
    <w:p w:rsidR="00E90790" w:rsidRDefault="00E90790" w:rsidP="00E90790">
      <w:pPr>
        <w:pStyle w:val="a8"/>
      </w:pPr>
      <w:r>
        <w:t xml:space="preserve">В разделе «Порядок контроля и приемки системы» указывают: </w:t>
      </w:r>
    </w:p>
    <w:p w:rsidR="00E90790" w:rsidRDefault="00E90790" w:rsidP="00E90790">
      <w:pPr>
        <w:pStyle w:val="a8"/>
      </w:pPr>
      <w:r>
        <w:t xml:space="preserve"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 </w:t>
      </w:r>
    </w:p>
    <w:p w:rsidR="00E90790" w:rsidRDefault="00E90790" w:rsidP="00E90790">
      <w:pPr>
        <w:pStyle w:val="a8"/>
      </w:pPr>
      <w:r>
        <w:t xml:space="preserve"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 </w:t>
      </w:r>
    </w:p>
    <w:p w:rsidR="00E90790" w:rsidRDefault="00E90790" w:rsidP="00E90790">
      <w:pPr>
        <w:pStyle w:val="a8"/>
      </w:pPr>
      <w:r>
        <w:t>З) статус приемочной комиссии (государственная, межведомственная, ведомственная).</w:t>
      </w:r>
    </w:p>
    <w:p w:rsidR="0012708E" w:rsidRDefault="0012708E">
      <w:pPr>
        <w:pStyle w:val="2"/>
      </w:pPr>
      <w:bookmarkStart w:id="77" w:name="_Toc177034227"/>
      <w:bookmarkStart w:id="78" w:name="_Toc177034385"/>
      <w:bookmarkStart w:id="79" w:name="_Toc4598536"/>
      <w:r>
        <w:t>Виды, состав, объем и методы испытаний системы</w:t>
      </w:r>
      <w:bookmarkEnd w:id="77"/>
      <w:bookmarkEnd w:id="78"/>
      <w:bookmarkEnd w:id="79"/>
    </w:p>
    <w:p w:rsidR="0012708E" w:rsidRDefault="0012708E">
      <w:pPr>
        <w:pStyle w:val="2"/>
      </w:pPr>
      <w:bookmarkStart w:id="80" w:name="_Toc177034228"/>
      <w:bookmarkStart w:id="81" w:name="_Toc177034386"/>
      <w:bookmarkStart w:id="82" w:name="_Toc4598537"/>
      <w:r>
        <w:t>Общие требования к приемке работ по стадиям</w:t>
      </w:r>
      <w:bookmarkEnd w:id="80"/>
      <w:bookmarkEnd w:id="81"/>
      <w:bookmarkEnd w:id="82"/>
    </w:p>
    <w:p w:rsidR="0012708E" w:rsidRDefault="0012708E">
      <w:pPr>
        <w:pStyle w:val="2"/>
      </w:pPr>
      <w:bookmarkStart w:id="83" w:name="_Toc177034229"/>
      <w:bookmarkStart w:id="84" w:name="_Toc177034387"/>
      <w:bookmarkStart w:id="85" w:name="_Toc4598538"/>
      <w:r>
        <w:t>Статус приемочной комиссии</w:t>
      </w:r>
      <w:bookmarkEnd w:id="83"/>
      <w:bookmarkEnd w:id="84"/>
      <w:bookmarkEnd w:id="85"/>
    </w:p>
    <w:p w:rsidR="0012708E" w:rsidRDefault="0012708E">
      <w:pPr>
        <w:pStyle w:val="1"/>
      </w:pPr>
      <w:bookmarkStart w:id="86" w:name="_Toc177034388"/>
      <w:bookmarkStart w:id="87" w:name="_Toc4598539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86"/>
      <w:bookmarkEnd w:id="87"/>
    </w:p>
    <w:p w:rsidR="00E90790" w:rsidRDefault="00E90790" w:rsidP="00E90790">
      <w:pPr>
        <w:pStyle w:val="a8"/>
      </w:pPr>
      <w:r>
        <w:t xml:space="preserve">В разделе «Требования к составу и содержанию работ по подготовке объекта автоматизации к вводу системы в действие» необходимо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 </w:t>
      </w:r>
    </w:p>
    <w:p w:rsidR="00E90790" w:rsidRDefault="00E90790" w:rsidP="00E90790">
      <w:pPr>
        <w:pStyle w:val="a8"/>
      </w:pPr>
      <w:r>
        <w:t xml:space="preserve">В перечень основных мероприятий включают: </w:t>
      </w:r>
    </w:p>
    <w:p w:rsidR="00E90790" w:rsidRDefault="00E90790" w:rsidP="00E90790">
      <w:pPr>
        <w:pStyle w:val="a8"/>
      </w:pPr>
      <w:r>
        <w:t xml:space="preserve"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</w:t>
      </w:r>
    </w:p>
    <w:p w:rsidR="00E90790" w:rsidRDefault="00E90790" w:rsidP="00E90790">
      <w:pPr>
        <w:pStyle w:val="a8"/>
      </w:pPr>
      <w:r>
        <w:t xml:space="preserve">2) изменения, которые необходимо осуществить в объекте автоматизации; </w:t>
      </w:r>
    </w:p>
    <w:p w:rsidR="00E90790" w:rsidRDefault="00E90790" w:rsidP="00E90790">
      <w:pPr>
        <w:pStyle w:val="a8"/>
      </w:pPr>
      <w:r>
        <w:t xml:space="preserve"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 </w:t>
      </w:r>
    </w:p>
    <w:p w:rsidR="00E90790" w:rsidRDefault="00E90790" w:rsidP="00E90790">
      <w:pPr>
        <w:pStyle w:val="a8"/>
      </w:pPr>
      <w:r>
        <w:t xml:space="preserve">4) создание необходимых для функционирования системы подразделений и служб; </w:t>
      </w:r>
    </w:p>
    <w:p w:rsidR="00E90790" w:rsidRDefault="00E90790" w:rsidP="00E90790">
      <w:pPr>
        <w:pStyle w:val="a8"/>
      </w:pPr>
      <w:r>
        <w:t xml:space="preserve">5) сроки и порядок комплектования штатов и обучения персонала. </w:t>
      </w:r>
    </w:p>
    <w:p w:rsidR="00E90790" w:rsidRDefault="00E90790" w:rsidP="00E90790">
      <w:pPr>
        <w:pStyle w:val="a8"/>
      </w:pPr>
      <w:r>
        <w:t xml:space="preserve">Например, для АСУ приводят: </w:t>
      </w:r>
    </w:p>
    <w:p w:rsidR="00E90790" w:rsidRDefault="00E90790" w:rsidP="00E90790">
      <w:pPr>
        <w:pStyle w:val="a8"/>
      </w:pPr>
      <w:r>
        <w:t xml:space="preserve">изменения применяемых методов управления; </w:t>
      </w:r>
    </w:p>
    <w:p w:rsidR="00E90790" w:rsidRPr="00E90790" w:rsidRDefault="00E90790" w:rsidP="00E90790">
      <w:pPr>
        <w:pStyle w:val="a8"/>
      </w:pPr>
      <w:r>
        <w:t xml:space="preserve">создание условий для работы компонентов АСУ, при которых гарантируется соответствие системы требованиям, содержащимся в ТЗ. </w:t>
      </w:r>
    </w:p>
    <w:p w:rsidR="0012708E" w:rsidRDefault="0012708E">
      <w:pPr>
        <w:pStyle w:val="1"/>
      </w:pPr>
      <w:bookmarkStart w:id="88" w:name="_Toc177034389"/>
      <w:bookmarkStart w:id="89" w:name="_Toc4598540"/>
      <w:r>
        <w:lastRenderedPageBreak/>
        <w:t>ТРЕБОВАНИЯ К ДОКУМЕНТИРОВАНИЮ</w:t>
      </w:r>
      <w:bookmarkEnd w:id="88"/>
      <w:bookmarkEnd w:id="89"/>
    </w:p>
    <w:p w:rsidR="00E90790" w:rsidRDefault="00E90790" w:rsidP="00E90790">
      <w:pPr>
        <w:pStyle w:val="a8"/>
      </w:pPr>
      <w:r>
        <w:t xml:space="preserve">В разделе «Требования к документированию» приводят: </w:t>
      </w:r>
    </w:p>
    <w:p w:rsidR="00E90790" w:rsidRDefault="00E90790" w:rsidP="00E90790">
      <w:pPr>
        <w:pStyle w:val="a8"/>
      </w:pPr>
      <w:r>
        <w:t xml:space="preserve">1) согласованный разработчиком и Заказчиком системы перечень подлежащих разработке комплектов и видов документов, соответствующих требованиям </w:t>
      </w:r>
      <w:r w:rsidRPr="00E90790">
        <w:t>ГОСТ 34.201-89</w:t>
      </w:r>
      <w:r>
        <w:t xml:space="preserve"> и НТД отрасли заказчика; перечень документов, выпускаемых на машинных носителях; требования к микрофильмированию документации; </w:t>
      </w:r>
    </w:p>
    <w:p w:rsidR="00E90790" w:rsidRDefault="00E90790" w:rsidP="00E90790">
      <w:pPr>
        <w:pStyle w:val="a8"/>
      </w:pPr>
      <w:r>
        <w:t xml:space="preserve">2) требования по документированию комплектующих элементов межотраслевого применения в соответствии с требованиями ЕСКД и ЕСПД; </w:t>
      </w:r>
    </w:p>
    <w:p w:rsidR="00E90790" w:rsidRPr="00E90790" w:rsidRDefault="00E90790" w:rsidP="00E90790">
      <w:pPr>
        <w:pStyle w:val="a8"/>
      </w:pPr>
      <w: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12708E" w:rsidRDefault="0012708E">
      <w:pPr>
        <w:pStyle w:val="1"/>
      </w:pPr>
      <w:bookmarkStart w:id="90" w:name="_Toc177034390"/>
      <w:bookmarkStart w:id="91" w:name="_Toc4598541"/>
      <w:r>
        <w:lastRenderedPageBreak/>
        <w:t>ИСТОЧНИКИ РАЗРАБОТКИ</w:t>
      </w:r>
      <w:bookmarkEnd w:id="90"/>
      <w:bookmarkEnd w:id="91"/>
    </w:p>
    <w:p w:rsidR="00E90790" w:rsidRPr="00E90790" w:rsidRDefault="00E90790" w:rsidP="00E90790">
      <w:pPr>
        <w:pStyle w:val="a8"/>
      </w:pPr>
      <w:r w:rsidRPr="00E90790">
        <w:t>В разделе «Источники разработки»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12708E" w:rsidRDefault="0012708E">
      <w:pPr>
        <w:pStyle w:val="ae"/>
      </w:pPr>
      <w:bookmarkStart w:id="92" w:name="_Toc177034391"/>
      <w:bookmarkStart w:id="93" w:name="_Toc4598542"/>
      <w:r>
        <w:lastRenderedPageBreak/>
        <w:t>ПРИЛОЖЕНИЕ А</w:t>
      </w:r>
      <w:bookmarkEnd w:id="92"/>
      <w:bookmarkEnd w:id="93"/>
    </w:p>
    <w:p w:rsidR="00E904EB" w:rsidRPr="00E904EB" w:rsidRDefault="0012708E" w:rsidP="00E904EB">
      <w:pPr>
        <w:pStyle w:val="af"/>
      </w:pPr>
      <w:r w:rsidRPr="00E904EB">
        <w:t>Название приложения</w:t>
      </w:r>
    </w:p>
    <w:p w:rsidR="001C6168" w:rsidRPr="001C6168" w:rsidRDefault="0012708E" w:rsidP="001C6168">
      <w:pPr>
        <w:pStyle w:val="11"/>
      </w:pPr>
      <w:r w:rsidRPr="00E904EB">
        <w:rPr>
          <w:rStyle w:val="CharChar1"/>
        </w:rPr>
        <w:br w:type="page"/>
      </w:r>
      <w:bookmarkEnd w:id="4"/>
      <w:bookmarkEnd w:id="5"/>
      <w:r w:rsidR="001C6168" w:rsidRPr="001C6168">
        <w:lastRenderedPageBreak/>
        <w:t xml:space="preserve">СОСТАВИЛИ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1C6168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Default="001C6168" w:rsidP="001C6168">
            <w:pPr>
              <w:pStyle w:val="ad"/>
            </w:pPr>
            <w: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Дата</w:t>
            </w:r>
          </w:p>
        </w:tc>
      </w:tr>
      <w:tr w:rsidR="001C616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</w:tr>
    </w:tbl>
    <w:p w:rsidR="001C6168" w:rsidRPr="001C6168" w:rsidRDefault="001C6168" w:rsidP="00E904EB">
      <w:pPr>
        <w:pStyle w:val="11"/>
      </w:pPr>
      <w:r w:rsidRPr="001C6168">
        <w:t xml:space="preserve">СОГЛАСОВАНО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1C6168" w:rsidRPr="001C6168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Дата</w:t>
            </w:r>
          </w:p>
        </w:tc>
      </w:tr>
      <w:tr w:rsidR="001C6168" w:rsidRPr="001C616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</w:tr>
    </w:tbl>
    <w:p w:rsidR="0012708E" w:rsidRDefault="0012708E" w:rsidP="001C6168">
      <w:pPr>
        <w:pStyle w:val="11"/>
      </w:pPr>
    </w:p>
    <w:sectPr w:rsidR="0012708E">
      <w:footerReference w:type="default" r:id="rId9"/>
      <w:headerReference w:type="first" r:id="rId10"/>
      <w:footerReference w:type="first" r:id="rId11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D41" w:rsidRDefault="00894D41">
      <w:r>
        <w:separator/>
      </w:r>
    </w:p>
  </w:endnote>
  <w:endnote w:type="continuationSeparator" w:id="0">
    <w:p w:rsidR="00894D41" w:rsidRDefault="0089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Pr="00225360" w:rsidRDefault="005762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Default="005762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D41" w:rsidRDefault="00894D41">
      <w:r>
        <w:separator/>
      </w:r>
    </w:p>
  </w:footnote>
  <w:footnote w:type="continuationSeparator" w:id="0">
    <w:p w:rsidR="00894D41" w:rsidRDefault="00894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Default="005762E2">
    <w:pPr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0699F">
      <w:rPr>
        <w:rStyle w:val="a7"/>
        <w:noProof/>
      </w:rPr>
      <w:t>11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Default="005762E2">
    <w:pPr>
      <w:jc w:val="center"/>
      <w:rPr>
        <w:noProof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0699F">
      <w:rPr>
        <w:rStyle w:val="a7"/>
        <w:noProof/>
      </w:rPr>
      <w:t>3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5359"/>
    <w:multiLevelType w:val="multilevel"/>
    <w:tmpl w:val="A98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C75EF3F2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  <w:b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78948C2"/>
    <w:multiLevelType w:val="multilevel"/>
    <w:tmpl w:val="1FDEC8F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090545D1"/>
    <w:multiLevelType w:val="multilevel"/>
    <w:tmpl w:val="2BA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273FB"/>
    <w:multiLevelType w:val="multilevel"/>
    <w:tmpl w:val="634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607A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6" w15:restartNumberingAfterBreak="0">
    <w:nsid w:val="16C95965"/>
    <w:multiLevelType w:val="multilevel"/>
    <w:tmpl w:val="5D8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55893"/>
    <w:multiLevelType w:val="multilevel"/>
    <w:tmpl w:val="A3A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63DCC"/>
    <w:multiLevelType w:val="multilevel"/>
    <w:tmpl w:val="1A6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4199C"/>
    <w:multiLevelType w:val="multilevel"/>
    <w:tmpl w:val="49C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B689C"/>
    <w:multiLevelType w:val="multilevel"/>
    <w:tmpl w:val="FCA4E82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3" w15:restartNumberingAfterBreak="0">
    <w:nsid w:val="313C0FCE"/>
    <w:multiLevelType w:val="multilevel"/>
    <w:tmpl w:val="FE4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010DA"/>
    <w:multiLevelType w:val="multilevel"/>
    <w:tmpl w:val="7CF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0F1170"/>
    <w:multiLevelType w:val="multilevel"/>
    <w:tmpl w:val="4DC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0149D"/>
    <w:multiLevelType w:val="multilevel"/>
    <w:tmpl w:val="1A963288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51" w:firstLine="0"/>
      </w:pPr>
      <w:rPr>
        <w:rFonts w:hint="default"/>
        <w:b w:val="0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8" w15:restartNumberingAfterBreak="0">
    <w:nsid w:val="35443298"/>
    <w:multiLevelType w:val="multilevel"/>
    <w:tmpl w:val="4D4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F4D5C"/>
    <w:multiLevelType w:val="multilevel"/>
    <w:tmpl w:val="04B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217D0"/>
    <w:multiLevelType w:val="multilevel"/>
    <w:tmpl w:val="7B6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20D68"/>
    <w:multiLevelType w:val="hybridMultilevel"/>
    <w:tmpl w:val="49128B0E"/>
    <w:lvl w:ilvl="0" w:tplc="4E04475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E074E"/>
    <w:multiLevelType w:val="multilevel"/>
    <w:tmpl w:val="D8B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02209"/>
    <w:multiLevelType w:val="multilevel"/>
    <w:tmpl w:val="E04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13F8E"/>
    <w:multiLevelType w:val="multilevel"/>
    <w:tmpl w:val="BB8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A1AF7"/>
    <w:multiLevelType w:val="multilevel"/>
    <w:tmpl w:val="44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C03EB"/>
    <w:multiLevelType w:val="multilevel"/>
    <w:tmpl w:val="F79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21EBD"/>
    <w:multiLevelType w:val="multilevel"/>
    <w:tmpl w:val="BC0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3E7BDB"/>
    <w:multiLevelType w:val="multilevel"/>
    <w:tmpl w:val="B72E04F6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0" w15:restartNumberingAfterBreak="0">
    <w:nsid w:val="6B476125"/>
    <w:multiLevelType w:val="multilevel"/>
    <w:tmpl w:val="142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3170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FE14777"/>
    <w:multiLevelType w:val="multilevel"/>
    <w:tmpl w:val="ED6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569D2"/>
    <w:multiLevelType w:val="multilevel"/>
    <w:tmpl w:val="CFE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A2520"/>
    <w:multiLevelType w:val="multilevel"/>
    <w:tmpl w:val="0324D6E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1"/>
  </w:num>
  <w:num w:numId="4">
    <w:abstractNumId w:val="7"/>
  </w:num>
  <w:num w:numId="5">
    <w:abstractNumId w:val="34"/>
  </w:num>
  <w:num w:numId="6">
    <w:abstractNumId w:val="5"/>
  </w:num>
  <w:num w:numId="7">
    <w:abstractNumId w:val="26"/>
  </w:num>
  <w:num w:numId="8">
    <w:abstractNumId w:val="28"/>
  </w:num>
  <w:num w:numId="9">
    <w:abstractNumId w:val="14"/>
  </w:num>
  <w:num w:numId="10">
    <w:abstractNumId w:val="20"/>
  </w:num>
  <w:num w:numId="11">
    <w:abstractNumId w:val="33"/>
  </w:num>
  <w:num w:numId="12">
    <w:abstractNumId w:val="27"/>
  </w:num>
  <w:num w:numId="13">
    <w:abstractNumId w:val="18"/>
  </w:num>
  <w:num w:numId="14">
    <w:abstractNumId w:val="12"/>
  </w:num>
  <w:num w:numId="15">
    <w:abstractNumId w:val="1"/>
  </w:num>
  <w:num w:numId="16">
    <w:abstractNumId w:val="16"/>
  </w:num>
  <w:num w:numId="17">
    <w:abstractNumId w:val="23"/>
  </w:num>
  <w:num w:numId="18">
    <w:abstractNumId w:val="9"/>
  </w:num>
  <w:num w:numId="19">
    <w:abstractNumId w:val="1"/>
  </w:num>
  <w:num w:numId="20">
    <w:abstractNumId w:val="8"/>
  </w:num>
  <w:num w:numId="21">
    <w:abstractNumId w:val="6"/>
  </w:num>
  <w:num w:numId="22">
    <w:abstractNumId w:val="11"/>
  </w:num>
  <w:num w:numId="23">
    <w:abstractNumId w:val="0"/>
  </w:num>
  <w:num w:numId="24">
    <w:abstractNumId w:val="24"/>
  </w:num>
  <w:num w:numId="25">
    <w:abstractNumId w:val="4"/>
  </w:num>
  <w:num w:numId="26">
    <w:abstractNumId w:val="10"/>
  </w:num>
  <w:num w:numId="27">
    <w:abstractNumId w:val="19"/>
  </w:num>
  <w:num w:numId="28">
    <w:abstractNumId w:val="3"/>
  </w:num>
  <w:num w:numId="29">
    <w:abstractNumId w:val="25"/>
  </w:num>
  <w:num w:numId="30">
    <w:abstractNumId w:val="13"/>
  </w:num>
  <w:num w:numId="31">
    <w:abstractNumId w:val="32"/>
  </w:num>
  <w:num w:numId="32">
    <w:abstractNumId w:val="30"/>
  </w:num>
  <w:num w:numId="33">
    <w:abstractNumId w:val="31"/>
  </w:num>
  <w:num w:numId="34">
    <w:abstractNumId w:val="22"/>
  </w:num>
  <w:num w:numId="35">
    <w:abstractNumId w:val="2"/>
  </w:num>
  <w:num w:numId="36">
    <w:abstractNumId w:val="29"/>
  </w:num>
  <w:num w:numId="37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1" w:dllVersion="512" w:checkStyle="1"/>
  <w:activeWritingStyle w:appName="MSWord" w:lang="ru-MD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74F3"/>
    <w:rsid w:val="0000699F"/>
    <w:rsid w:val="000A5EB7"/>
    <w:rsid w:val="000B1B02"/>
    <w:rsid w:val="000F7158"/>
    <w:rsid w:val="00100BC2"/>
    <w:rsid w:val="00122C18"/>
    <w:rsid w:val="0012708E"/>
    <w:rsid w:val="001C6168"/>
    <w:rsid w:val="001F2162"/>
    <w:rsid w:val="00247EAD"/>
    <w:rsid w:val="0031695C"/>
    <w:rsid w:val="0033189A"/>
    <w:rsid w:val="00394EF4"/>
    <w:rsid w:val="003F32EA"/>
    <w:rsid w:val="004008E8"/>
    <w:rsid w:val="00481DDB"/>
    <w:rsid w:val="005058BF"/>
    <w:rsid w:val="00521569"/>
    <w:rsid w:val="0054275A"/>
    <w:rsid w:val="005762E2"/>
    <w:rsid w:val="005D0938"/>
    <w:rsid w:val="005F34CC"/>
    <w:rsid w:val="006357A7"/>
    <w:rsid w:val="00636D9C"/>
    <w:rsid w:val="00640885"/>
    <w:rsid w:val="0085370B"/>
    <w:rsid w:val="00894D41"/>
    <w:rsid w:val="008E3FF7"/>
    <w:rsid w:val="009377DC"/>
    <w:rsid w:val="00987A2B"/>
    <w:rsid w:val="009A0EC6"/>
    <w:rsid w:val="00B109F7"/>
    <w:rsid w:val="00B13B3E"/>
    <w:rsid w:val="00B50C80"/>
    <w:rsid w:val="00B56700"/>
    <w:rsid w:val="00BD3AA3"/>
    <w:rsid w:val="00C51866"/>
    <w:rsid w:val="00C54095"/>
    <w:rsid w:val="00C6443E"/>
    <w:rsid w:val="00C70FC7"/>
    <w:rsid w:val="00CB74F3"/>
    <w:rsid w:val="00D52EF6"/>
    <w:rsid w:val="00DA2739"/>
    <w:rsid w:val="00DB4FDE"/>
    <w:rsid w:val="00E06366"/>
    <w:rsid w:val="00E904EB"/>
    <w:rsid w:val="00E90790"/>
    <w:rsid w:val="00EB6A17"/>
    <w:rsid w:val="00EC393E"/>
    <w:rsid w:val="00F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2FD619-E8B3-40E6-946D-E9CBBA8E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5762E2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5762E2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3F32EA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pPr>
      <w:tabs>
        <w:tab w:val="right" w:pos="9061"/>
      </w:tabs>
    </w:pPr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8E3FF7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  <w:style w:type="paragraph" w:styleId="af7">
    <w:name w:val="Title"/>
    <w:basedOn w:val="a"/>
    <w:next w:val="a"/>
    <w:link w:val="af8"/>
    <w:qFormat/>
    <w:rsid w:val="008E3FF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rsid w:val="008E3FF7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0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1ECA9-8F6B-489F-A84F-BAF95EF3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2037</Words>
  <Characters>11617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13627</CharactersWithSpaces>
  <SharedDoc>false</SharedDoc>
  <HLinks>
    <vt:vector size="312" baseType="variant">
      <vt:variant>
        <vt:i4>1900598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1900598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_Toc177034390</vt:lpwstr>
      </vt:variant>
      <vt:variant>
        <vt:i4>1835062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_Toc177034389</vt:lpwstr>
      </vt:variant>
      <vt:variant>
        <vt:i4>1835062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_Toc177034388</vt:lpwstr>
      </vt:variant>
      <vt:variant>
        <vt:i4>1835062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_Toc177034387</vt:lpwstr>
      </vt:variant>
      <vt:variant>
        <vt:i4>1835062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_Toc177034386</vt:lpwstr>
      </vt:variant>
      <vt:variant>
        <vt:i4>1835062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_Toc177034385</vt:lpwstr>
      </vt:variant>
      <vt:variant>
        <vt:i4>1835062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_Toc177034384</vt:lpwstr>
      </vt:variant>
      <vt:variant>
        <vt:i4>1835062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_Toc177034383</vt:lpwstr>
      </vt:variant>
      <vt:variant>
        <vt:i4>1835062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_Toc177034382</vt:lpwstr>
      </vt:variant>
      <vt:variant>
        <vt:i4>1835062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_Toc177034381</vt:lpwstr>
      </vt:variant>
      <vt:variant>
        <vt:i4>1835062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_Toc177034380</vt:lpwstr>
      </vt:variant>
      <vt:variant>
        <vt:i4>1245238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_Toc177034379</vt:lpwstr>
      </vt:variant>
      <vt:variant>
        <vt:i4>1245238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_Toc177034378</vt:lpwstr>
      </vt:variant>
      <vt:variant>
        <vt:i4>1245238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_Toc177034377</vt:lpwstr>
      </vt:variant>
      <vt:variant>
        <vt:i4>1245238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_Toc177034376</vt:lpwstr>
      </vt:variant>
      <vt:variant>
        <vt:i4>1245238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_Toc177034375</vt:lpwstr>
      </vt:variant>
      <vt:variant>
        <vt:i4>1245238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_Toc177034374</vt:lpwstr>
      </vt:variant>
      <vt:variant>
        <vt:i4>1245238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1245238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_Toc177034372</vt:lpwstr>
      </vt:variant>
      <vt:variant>
        <vt:i4>1245238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_Toc177034371</vt:lpwstr>
      </vt:variant>
      <vt:variant>
        <vt:i4>1245238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_Toc177034370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_Toc177034369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_Toc177034365</vt:lpwstr>
      </vt:variant>
      <vt:variant>
        <vt:i4>1179702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_Toc177034363</vt:lpwstr>
      </vt:variant>
      <vt:variant>
        <vt:i4>1179702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_Toc177034362</vt:lpwstr>
      </vt:variant>
      <vt:variant>
        <vt:i4>1179702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_Toc177034361</vt:lpwstr>
      </vt:variant>
      <vt:variant>
        <vt:i4>1179702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_Toc177034358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_Toc177034354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1114166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_Toc177034350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_Toc177034349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_Toc177034348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_Toc177034347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_Toc177034346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_Toc177034345</vt:lpwstr>
      </vt:variant>
      <vt:variant>
        <vt:i4>1048630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_Toc177034344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_Toc177034343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_Toc177034340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Юлия</cp:lastModifiedBy>
  <cp:revision>3</cp:revision>
  <cp:lastPrinted>2004-12-03T11:11:00Z</cp:lastPrinted>
  <dcterms:created xsi:type="dcterms:W3CDTF">2019-03-27T14:04:00Z</dcterms:created>
  <dcterms:modified xsi:type="dcterms:W3CDTF">2019-03-27T14:30:00Z</dcterms:modified>
</cp:coreProperties>
</file>