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challenges facing agricultural systems – biodiversity loss, climate change, and corporate consolidation of food production, to name a few – demand transitions to more environmentally and socially sustainable agricultural systems </w:t>
      </w:r>
      <w:hyperlink r:id="rId7">
        <w:r w:rsidDel="00000000" w:rsidR="00000000" w:rsidRPr="00000000">
          <w:rPr>
            <w:rFonts w:ascii="Times New Roman" w:cs="Times New Roman" w:eastAsia="Times New Roman" w:hAnsi="Times New Roman"/>
            <w:sz w:val="24"/>
            <w:szCs w:val="24"/>
            <w:vertAlign w:val="baseline"/>
            <w:rtl w:val="0"/>
          </w:rPr>
          <w:t xml:space="preserve">Hebinck_Klerkx_Elzen_Kok_König_Schiller_Tschersich_van Mierlo_von Wirth_2021</w:t>
        </w:r>
      </w:hyperlink>
      <w:r w:rsidDel="00000000" w:rsidR="00000000" w:rsidRPr="00000000">
        <w:rPr>
          <w:rFonts w:ascii="Times New Roman" w:cs="Times New Roman" w:eastAsia="Times New Roman" w:hAnsi="Times New Roman"/>
          <w:sz w:val="24"/>
          <w:szCs w:val="24"/>
          <w:rtl w:val="0"/>
        </w:rPr>
        <w:t xml:space="preserve">. Supporting sustainability transitions, however, is no easy task. While the decision to adopt a new technology or change behavior is made at the individual level </w:t>
      </w:r>
      <w:hyperlink r:id="rId8">
        <w:r w:rsidDel="00000000" w:rsidR="00000000" w:rsidRPr="00000000">
          <w:rPr>
            <w:rFonts w:ascii="Times New Roman" w:cs="Times New Roman" w:eastAsia="Times New Roman" w:hAnsi="Times New Roman"/>
            <w:sz w:val="24"/>
            <w:szCs w:val="24"/>
            <w:vertAlign w:val="baseline"/>
            <w:rtl w:val="0"/>
          </w:rPr>
          <w:t xml:space="preserve">Buttel_Jr_Larson_1990_Rogers_2003</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individuals are shaped by the broader innovation system in which they are nested </w:t>
      </w:r>
      <w:hyperlink r:id="rId9">
        <w:r w:rsidDel="00000000" w:rsidR="00000000" w:rsidRPr="00000000">
          <w:rPr>
            <w:rFonts w:ascii="Times New Roman" w:cs="Times New Roman" w:eastAsia="Times New Roman" w:hAnsi="Times New Roman"/>
            <w:sz w:val="24"/>
            <w:szCs w:val="24"/>
            <w:vertAlign w:val="baseline"/>
            <w:rtl w:val="0"/>
          </w:rPr>
          <w:t xml:space="preserve">Klerkx_van Mierlo_Leeuwis_2012</w:t>
        </w:r>
      </w:hyperlink>
      <w:r w:rsidDel="00000000" w:rsidR="00000000" w:rsidRPr="00000000">
        <w:rPr>
          <w:rFonts w:ascii="Times New Roman" w:cs="Times New Roman" w:eastAsia="Times New Roman" w:hAnsi="Times New Roman"/>
          <w:sz w:val="24"/>
          <w:szCs w:val="24"/>
          <w:rtl w:val="0"/>
        </w:rPr>
        <w:t xml:space="preserve">. An innovation system is the complex of interactions between actors and institutions that nurture and diffuse new technologies or practices based on several interdependent processes, such as policymaking, knowledge creation, and market formation </w:t>
      </w:r>
      <w:hyperlink r:id="rId10">
        <w:r w:rsidDel="00000000" w:rsidR="00000000" w:rsidRPr="00000000">
          <w:rPr>
            <w:rFonts w:ascii="Times New Roman" w:cs="Times New Roman" w:eastAsia="Times New Roman" w:hAnsi="Times New Roman"/>
            <w:sz w:val="24"/>
            <w:szCs w:val="24"/>
            <w:vertAlign w:val="baseline"/>
            <w:rtl w:val="0"/>
          </w:rPr>
          <w:t xml:space="preserve">Bergek_Jacobsson_Carlsson_Lindmark_Rickne_2008</w:t>
        </w:r>
      </w:hyperlink>
      <w:r w:rsidDel="00000000" w:rsidR="00000000" w:rsidRPr="00000000">
        <w:rPr>
          <w:rFonts w:ascii="Times New Roman" w:cs="Times New Roman" w:eastAsia="Times New Roman" w:hAnsi="Times New Roman"/>
          <w:sz w:val="24"/>
          <w:szCs w:val="24"/>
          <w:rtl w:val="0"/>
        </w:rPr>
        <w:t xml:space="preserve">. The interplay between individual behaviors and system level processes is at the core of successful innovation and transitions. Which processes to foster for successful transitions, at what scale, and by whom are core questions in the niche management and innovation system literature </w:t>
      </w:r>
      <w:hyperlink r:id="rId11">
        <w:r w:rsidDel="00000000" w:rsidR="00000000" w:rsidRPr="00000000">
          <w:rPr>
            <w:rFonts w:ascii="Times New Roman" w:cs="Times New Roman" w:eastAsia="Times New Roman" w:hAnsi="Times New Roman"/>
            <w:sz w:val="24"/>
            <w:szCs w:val="24"/>
            <w:vertAlign w:val="baseline"/>
            <w:rtl w:val="0"/>
          </w:rPr>
          <w:t xml:space="preserve">Binz_Truffer_2017_Musiolik_Markard_Hekkert_Furrer_2020_Smith_Raven_2012_Suurs_2009</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Across three chapters, this dissertation addresses questions about sustainability transitions at both the individual and system levels using the case of organic seed. Among the inputs necessary for supporting a sustainable agricultural system, seeds are one of the most foundational. While the dominant seed breeding approach in countries like the United States is based on high-input, low-diversity and highly centralized conventional agricultural practices </w:t>
      </w:r>
      <w:hyperlink r:id="rId12">
        <w:r w:rsidDel="00000000" w:rsidR="00000000" w:rsidRPr="00000000">
          <w:rPr>
            <w:rFonts w:ascii="Times New Roman" w:cs="Times New Roman" w:eastAsia="Times New Roman" w:hAnsi="Times New Roman"/>
            <w:sz w:val="24"/>
            <w:szCs w:val="24"/>
            <w:vertAlign w:val="baseline"/>
            <w:rtl w:val="0"/>
          </w:rPr>
          <w:t xml:space="preserve">Lammerts van Bueren_Struik_van Eekeren_Nuijten_2018</w:t>
        </w:r>
      </w:hyperlink>
      <w:r w:rsidDel="00000000" w:rsidR="00000000" w:rsidRPr="00000000">
        <w:rPr>
          <w:rFonts w:ascii="Times New Roman" w:cs="Times New Roman" w:eastAsia="Times New Roman" w:hAnsi="Times New Roman"/>
          <w:sz w:val="24"/>
          <w:szCs w:val="24"/>
          <w:rtl w:val="0"/>
        </w:rPr>
        <w:t xml:space="preserve">, several alternatives (so-called "niches") have developed to support a more sustainable system. This work focuses on the organic agriculture niche, in which seed production systems are typically low-input and high diversity with polycentric management </w:t>
      </w:r>
      <w:hyperlink r:id="rId13">
        <w:r w:rsidDel="00000000" w:rsidR="00000000" w:rsidRPr="00000000">
          <w:rPr>
            <w:rFonts w:ascii="Times New Roman" w:cs="Times New Roman" w:eastAsia="Times New Roman" w:hAnsi="Times New Roman"/>
            <w:sz w:val="24"/>
            <w:szCs w:val="24"/>
            <w:vertAlign w:val="baseline"/>
            <w:rtl w:val="0"/>
          </w:rPr>
          <w:t xml:space="preserve">Colley_2022_Rohe_Oltmer_Wolter_Gmeiner_Tschersich_2022_Shelton_Tracy_2015</w:t>
        </w:r>
      </w:hyperlink>
      <w:r w:rsidDel="00000000" w:rsidR="00000000" w:rsidRPr="00000000">
        <w:rPr>
          <w:rFonts w:ascii="Times New Roman" w:cs="Times New Roman" w:eastAsia="Times New Roman" w:hAnsi="Times New Roman"/>
          <w:sz w:val="24"/>
          <w:szCs w:val="24"/>
          <w:rtl w:val="0"/>
        </w:rPr>
        <w:t xml:space="preserve">. The focus on organic seeds was inspired by the Organic Seed Alliance's (OSA) </w:t>
      </w:r>
      <w:r w:rsidDel="00000000" w:rsidR="00000000" w:rsidRPr="00000000">
        <w:rPr>
          <w:rFonts w:ascii="Times New Roman" w:cs="Times New Roman" w:eastAsia="Times New Roman" w:hAnsi="Times New Roman"/>
          <w:i w:val="1"/>
          <w:sz w:val="24"/>
          <w:szCs w:val="24"/>
          <w:rtl w:val="0"/>
        </w:rPr>
        <w:t xml:space="preserve">State of Organic Seed Reports</w:t>
      </w:r>
      <w:r w:rsidDel="00000000" w:rsidR="00000000" w:rsidRPr="00000000">
        <w:rPr>
          <w:rFonts w:ascii="Times New Roman" w:cs="Times New Roman" w:eastAsia="Times New Roman" w:hAnsi="Times New Roman"/>
          <w:sz w:val="24"/>
          <w:szCs w:val="24"/>
          <w:rtl w:val="0"/>
        </w:rPr>
        <w:t xml:space="preserve"> </w:t>
      </w:r>
      <w:hyperlink r:id="rId14">
        <w:r w:rsidDel="00000000" w:rsidR="00000000" w:rsidRPr="00000000">
          <w:rPr>
            <w:rFonts w:ascii="Times New Roman" w:cs="Times New Roman" w:eastAsia="Times New Roman" w:hAnsi="Times New Roman"/>
            <w:sz w:val="24"/>
            <w:szCs w:val="24"/>
            <w:vertAlign w:val="baseline"/>
            <w:rtl w:val="0"/>
          </w:rPr>
          <w:t xml:space="preserve">Dillon_Hubbard_2011_Hubbard_Zystro_2016</w:t>
        </w:r>
      </w:hyperlink>
      <w:r w:rsidDel="00000000" w:rsidR="00000000" w:rsidRPr="00000000">
        <w:rPr>
          <w:rFonts w:ascii="Times New Roman" w:cs="Times New Roman" w:eastAsia="Times New Roman" w:hAnsi="Times New Roman"/>
          <w:sz w:val="24"/>
          <w:szCs w:val="24"/>
          <w:rtl w:val="0"/>
        </w:rPr>
        <w:t xml:space="preserve">. OSA's research conceives of</w:t>
      </w:r>
      <w:r w:rsidDel="00000000" w:rsidR="00000000" w:rsidRPr="00000000">
        <w:rPr>
          <w:rFonts w:ascii="Times New Roman" w:cs="Times New Roman" w:eastAsia="Times New Roman" w:hAnsi="Times New Roman"/>
          <w:sz w:val="24"/>
          <w:szCs w:val="24"/>
          <w:rtl w:val="0"/>
        </w:rPr>
        <w:t xml:space="preserve"> organic seed as part of a broader system – not just breeding and agronomy, but also policy support, funding mobilization, community building, and small business development. This framing mirrors the innovation systems approach, where environmental challenges require system-level assessments that connect and transcend disciplines. </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focus of Chapter 1 is on the organic standards in the United States, specifically, the so-called "seed loophole" whereby growers can use conventional seed if organic seed is not commercially available and still retain their organic status. We investigate whether this loophole helps reduce organic growers' seed sourcing burden, as the policy intends, or enables them to free-ride by using conventional seed despite commercial availability. Drawing on organic grower survey data from three cross-sections over the last 15 years, we use  beta regression to model individual growers' seed sourcing behavior. The results of the regression suggest that the loophole is a double-edged sword in that it both helps growers facing seed sourcing barriers, and allows some growers to take advantage of the flexibility by reducing their efforts in sourcing organic seed. The chapter concludes with several policy recommendations, which align with the 2022 </w:t>
      </w:r>
      <w:r w:rsidDel="00000000" w:rsidR="00000000" w:rsidRPr="00000000">
        <w:rPr>
          <w:rFonts w:ascii="Times New Roman" w:cs="Times New Roman" w:eastAsia="Times New Roman" w:hAnsi="Times New Roman"/>
          <w:i w:val="1"/>
          <w:sz w:val="24"/>
          <w:szCs w:val="24"/>
          <w:rtl w:val="0"/>
        </w:rPr>
        <w:t xml:space="preserve">State of Organic Seed Report </w:t>
      </w:r>
      <w:hyperlink r:id="rId15">
        <w:r w:rsidDel="00000000" w:rsidR="00000000" w:rsidRPr="00000000">
          <w:rPr>
            <w:rFonts w:ascii="Times New Roman" w:cs="Times New Roman" w:eastAsia="Times New Roman" w:hAnsi="Times New Roman"/>
            <w:sz w:val="24"/>
            <w:szCs w:val="24"/>
            <w:vertAlign w:val="baseline"/>
            <w:rtl w:val="0"/>
          </w:rPr>
          <w:t xml:space="preserve">Hubbard_Zystro_Wood_2022</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Beyond, it opens up a wider discussion about competing motivations and identities in sustainability transitions to be considered in future research</w:t>
      </w:r>
      <w:commentRangeStart w:id="0"/>
      <w:r w:rsidDel="00000000" w:rsidR="00000000" w:rsidRPr="00000000">
        <w:rPr>
          <w:rFonts w:ascii="Times New Roman" w:cs="Times New Roman" w:eastAsia="Times New Roman" w:hAnsi="Times New Roman"/>
          <w:sz w:val="24"/>
          <w:szCs w:val="24"/>
          <w:rtl w:val="0"/>
        </w:rPr>
        <w:t xml:space="preserve">.</w:t>
      </w:r>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Chapters 2 and 3 broaden the scope of study from the individual-level to the system-level. Both of these chapters draw on innovation system theory, combined with policy network and social network literature, to quantify and explain the relationships within the organic seed innovation system as a network. We use survey data of over 200 organic seed stakeholders within and outside the United States, collected between 2020-2022, to create a multi-functional innovation system network comprising 645 actors and 1206 connections between them. These connections operationalize knowledge and market-based relationships between organic seed producers, researchers, companies, and non-profit organizations.</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detail, Chapter 2 focuses on explaining the spatial structure of the US organic seed network, testing the propositions defined by the Global Innovation Systems framework </w:t>
      </w:r>
      <w:hyperlink r:id="rId16">
        <w:r w:rsidDel="00000000" w:rsidR="00000000" w:rsidRPr="00000000">
          <w:rPr>
            <w:rFonts w:ascii="Times New Roman" w:cs="Times New Roman" w:eastAsia="Times New Roman" w:hAnsi="Times New Roman"/>
            <w:sz w:val="24"/>
            <w:szCs w:val="24"/>
            <w:vertAlign w:val="baseline"/>
            <w:rtl w:val="0"/>
          </w:rPr>
          <w:t xml:space="preserve">Binz_Truffer_2017</w:t>
        </w:r>
      </w:hyperlink>
      <w:r w:rsidDel="00000000" w:rsidR="00000000" w:rsidRPr="00000000">
        <w:rPr>
          <w:rFonts w:ascii="Times New Roman" w:cs="Times New Roman" w:eastAsia="Times New Roman" w:hAnsi="Times New Roman"/>
          <w:sz w:val="24"/>
          <w:szCs w:val="24"/>
          <w:rtl w:val="0"/>
        </w:rPr>
        <w:t xml:space="preserve">. Using n-clan compositional analysis and Exponential Random Graph Modeling, we find support for the framework's proposition that types of innovation and production valuation are two key conditions predicting the innovation network's spatial structure. In line with these conditions, we find that the organic seed system has a "spatially sticky" network structure, in that both knowledge creation and product valuation are territorially embedded in different regions of the country. But even in a regionally sticky innovation system, we find that national-scale actors (e.g. the US national germplasm repository) serve a prominent role in connecting regional networks. These results highlight both the importance of tailoring policies to the place-specific needs of regional organic seed systems, and the importance of coordination from higher-scale actors. </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Chapter 3 investigates the processes and actor composition of the organic seed innovation system. Again using Exponential Random Graph Modeling on the organic seed networks, we test two theories in parallel: resource-based theory of system building </w:t>
      </w:r>
      <w:hyperlink r:id="rId17">
        <w:r w:rsidDel="00000000" w:rsidR="00000000" w:rsidRPr="00000000">
          <w:rPr>
            <w:rFonts w:ascii="Times New Roman" w:cs="Times New Roman" w:eastAsia="Times New Roman" w:hAnsi="Times New Roman"/>
            <w:sz w:val="24"/>
            <w:szCs w:val="24"/>
            <w:vertAlign w:val="baseline"/>
            <w:rtl w:val="0"/>
          </w:rPr>
          <w:t xml:space="preserve">Musiolik_Markard_Hekkert_Furrer_2020</w:t>
        </w:r>
      </w:hyperlink>
      <w:r w:rsidDel="00000000" w:rsidR="00000000" w:rsidRPr="00000000">
        <w:rPr>
          <w:rFonts w:ascii="Times New Roman" w:cs="Times New Roman" w:eastAsia="Times New Roman" w:hAnsi="Times New Roman"/>
          <w:sz w:val="24"/>
          <w:szCs w:val="24"/>
          <w:rtl w:val="0"/>
        </w:rPr>
        <w:t xml:space="preserve"> and the institutional logics of the multi-actor perspective </w:t>
      </w:r>
      <w:hyperlink r:id="rId18">
        <w:r w:rsidDel="00000000" w:rsidR="00000000" w:rsidRPr="00000000">
          <w:rPr>
            <w:rFonts w:ascii="Times New Roman" w:cs="Times New Roman" w:eastAsia="Times New Roman" w:hAnsi="Times New Roman"/>
            <w:sz w:val="24"/>
            <w:szCs w:val="24"/>
            <w:vertAlign w:val="baseline"/>
            <w:rtl w:val="0"/>
          </w:rPr>
          <w:t xml:space="preserve">Avelino_Wittmayer_2016</w:t>
        </w:r>
      </w:hyperlink>
      <w:r w:rsidDel="00000000" w:rsidR="00000000" w:rsidRPr="00000000">
        <w:rPr>
          <w:rFonts w:ascii="Times New Roman" w:cs="Times New Roman" w:eastAsia="Times New Roman" w:hAnsi="Times New Roman"/>
          <w:sz w:val="24"/>
          <w:szCs w:val="24"/>
          <w:rtl w:val="0"/>
        </w:rPr>
        <w:t xml:space="preserve">. In line with the expectations from the resource-based theory, we find that the organic seed network is shaped primarily by "partner mode" structures, suggesting that cooperative and complementary resource-sharing relationships drive system formation. Second, our results align with the proposition that actors' "institutional logics" affect their activity in certain network functions. For example, non-profit actors are generally more active in pre-competitive activities like knowledge creation, while for-profit actors are more active in market-based functions like value chain creation. The one exception is governmental actors, who are more active in market-based functions, pointing to their innovation-nurturing role when niches are not yet competitive. </w:t>
      </w:r>
    </w:p>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Together, the chapters in this dissertation make the following contributions. Chapter 1 analyzes the effects of the "seed loophole" in the United States organic standard, and </w:t>
      </w:r>
      <w:r w:rsidDel="00000000" w:rsidR="00000000" w:rsidRPr="00000000">
        <w:rPr>
          <w:rFonts w:ascii="Times New Roman" w:cs="Times New Roman" w:eastAsia="Times New Roman" w:hAnsi="Times New Roman"/>
          <w:sz w:val="24"/>
          <w:szCs w:val="24"/>
          <w:rtl w:val="0"/>
        </w:rPr>
        <w:t xml:space="preserve">makes</w:t>
      </w:r>
      <w:r w:rsidDel="00000000" w:rsidR="00000000" w:rsidRPr="00000000">
        <w:rPr>
          <w:rFonts w:ascii="Times New Roman" w:cs="Times New Roman" w:eastAsia="Times New Roman" w:hAnsi="Times New Roman"/>
          <w:sz w:val="24"/>
          <w:szCs w:val="24"/>
          <w:rtl w:val="0"/>
        </w:rPr>
        <w:t xml:space="preserve"> several policy recommendations for achieving the intended effects of the policy while curbing free-riding behavior on the part of organic growers. Chapters 2 and 3 contribute to the field of sustainability transitions by empirically testing and extending innovation system theory using inferential network analysis. By employing Exponential Random Graph Models, these chapters not only describe the organic seed network, but also investigate its structural determinants to help build a more generalizable understanding of innovation system formation. This work combines theory and methods from the two otherwise disparate bodies of knowledge on innovation systems and policy networks, to help deepen our understanding of managing and supporting sustainability transitions.</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pStyle w:val="Heading1"/>
        <w:rPr>
          <w:rFonts w:ascii="Times New Roman" w:cs="Times New Roman" w:eastAsia="Times New Roman" w:hAnsi="Times New Roman"/>
          <w:sz w:val="24"/>
          <w:szCs w:val="24"/>
        </w:rPr>
      </w:pPr>
      <w:bookmarkStart w:colFirst="0" w:colLast="0" w:name="_6y41xy7qln1r" w:id="0"/>
      <w:bookmarkEnd w:id="0"/>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hyperlink r:id="rId19">
        <w:r w:rsidDel="00000000" w:rsidR="00000000" w:rsidRPr="00000000">
          <w:rPr>
            <w:vertAlign w:val="baseline"/>
            <w:rtl w:val="0"/>
          </w:rPr>
          <w:t xml:space="preserve"> @article{Avelino_Wittmayer_2016, title={Shifting Power Relations in Sustainability Transitions: A Multi-actor Perspective}, volume={18}, ISSN={1523-908X}, DOI={10.1080/1523908X.2015.1112259}, abstractNote={This paper contributes to understanding transition politics by conceptualizing (shifting) power relations between actors in sustainability transitions. The authors introduce a Multi-actor Perspective as a heuristic framework for specifying (shifting) power relations between different categories of actors at different levels of aggregation. First, an overview is provided of how power and empowerment have been treated in transition research, and remaining questions are identified on who exercises power and who is empowered by and with whom. It is argued that theoretical frameworks and empirical analyses in transition studies lack precision when it comes to distinguishing between different types and levels of actors. In response, a Multi-actor Perspective (MaP) is developed, which distinguishes among four sectors (state, market, community, third sector), and between actors at different levels of aggregation: (1) sectors, (2) organizational actors, and (3) individual actors. The paper moves on to specify how the MaP contributes to understanding transition politics specifically in conceptualizing shifting power relations. Throughout the paper, empirical illustrations are used regarding public debates on welfare state reform, civil society and ‘Big Society’, as well as more specific empirical examples of community energy initiatives.}, number={5}, journal={Journal of Environmental Policy &amp; Planning}, publisher={Routledge}, author={Avelino, Flor and Wittmayer, Julia M.}, year={2016}, month={Oct}, pages={628–649} }</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hyperlink r:id="rId20">
        <w:r w:rsidDel="00000000" w:rsidR="00000000" w:rsidRPr="00000000">
          <w:rPr>
            <w:vertAlign w:val="baseline"/>
            <w:rtl w:val="0"/>
          </w:rPr>
          <w:t xml:space="preserve"> @article{Bergek_Jacobsson_Carlsson_Lindmark_Rickne_2008, title={Analyzing the functional dynamics of technological innovation systems: A scheme of analysis}, volume={37}, ISSN={0048-7333}, DOI={10.1016/j.respol.2007.12.003}, abstractNote={Various researchers and policy analysts have made empirical studies of innovation systems in order to understand their current structure and trace their dynamics. However, policy makers often experience difficulties in extracting practical guidelines from studies of this kind. In this paper, we operationalize our previous work on a functional approach to analyzing innovation system dynamics into a practical scheme of analysis for policy makers. The scheme is based on previous literature and our own experience in developing and applying functional thinking. It can be used by policy makers not only to identify the key policy issues but also to set policy goals.}, number={3}, journal={Research Policy}, author={Bergek, Anna and Jacobsson, Staffan and Carlsson, Bo and Lindmark, Sven and Rickne, Annika}, year={2008}, month={Apr}, pages={407–429}, language={en} }</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hyperlink r:id="rId21">
        <w:r w:rsidDel="00000000" w:rsidR="00000000" w:rsidRPr="00000000">
          <w:rPr>
            <w:vertAlign w:val="baseline"/>
            <w:rtl w:val="0"/>
          </w:rPr>
          <w:t xml:space="preserve"> @article{Binz_Truffer_2017, title={Global Innovation Systems—A conceptual framework for innovation dynamics in transnational contexts}, volume={46}, ISSN={0048-7333}, DOI={10.1016/j.respol.2017.05.012}, abstractNote={This paper proposes a framework for the analysis of technological innovation processes in transnational contexts. By drawing on existing innovation system concepts and recent elaborations on the globalization of innovation, we develop a multi-scalar conceptualization of innovation systems. Two key mechanisms are introduced and elaborated: the generation of resources in multi-locational subsystems and the establishment of structural couplings among them in a global innovation system (GIS). Based on this conceptualization, we introduce a typology of four generic GIS configurations, building on the innovation mode and valuation system in different industry types. The analytical framework is illustrated with insights from four emerging clean-tech industries. We state that a comprehensive GIS perspective is instrumental for developing a more explanatory stance in the innovation system literature and developing policy interventions that reflect the increasing spatial complexity in the innovation process.}, number={7}, journal={Research Policy}, author={Binz, Christian and Truffer, Bernhard}, year={2017}, month={Sep}, pages={1284–1298}, language={en} }</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hyperlink r:id="rId22">
        <w:r w:rsidDel="00000000" w:rsidR="00000000" w:rsidRPr="00000000">
          <w:rPr>
            <w:vertAlign w:val="baseline"/>
            <w:rtl w:val="0"/>
          </w:rPr>
          <w:t xml:space="preserve"> @book{Buttel_Jr_Larson_1990, address={New York}, edition={y First printing edition}, title={The Sociology of Agriculture:}, ISBN={978-0-313-26444-3}, abstractNote={Published to commemorate the 50th anniversary of the Rural Sociological Society, this monograph analyzes the nearly 90 years of rural sociological research on agriculture and provides a comprehensive overview of changing research focuses and theoretical approaches. As the authors note at the outset, there are a good number of continuities between early-20th-century rural sociology and what is now called the sociology of agriculture. There are also, they note, very substantial differences between contemporary sociology of agriculture scholarship and that which preceded it. Their aim throughout is to convey both continuities and discontinuities in theory, method, and approach. Intended primarily as a straightforward exposition of major scholarly themes, the volume is designed to be useful to readers from a variety of theoretical persuasions. The authors do, however, point to areas of weakness in theoretical or methodological approach that should be addressed in future research.The volume is organized around the three major eras of rural sociological conceptualizations of agriculture. The authors begin by examining the founding of U.S. rural sociology shortly after the turn of the century until the early 1950s, demonstrating that during this initial era the study of agriculture was largely construed as one of the many elements necessary for understanding the social fabric of rural community life. In the next section, they explore the social psychological/behaviorist tradition, which held sway from the early 1950s through the early 1970s and which conceptualized farmers as actors responding to stimuli such as new technologies and educational opportunities. The three chapters devoted to recent research in the emerging tradition of the new rural sociology address such topics as the political economy of agriculture, the environment of agriculture, and major theoretical trends in the sociology of agriculture. In their concluding chapter, the authors look toward the future of the sociology of agriculture and identify some potential problems as we move into the 1990s.}, publisher={Praeger}, author={Buttel, Frederick H. and Jr, Gilbert W. Gillespie and Larson, Olaf F.}, year={1990}, month={Feb}, language={English} }</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hyperlink r:id="rId23">
        <w:r w:rsidDel="00000000" w:rsidR="00000000" w:rsidRPr="00000000">
          <w:rPr>
            <w:vertAlign w:val="baseline"/>
            <w:rtl w:val="0"/>
          </w:rPr>
          <w:t xml:space="preserve"> @phdthesis{Colley_2022, title={Critical experiences in participatory approaches to build up organic plant breeding and seed systems}, url={https://research.wur.nl/en/publications/09218969-dc06-4fe9-91af-db058becaa3b}, DOI={10.18174/578477}, school={Wageningen University}, author={Colley, Micaela Ruth}, year={2022}, month={Nov}, language={en} }</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hyperlink r:id="rId24">
        <w:r w:rsidDel="00000000" w:rsidR="00000000" w:rsidRPr="00000000">
          <w:rPr>
            <w:vertAlign w:val="baseline"/>
            <w:rtl w:val="0"/>
          </w:rPr>
          <w:t xml:space="preserve"> @book{Dillon_Hubbard_2011, address={Port Townsend, WA}, title={State of Organic Seed, 2011}, institution={Organic Seed Allaince}, author={Dillon, Matthew and Hubbard, Kiki}, year={2011} }</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hyperlink r:id="rId25">
        <w:r w:rsidDel="00000000" w:rsidR="00000000" w:rsidRPr="00000000">
          <w:rPr>
            <w:vertAlign w:val="baseline"/>
            <w:rtl w:val="0"/>
          </w:rPr>
          <w:t xml:space="preserve"> @article{Hebinck_Klerkx_Elzen_Kok_König_Schiller_Tschersich_van Mierlo_von Wirth_2021, series={Celebrating a decade of EIST: What’s next for transition studies?}, title={Beyond food for thought – Directing sustainability transitions research to address fundamental change in agri-food systems}, volume={41}, ISSN={2210-4224}, DOI={10.1016/j.eist.2021.10.003}, abstractNote={Dominant agricultural and food systems lead to continuous resource depletion and unacceptable environmental and social impacts. While current calls for changing agrifood systems are increasingly framed in the context of sustainability transitions, they rarely make an explicit link to transition studies to address these systemic challenges, nor do transition scholars sufficiently address agri-food systems, despite their global pertinence. From this viewpoint, we illustrate several gaps in the agri-food systems debate that sustainability transition studies could engage in. We propose four avenues for research in the next decade of transition research on agri-food systems: 1) Crossscale dynamics between coupled systems; 2) Social justice, equity and inclusion; 3) Sustainability transitions in low- and middle-income countries; 4) Cross-sectoral governance and system integration. We call for a decade of new transition research that moves beyond single-scale and sector perspectives toward more inclusive and integrated analyses of food system dynamics.}, journal={Environmental Innovation and Societal Transitions}, author={Hebinck, Aniek and Klerkx, Laurens and Elzen, Boelie and Kok, Kristiaan P. W. and König, Bettina and Schiller, Katharina and Tschersich, Julia and van Mierlo, Barbara and von Wirth, Timo}, year={2021}, month={Dec}, pages={81–85}, collection={Celebrating a decade of EIST: What’s next for transition studies?}, language={en} }</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hyperlink r:id="rId26">
        <w:r w:rsidDel="00000000" w:rsidR="00000000" w:rsidRPr="00000000">
          <w:rPr>
            <w:vertAlign w:val="baseline"/>
            <w:rtl w:val="0"/>
          </w:rPr>
          <w:t xml:space="preserve"> @book{Hubbard_Zystro_2016, title={State of Organic Seed 2016}, url={http://seedalliance.org/index.php?mact=DocumentStore,cntnt01,download_form,0&amp;cntnt01pid=7&amp;cntnt01returnid=139}, institution={Organic Seed Alliance}, author={Hubbard, Kiki and Zystro, Jared}, year={2016}, pages={113} }</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hyperlink r:id="rId27">
        <w:r w:rsidDel="00000000" w:rsidR="00000000" w:rsidRPr="00000000">
          <w:rPr>
            <w:vertAlign w:val="baseline"/>
            <w:rtl w:val="0"/>
          </w:rPr>
          <w:t xml:space="preserve"> @book{Hubbard_Zystro_Wood_2022, address={Port Townsend, WA}, title={State of Organic Seed}, institution={Organic Seed Alliance}, author={Hubbard, Kiki and Zystro, Jared and Wood, Liza}, year={2022}, language={en} }</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hyperlink r:id="rId28">
        <w:r w:rsidDel="00000000" w:rsidR="00000000" w:rsidRPr="00000000">
          <w:rPr>
            <w:vertAlign w:val="baseline"/>
            <w:rtl w:val="0"/>
          </w:rPr>
          <w:t xml:space="preserve"> @inbook{Klerkx_van Mierlo_Leeuwis_2012, title={Evolution of systems approaches to agricultural innovation: concepts, analysis and interventions}, ISBN={978-94-007-4503-2}, DOI={10.1007/978-94-007-4503-2}, abstractNote={Farming Systems Research has three core characteristics: it builds on systems thinking, it depends on the close collaboration between social and biophysical sciences, and it relies on participation to build co-learning processes. Farming Systems Research posits that to contribute towards sustainable rural development, both interdisciplinary collaborations and local actor engagement are needed. Together, they allow for changes in understanding and changes in practices. This book gives an overview of the insights generated in 20 years of Farming Systems Research. It retraces the emergence and development of Farming Systems Research in Europe, summarises the state-of-the-art for key areas, and provides an outlook on new explorations, especially those tackling the dynamic nature of farming systems and their interaction with the natural environment and the context of action.}, booktitle={Farming Systems Research into the 21st Century: The New Dynamic}, author={Klerkx, Laureans and van Mierlo, Barbara and Leeuwis, Cees}, editor={Darnhofer, Ika and Gibbon, David and Dedieu, Benoit}, year={2012}, pages={457–483} }</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hyperlink r:id="rId29">
        <w:r w:rsidDel="00000000" w:rsidR="00000000" w:rsidRPr="00000000">
          <w:rPr>
            <w:vertAlign w:val="baseline"/>
            <w:rtl w:val="0"/>
          </w:rPr>
          <w:t xml:space="preserve"> @article{Lammerts van Bueren_Struik_van Eekeren_Nuijten_2018, title={Towards resilience through systems-based plant breeding. A review}, volume={38}, ISSN={17730155}, DOI={10.1007/s13593-018-0522-6}, abstractNote={How the growing world population can feed itself is a crucial, multi-dimensional problem that goes beyond sustainable development. Crop production will be affected by many changes in its climatic, agronomic, economic, and societal contexts. Therefore, breeders are challenged to produce cultivars that strengthen both ecological and societal resilience by striving for six international sustainability targets: food security, safety and quality; food and seed sovereignty; social justice; agrobiodiversity; ecosystem services; and climate robustness. Against this background, we review the state of the art in plant breeding by distinguishing four paradigmatic orientations that currently co-exist: community-based breeding, ecosystem-based breeding, trait-based breeding, and corporate-based breeding, analyzing differences among these orientations. Our main findings are: (1) all four orientations have significant value but none alone will achieve all six sustainability targets; (2) therefore, an overarching approach is needed: “systems-based breeding,” an orientation with the potential to synergize the strengths of the ways of thinking in the current paradigmatic orientations; (3) achieving that requires specific knowledge development and integration, a multitude of suitable breeding strategies and tools, and entrepreneurship, but also a change in attitude based on corporate responsibility, circular economy and true-cost accounting, and fair and green policies. We conclude that systems-based breeding can create strong interactions between all system components. While seeds are part of the common good and the basis of agrobiodiversity, a diversity in breeding approaches, based on different entrepreneurial approaches, can also be considered part of the required agrobiodiversity. To enable systems-based breeding to play a major role in creating sustainable agriculture, a shared sense of urgency is needed to realize the required changes in breeding approaches, institutions, regulations and protocols. Based on this concept of systems-based breeding, there are opportunities for breeders to play an active role in the development of an ecologically and societally resilient, sustainable agriculture.}, number={5}, journal={Agronomy for Sustainable Development}, publisher={Springer-Verlag France}, author={Lammerts van Bueren, Edith T. and Struik, Paul C. and van Eekeren, Nick and Nuijten, Edwin}, year={2018}, month={Oct} }</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hyperlink r:id="rId30">
        <w:r w:rsidDel="00000000" w:rsidR="00000000" w:rsidRPr="00000000">
          <w:rPr>
            <w:vertAlign w:val="baseline"/>
            <w:rtl w:val="0"/>
          </w:rPr>
          <w:t xml:space="preserve"> @article{Musiolik_Markard_Hekkert_Furrer_2020, title={Creating innovation systems: How resource constellations affect the strategies of system builders}, volume={153}, ISSN={0040-1625}, DOI={10.1016/j.techfore.2018.02.002}, abstractNote={Novel technologies require the support of larger technological innovation systems (TIS). A key feature of innovation systems are system resources - collective structures such as common standards, support programs, shared expectations or testing facilities all actors can use. System resources emerge either uncoordinated or as a result of strategic action by ‘system builders’. In this paper we explore the conditions of system building. Taking a strategy perspective, we analyze how system building depends on resource constellations at a certain point in time. Drawing from research in the field of stationary fuel cells in Germany, we identify three generic modes, of system building: a) the “single mode”, in which a system builder uses its own organizational resources to create a system resource, b) the “partner mode”, in which a system builder joins forces with partners in order to co-create system resources, and c) the “intermediary mode”, in which a system builder collaborates with other actors to set up an intermediary organization, which then works towards the creation of system resources. We show that the modes were chosen depending on i) what resources were initially available and ii) how they were distributed in the innovation system. Our paper contributes to a more differentiated understanding of system building in the TIS literature and beyond.}, journal={Technological Forecasting and Social Change}, author={Musiolik, Jörg and Markard, Jochen and Hekkert, Marko and Furrer, Bettina}, year={2020}, month={Apr}, pages={119209}, language={en} }</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hyperlink r:id="rId31">
        <w:r w:rsidDel="00000000" w:rsidR="00000000" w:rsidRPr="00000000">
          <w:rPr>
            <w:vertAlign w:val="baseline"/>
            <w:rtl w:val="0"/>
          </w:rPr>
          <w:t xml:space="preserve"> @book{Rogers_2003, address={New York}, edition={5th edition}, title={Diffusion of Innovations, 5th Edition}, ISBN={978-0-7432-2209-9}, abstractNote={Now in its fifth edition, Diffusion of Innovations is a classic work on the spread of new ideas.In this renowned book, Everett M. Rogers, professor and chair of the Department of Communication &amp; Journalism at the University of New Mexico, explains how new ideas spread via communication channels over time. Such innovations are initially perceived as uncertain and even risky. To overcome this uncertainty, most people seek out others like themselves who have already adopted the new idea. Thus the diffusion process consists of a few individuals who first adopt an innovation, then spread the word among their circle of acquaintances—a process which typically takes months or years. But there are exceptions: use of the Internet in the 1990s, for example, may have spread more rapidly than any other innovation in the history of humankind. Furthermore, the Internet is changing the very nature of diffusion by decreasing the importance of physical distance between people. The fifth edition addresses the spread of the Internet, and how it has transformed the way human beings communicate and adopt new ideas.}, publisher={Free Press}, author={Rogers, Everett M.}, year={2003}, month={Aug}, language={English} }</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hyperlink r:id="rId32">
        <w:r w:rsidDel="00000000" w:rsidR="00000000" w:rsidRPr="00000000">
          <w:rPr>
            <w:vertAlign w:val="baseline"/>
            <w:rtl w:val="0"/>
          </w:rPr>
          <w:t xml:space="preserve"> @article{Rohe_Oltmer_Wolter_Gmeiner_Tschersich_2022, title={Forever niche: Why do organically bred vegetable varieties not diffuse?}, volume={45}, ISSN={2210-4224}, DOI={10.1016/j.eist.2022.09.004}, abstractNote={While organic food increased its market share in conventional food retail, virtually all organic vegetables are still conventionally bred. For decades, organically bred vegetable varieties remained a market niche, despite their socio-ecological benefits. This paper conceptualizes actors and activities around organic breeding as a Technological Innovation System (TIS) and analyzes what prevents these varieties from widely diffusing into conventional supermarkets. Investigated systemic barriers relate to knowledge, market formation, investments, and legitimacy. The study is based on interviews with food retailers and (commons-based) breeding initiatives across Germany. Theoretically, the paper adds an innovation system perspective on the diffusion of organically bred varieties, a blind spot in the emerging seed commons debate. Furthermore, it contributes to sustainability transitions literature by introducing a novel empirical topic and reframing the TIS framework to analyze agri-food innovations. Identifying barriers and vicious cycles might support practitioners and policymakers seeking to diffuse this agri-food niche.}, journal={Environmental Innovation and Societal Transitions}, author={Rohe, Sebastian and Oltmer, Marie and Wolter, Hendrik and Gmeiner, Nina and Tschersich, Julia}, year={2022}, month={Dec}, pages={83–100}, language={en} }</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hyperlink r:id="rId33">
        <w:r w:rsidDel="00000000" w:rsidR="00000000" w:rsidRPr="00000000">
          <w:rPr>
            <w:vertAlign w:val="baseline"/>
            <w:rtl w:val="0"/>
          </w:rPr>
          <w:t xml:space="preserve"> @article{Shelton_Tracy_2015, title={Recurrent selection and participatory plant breeding for improvement of two organic open-pollinated sweet corn (Zea mays L.) populations}, volume={7}, ISSN={20711050}, DOI={10.3390/su7055139}, abstractNote={Organic growers face unique challenges when raising sweet corn, and benefit from varieties that maintain high eating quality, germinate consistently, deter insect pests, and resist diseases. Genotype by environment rank changes can occur in the performance of cultivars grown on conventional and organic farms, yet few varieties have been bred specifically for organic systems. The objective of this experiment was to evaluate the changes made to open-pollinated sweet corn populations using recurrent selection and a participatory plant breeding (PPB) methodology. From 2008 to 2011, four cycles of two open-pollinated (OP) sweet corn populations were selected on a certified organic farm in Minnesota using a modified ear-to-row recurrent selection scheme. Selections were made in collaboration with an organic farmer, with selection criteria based on traits identified by the farmer. In 2012 and 2013, the population cycles were evaluated in a randomized complete block design in two certified organic locations in Wisconsin, with multiple replications in each environment. Significant linear trends were found among cycles of selection for quantitative and qualitative traits, suggesting the changes were due to recurrent selection and PPB methodology for these populations. However, further improvement is necessary to satisfy the requirements for a useful cultivar for organic growers.}, number={5}, journal={Sustainability (Switzerland)}, publisher={MDPI AG}, author={Shelton, Adrienne C. and Tracy, William F.}, year={2015}, pages={5139–5152} }</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hyperlink r:id="rId34">
        <w:r w:rsidDel="00000000" w:rsidR="00000000" w:rsidRPr="00000000">
          <w:rPr>
            <w:vertAlign w:val="baseline"/>
            <w:rtl w:val="0"/>
          </w:rPr>
          <w:t xml:space="preserve"> @article{Smith_Raven_2012, title={What is protective space? Reconsidering niches in transitions to sustainability}, volume={41}, ISSN={00487333}, DOI={10.1016/J.RESPOL.2011.12.012}, abstractNote={The transitions literature emphasises the role of niches, defined as a protective space for path-breaking innovations. Surprisingly, the concept of protection has not been systematically interrogated. Our analysis identifies effective protection as having three properties in wider transition processes: shielding, nurturing and empowerment. Empowerment is considered the least developed in current niche literature. It can be understood as either processes that make niche innovations competitive within unchanged selection environments (fit-and-conform) or as processes that contribute to changes in mainstream selection environments in ways favourable to a path-breaking niche innovation (stretch-and-transform). Adopting a more constructivist perspective, we subsequently argue that analysis of these properties needs to be complemented with particular attention for the politics involved in their construction. Attention to empowerment confirms the view that niche actors need to link to wider processes of social change, and suggests how this arises. The paper ends with an outlook upon two promising research avenues: (1) the reconstruction of niche development in light of the present framework; (2) analyses of the diverse (political) narratives seeking to empower niches across time and space. © 2012 Elsevier B.V. All rights reserved.}, number={6}, journal={Research Policy}, author={Smith, Adrian and Raven, Rob}, year={2012}, month={Jul}, pages={1025–1036} }</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hyperlink r:id="rId35">
        <w:r w:rsidDel="00000000" w:rsidR="00000000" w:rsidRPr="00000000">
          <w:rPr>
            <w:vertAlign w:val="baseline"/>
            <w:rtl w:val="0"/>
          </w:rPr>
          <w:t xml:space="preserve"> @phdthesis{Suurs_2009, title={Motors of Sustainable Innovation}, url={https://dspace.library.uu.nl/handle/1874/33346}, school={Utrecht University}, author={Suurs, R. A.A.}, year={2009} }</w:t>
        </w:r>
      </w:hyperlink>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iza Wood" w:id="0" w:date="2023-09-06T12:51:36Z">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Furthermore, they reveal the interdependence of the organic standard policies with innovation policy more generally, linking individual-level seed use to innovation systems-level considerations.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zotero.org/google-docs/?Bgr4Nu" TargetMode="External"/><Relationship Id="rId22" Type="http://schemas.openxmlformats.org/officeDocument/2006/relationships/hyperlink" Target="https://www.zotero.org/google-docs/?Bgr4Nu" TargetMode="External"/><Relationship Id="rId21" Type="http://schemas.openxmlformats.org/officeDocument/2006/relationships/hyperlink" Target="https://www.zotero.org/google-docs/?Bgr4Nu" TargetMode="External"/><Relationship Id="rId24" Type="http://schemas.openxmlformats.org/officeDocument/2006/relationships/hyperlink" Target="https://www.zotero.org/google-docs/?Bgr4Nu" TargetMode="External"/><Relationship Id="rId23" Type="http://schemas.openxmlformats.org/officeDocument/2006/relationships/hyperlink" Target="https://www.zotero.org/google-docs/?Bgr4Nu"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zotero.org/google-docs/?DvQAj1" TargetMode="External"/><Relationship Id="rId26" Type="http://schemas.openxmlformats.org/officeDocument/2006/relationships/hyperlink" Target="https://www.zotero.org/google-docs/?Bgr4Nu" TargetMode="External"/><Relationship Id="rId25" Type="http://schemas.openxmlformats.org/officeDocument/2006/relationships/hyperlink" Target="https://www.zotero.org/google-docs/?Bgr4Nu" TargetMode="External"/><Relationship Id="rId28" Type="http://schemas.openxmlformats.org/officeDocument/2006/relationships/hyperlink" Target="https://www.zotero.org/google-docs/?Bgr4Nu" TargetMode="External"/><Relationship Id="rId27" Type="http://schemas.openxmlformats.org/officeDocument/2006/relationships/hyperlink" Target="https://www.zotero.org/google-docs/?Bgr4Nu"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www.zotero.org/google-docs/?Bgr4Nu" TargetMode="External"/><Relationship Id="rId7" Type="http://schemas.openxmlformats.org/officeDocument/2006/relationships/hyperlink" Target="https://www.zotero.org/google-docs/?rSRxF3" TargetMode="External"/><Relationship Id="rId8" Type="http://schemas.openxmlformats.org/officeDocument/2006/relationships/hyperlink" Target="https://www.zotero.org/google-docs/?Y0Mte3" TargetMode="External"/><Relationship Id="rId31" Type="http://schemas.openxmlformats.org/officeDocument/2006/relationships/hyperlink" Target="https://www.zotero.org/google-docs/?Bgr4Nu" TargetMode="External"/><Relationship Id="rId30" Type="http://schemas.openxmlformats.org/officeDocument/2006/relationships/hyperlink" Target="https://www.zotero.org/google-docs/?Bgr4Nu" TargetMode="External"/><Relationship Id="rId11" Type="http://schemas.openxmlformats.org/officeDocument/2006/relationships/hyperlink" Target="https://www.zotero.org/google-docs/?Y02tfR" TargetMode="External"/><Relationship Id="rId33" Type="http://schemas.openxmlformats.org/officeDocument/2006/relationships/hyperlink" Target="https://www.zotero.org/google-docs/?Bgr4Nu" TargetMode="External"/><Relationship Id="rId10" Type="http://schemas.openxmlformats.org/officeDocument/2006/relationships/hyperlink" Target="https://www.zotero.org/google-docs/?sr9u3m" TargetMode="External"/><Relationship Id="rId32" Type="http://schemas.openxmlformats.org/officeDocument/2006/relationships/hyperlink" Target="https://www.zotero.org/google-docs/?Bgr4Nu" TargetMode="External"/><Relationship Id="rId13" Type="http://schemas.openxmlformats.org/officeDocument/2006/relationships/hyperlink" Target="https://www.zotero.org/google-docs/?ZMVKpi" TargetMode="External"/><Relationship Id="rId35" Type="http://schemas.openxmlformats.org/officeDocument/2006/relationships/hyperlink" Target="https://www.zotero.org/google-docs/?Bgr4Nu" TargetMode="External"/><Relationship Id="rId12" Type="http://schemas.openxmlformats.org/officeDocument/2006/relationships/hyperlink" Target="https://www.zotero.org/google-docs/?QxCtrS" TargetMode="External"/><Relationship Id="rId34" Type="http://schemas.openxmlformats.org/officeDocument/2006/relationships/hyperlink" Target="https://www.zotero.org/google-docs/?Bgr4Nu" TargetMode="External"/><Relationship Id="rId15" Type="http://schemas.openxmlformats.org/officeDocument/2006/relationships/hyperlink" Target="https://www.zotero.org/google-docs/?XzyfRv" TargetMode="External"/><Relationship Id="rId14" Type="http://schemas.openxmlformats.org/officeDocument/2006/relationships/hyperlink" Target="https://www.zotero.org/google-docs/?T9FO7R" TargetMode="External"/><Relationship Id="rId17" Type="http://schemas.openxmlformats.org/officeDocument/2006/relationships/hyperlink" Target="https://www.zotero.org/google-docs/?H6obWt" TargetMode="External"/><Relationship Id="rId16" Type="http://schemas.openxmlformats.org/officeDocument/2006/relationships/hyperlink" Target="https://www.zotero.org/google-docs/?Gd8gyP" TargetMode="External"/><Relationship Id="rId19" Type="http://schemas.openxmlformats.org/officeDocument/2006/relationships/hyperlink" Target="https://www.zotero.org/google-docs/?Bgr4Nu" TargetMode="External"/><Relationship Id="rId18" Type="http://schemas.openxmlformats.org/officeDocument/2006/relationships/hyperlink" Target="https://www.zotero.org/google-docs/?pNAlB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