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Information-based</w:t>
      </w:r>
      <w:r>
        <w:t xml:space="preserve"> </w:t>
      </w:r>
      <w:r>
        <w:t xml:space="preserve">policy</w:t>
      </w:r>
      <w:r>
        <w:t xml:space="preserve"> </w:t>
      </w:r>
      <w:r>
        <w:t xml:space="preserve">tools</w:t>
      </w:r>
      <w:r>
        <w:t xml:space="preserve"> </w:t>
      </w:r>
      <w:r>
        <w:t xml:space="preserve">facilitate</w:t>
      </w:r>
      <w:r>
        <w:t xml:space="preserve"> </w:t>
      </w:r>
      <w:r>
        <w:t xml:space="preserve">California</w:t>
      </w:r>
      <w:r>
        <w:t xml:space="preserve"> </w:t>
      </w:r>
      <w:r>
        <w:t xml:space="preserve">farmers’</w:t>
      </w:r>
      <w:r>
        <w:t xml:space="preserve"> </w:t>
      </w:r>
      <w:r>
        <w:t xml:space="preserve">learning</w:t>
      </w:r>
      <w:r>
        <w:t xml:space="preserve"> </w:t>
      </w:r>
      <w:r>
        <w:t xml:space="preserve">about</w:t>
      </w:r>
      <w:r>
        <w:t xml:space="preserve"> </w:t>
      </w:r>
      <w:r>
        <w:t xml:space="preserve">nitrogen</w:t>
      </w:r>
      <w:r>
        <w:t xml:space="preserve"> </w:t>
      </w:r>
      <w:r>
        <w:t xml:space="preserve">management</w:t>
      </w:r>
    </w:p>
    <w:bookmarkStart w:id="21" w:name="in-markdown"/>
    <w:p>
      <w:pPr>
        <w:pStyle w:val="Heading2"/>
      </w:pPr>
      <w:r>
        <w:t xml:space="preserve">In Markdown</w:t>
      </w:r>
    </w:p>
    <w:tbl>
      <w:tblPr>
        <w:tblStyle w:val="Table"/>
        <w:tblW w:type="pct" w:w="4999.999999999999"/>
        <w:tblLook w:firstRow="1" w:lastRow="0" w:firstColumn="0" w:lastColumn="0" w:noHBand="0" w:noVBand="0"/>
      </w:tblPr>
      <w:tblGrid>
        <w:gridCol w:w="4525"/>
        <w:gridCol w:w="885"/>
        <w:gridCol w:w="885"/>
        <w:gridCol w:w="787"/>
        <w:gridCol w:w="83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 1a. Independent variable summary statistics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p>
            <w:pPr>
              <w:pStyle w:val="Compact"/>
              <w:jc w:val="center"/>
            </w:pPr>
            <w:r>
              <w:t xml:space="preserve">Max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Farm and farmer resources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Farm Size (acres)</w:t>
            </w:r>
          </w:p>
        </w:tc>
        <w:tc>
          <w:p>
            <w:pPr>
              <w:pStyle w:val="Compact"/>
              <w:jc w:val="center"/>
            </w:pPr>
            <w:r>
              <w:t xml:space="preserve">355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11,969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p>
            <w:pPr>
              <w:pStyle w:val="Compact"/>
              <w:jc w:val="center"/>
            </w:pPr>
            <w:r>
              <w:t xml:space="preserve">$100-200K</w:t>
            </w:r>
          </w:p>
        </w:tc>
        <w:tc>
          <w:p>
            <w:pPr>
              <w:pStyle w:val="Compact"/>
              <w:jc w:val="center"/>
            </w:pPr>
            <w:r>
              <w:t xml:space="preserve">$100-200K</w:t>
            </w:r>
          </w:p>
        </w:tc>
        <w:tc>
          <w:p>
            <w:pPr>
              <w:pStyle w:val="Compact"/>
              <w:jc w:val="center"/>
            </w:pPr>
            <w:r>
              <w:t xml:space="preserve">&lt; $50K</w:t>
            </w:r>
          </w:p>
        </w:tc>
        <w:tc>
          <w:p>
            <w:pPr>
              <w:pStyle w:val="Compact"/>
              <w:jc w:val="center"/>
            </w:pPr>
            <w:r>
              <w:t xml:space="preserve">&gt; $1M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p>
            <w:pPr>
              <w:pStyle w:val="Compact"/>
              <w:jc w:val="center"/>
            </w:pPr>
            <w:r>
              <w:t xml:space="preserve">Associate degree</w:t>
            </w:r>
          </w:p>
        </w:tc>
        <w:tc>
          <w:p>
            <w:pPr>
              <w:pStyle w:val="Compact"/>
              <w:jc w:val="center"/>
            </w:pPr>
            <w:r>
              <w:t xml:space="preserve">Associate degree</w:t>
            </w:r>
          </w:p>
        </w:tc>
        <w:tc>
          <w:p>
            <w:pPr>
              <w:pStyle w:val="Compact"/>
              <w:jc w:val="center"/>
            </w:pPr>
            <w:r>
              <w:t xml:space="preserve">Primary school</w:t>
            </w:r>
          </w:p>
        </w:tc>
        <w:tc>
          <w:p>
            <w:pPr>
              <w:pStyle w:val="Compact"/>
              <w:jc w:val="center"/>
            </w:pPr>
            <w:r>
              <w:t xml:space="preserve">Graduate degree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Awareness, attitudes, and perceptions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Aware of ag. impact</w:t>
            </w:r>
          </w:p>
        </w:tc>
        <w:tc>
          <w:p>
            <w:pPr>
              <w:pStyle w:val="Compact"/>
              <w:jc w:val="center"/>
            </w:pPr>
            <w:r>
              <w:t xml:space="preserve">3.47</w:t>
            </w:r>
          </w:p>
        </w:tc>
        <w:tc>
          <w:p>
            <w:pPr>
              <w:pStyle w:val="Compact"/>
              <w:jc w:val="center"/>
            </w:pPr>
            <w:r>
              <w:t xml:space="preserve">3.33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Stewardship attitudes</w:t>
            </w:r>
          </w:p>
        </w:tc>
        <w:tc>
          <w:p>
            <w:pPr>
              <w:pStyle w:val="Compact"/>
              <w:jc w:val="center"/>
            </w:pPr>
            <w:r>
              <w:t xml:space="preserve">3.86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Farm-as-business attitudes</w:t>
            </w:r>
          </w:p>
        </w:tc>
        <w:tc>
          <w:p>
            <w:pPr>
              <w:pStyle w:val="Compact"/>
              <w:jc w:val="center"/>
            </w:pPr>
            <w:r>
              <w:t xml:space="preserve">4.2</w:t>
            </w:r>
          </w:p>
        </w:tc>
        <w:tc>
          <w:p>
            <w:pPr>
              <w:pStyle w:val="Compact"/>
              <w:jc w:val="center"/>
            </w:pPr>
            <w:r>
              <w:t xml:space="preserve">4.4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Coalition perception</w:t>
            </w:r>
          </w:p>
        </w:tc>
        <w:tc>
          <w:p>
            <w:pPr>
              <w:pStyle w:val="Compact"/>
              <w:jc w:val="center"/>
            </w:pPr>
            <w:r>
              <w:t xml:space="preserve">3.48</w:t>
            </w:r>
          </w:p>
        </w:tc>
        <w:tc>
          <w:p>
            <w:pPr>
              <w:pStyle w:val="Compact"/>
              <w:jc w:val="center"/>
            </w:pPr>
            <w:r>
              <w:t xml:space="preserve">3.43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Informational support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Information source count</w:t>
            </w:r>
          </w:p>
        </w:tc>
        <w:tc>
          <w:p>
            <w:pPr>
              <w:pStyle w:val="Compact"/>
              <w:jc w:val="center"/>
            </w:pPr>
            <w:r>
              <w:t xml:space="preserve">3.38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Attends self-certification course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Table 1b. Learning statements: proportions of respondents in each category. The NMP/FEP…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Sometimes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Helps me analyze connections between N use and water movement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0.36/0.40</w:t>
            </w:r>
          </w:p>
        </w:tc>
        <w:tc>
          <w:p>
            <w:pPr>
              <w:pStyle w:val="Compact"/>
              <w:jc w:val="center"/>
            </w:pPr>
            <w:r>
              <w:t xml:space="preserve">0.32/0.32</w:t>
            </w:r>
          </w:p>
        </w:tc>
        <w:tc>
          <w:p>
            <w:pPr>
              <w:pStyle w:val="Compact"/>
              <w:jc w:val="center"/>
            </w:pPr>
            <w:r>
              <w:t xml:space="preserve">0.32/0.28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Helps me identify areas in my operations for increased efficiency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0.36/0.40</w:t>
            </w:r>
          </w:p>
        </w:tc>
        <w:tc>
          <w:p>
            <w:pPr>
              <w:pStyle w:val="Compact"/>
              <w:jc w:val="center"/>
            </w:pPr>
            <w:r>
              <w:t xml:space="preserve">0.34/0.32</w:t>
            </w:r>
          </w:p>
        </w:tc>
        <w:tc>
          <w:p>
            <w:pPr>
              <w:pStyle w:val="Compact"/>
              <w:jc w:val="center"/>
            </w:pPr>
            <w:r>
              <w:t xml:space="preserve">0.30/0.28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Helps me improve my N management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0.31/0.38</w:t>
            </w:r>
          </w:p>
        </w:tc>
        <w:tc>
          <w:p>
            <w:pPr>
              <w:pStyle w:val="Compact"/>
              <w:jc w:val="center"/>
            </w:pPr>
            <w:r>
              <w:t xml:space="preserve">0.34/0.33</w:t>
            </w:r>
          </w:p>
        </w:tc>
        <w:tc>
          <w:p>
            <w:pPr>
              <w:pStyle w:val="Compact"/>
              <w:jc w:val="center"/>
            </w:pPr>
            <w:r>
              <w:t xml:space="preserve">0.35/0.29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Has made me change my farm management significantly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0.64/0.63</w:t>
            </w:r>
          </w:p>
        </w:tc>
        <w:tc>
          <w:p>
            <w:pPr>
              <w:pStyle w:val="Compact"/>
              <w:jc w:val="center"/>
            </w:pPr>
            <w:r>
              <w:t xml:space="preserve">0.26/0.27</w:t>
            </w:r>
          </w:p>
        </w:tc>
        <w:tc>
          <w:p>
            <w:pPr>
              <w:pStyle w:val="Compact"/>
              <w:jc w:val="center"/>
            </w:pPr>
            <w:r>
              <w:t xml:space="preserve">0.10/0.10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Table 1c. Learning stages: proportions of respondents in each category for NMP/FEP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None</w:t>
            </w:r>
          </w:p>
        </w:tc>
        <w:tc>
          <w:p>
            <w:pPr>
              <w:pStyle w:val="Compact"/>
              <w:jc w:val="center"/>
            </w:pPr>
            <w:r>
              <w:t xml:space="preserve">Conceptual</w:t>
            </w:r>
          </w:p>
        </w:tc>
        <w:tc>
          <w:p>
            <w:pPr>
              <w:pStyle w:val="Compact"/>
              <w:jc w:val="center"/>
            </w:pPr>
            <w:r>
              <w:t xml:space="preserve">Applied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stage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0.29/0.35</w:t>
            </w:r>
          </w:p>
        </w:tc>
        <w:tc>
          <w:p>
            <w:pPr>
              <w:pStyle w:val="Compact"/>
              <w:jc w:val="center"/>
            </w:pPr>
            <w:r>
              <w:t xml:space="preserve">0.37/0.30</w:t>
            </w:r>
          </w:p>
        </w:tc>
        <w:tc>
          <w:p>
            <w:pPr>
              <w:pStyle w:val="Compact"/>
              <w:jc w:val="center"/>
            </w:pPr>
            <w:r>
              <w:t xml:space="preserve">0.34/0.35</w:t>
            </w:r>
          </w:p>
        </w:tc>
      </w:tr>
    </w:tbl>
    <w:p>
      <w:pPr>
        <w:pStyle w:val="BodyText"/>
      </w:pPr>
      <w:r>
        <w:drawing>
          <wp:inline>
            <wp:extent cx="5334000" cy="177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per_outputs_files/figure-docx/learning%20stages%20grid%20arrang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5" w:name="markdown"/>
    <w:p>
      <w:pPr>
        <w:pStyle w:val="Heading2"/>
      </w:pPr>
      <w:r>
        <w:t xml:space="preserve">Markdown</w:t>
      </w:r>
    </w:p>
    <w:tbl>
      <w:tblPr>
        <w:tblStyle w:val="Table"/>
        <w:tblW w:type="pct" w:w="4999.999999999999"/>
        <w:tblLook w:firstRow="1" w:lastRow="0" w:firstColumn="0" w:lastColumn="0" w:noHBand="0" w:noVBand="0"/>
      </w:tblPr>
      <w:tblGrid>
        <w:gridCol w:w="3368"/>
        <w:gridCol w:w="945"/>
        <w:gridCol w:w="472"/>
        <w:gridCol w:w="443"/>
        <w:gridCol w:w="472"/>
        <w:gridCol w:w="827"/>
        <w:gridCol w:w="472"/>
        <w:gridCol w:w="443"/>
        <w:gridCol w:w="47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 2. Sequential logit exponentiated coefficients and confidence intervals for learning stages of NMP and FEP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Nitrogen Management Plan (NMP)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Farm Evaluation Plan (FEP)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Conceptual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Applied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Conceptual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Applied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Odds</w:t>
            </w:r>
          </w:p>
        </w:tc>
        <w:tc>
          <w:p>
            <w:pPr>
              <w:pStyle w:val="Compact"/>
              <w:jc w:val="center"/>
            </w:pPr>
            <w:r>
              <w:t xml:space="preserve">95% CI</w:t>
            </w:r>
          </w:p>
        </w:tc>
        <w:tc>
          <w:p>
            <w:pPr>
              <w:pStyle w:val="Compact"/>
              <w:jc w:val="center"/>
            </w:pPr>
            <w:r>
              <w:t xml:space="preserve">Odds</w:t>
            </w:r>
          </w:p>
        </w:tc>
        <w:tc>
          <w:p>
            <w:pPr>
              <w:pStyle w:val="Compact"/>
              <w:jc w:val="center"/>
            </w:pPr>
            <w:r>
              <w:t xml:space="preserve">95% CI</w:t>
            </w:r>
          </w:p>
        </w:tc>
        <w:tc>
          <w:p>
            <w:pPr>
              <w:pStyle w:val="Compact"/>
              <w:jc w:val="center"/>
            </w:pPr>
            <w:r>
              <w:t xml:space="preserve">Odds</w:t>
            </w:r>
          </w:p>
        </w:tc>
        <w:tc>
          <w:p>
            <w:pPr>
              <w:pStyle w:val="Compact"/>
              <w:jc w:val="center"/>
            </w:pPr>
            <w:r>
              <w:t xml:space="preserve">95% CI</w:t>
            </w:r>
          </w:p>
        </w:tc>
        <w:tc>
          <w:p>
            <w:pPr>
              <w:pStyle w:val="Compact"/>
              <w:jc w:val="center"/>
            </w:pPr>
            <w:r>
              <w:t xml:space="preserve">Odds</w:t>
            </w:r>
          </w:p>
        </w:tc>
        <w:tc>
          <w:p>
            <w:pPr>
              <w:pStyle w:val="Compact"/>
              <w:jc w:val="center"/>
            </w:pPr>
            <w:r>
              <w:t xml:space="preserve">95% CI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0.005</w:t>
            </w:r>
            <m:oMath>
              <m:sSup>
                <m:e>
                  <m:r>
                    <m:t>​</m:t>
                  </m:r>
                </m:e>
                <m:sup>
                  <m:r>
                    <m:t>*</m:t>
                  </m:r>
                  <m:r>
                    <m:t>*</m:t>
                  </m:r>
                  <m: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(0.001, 0.021)</w:t>
            </w:r>
          </w:p>
        </w:tc>
        <w:tc>
          <w:p>
            <w:pPr>
              <w:pStyle w:val="Compact"/>
              <w:jc w:val="center"/>
            </w:pPr>
            <w:r>
              <w:t xml:space="preserve">0.473</w:t>
            </w:r>
          </w:p>
        </w:tc>
        <w:tc>
          <w:p>
            <w:pPr>
              <w:pStyle w:val="Compact"/>
              <w:jc w:val="center"/>
            </w:pPr>
            <w:r>
              <w:t xml:space="preserve">(0.095, 2.371)</w:t>
            </w:r>
          </w:p>
        </w:tc>
        <w:tc>
          <w:p>
            <w:pPr>
              <w:pStyle w:val="Compact"/>
              <w:jc w:val="center"/>
            </w:pPr>
            <w:r>
              <w:t xml:space="preserve">0.009</w:t>
            </w:r>
            <m:oMath>
              <m:sSup>
                <m:e>
                  <m:r>
                    <m:t>​</m:t>
                  </m:r>
                </m:e>
                <m:sup>
                  <m:r>
                    <m:t>*</m:t>
                  </m:r>
                  <m:r>
                    <m:t>*</m:t>
                  </m:r>
                  <m: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(0.002, 0.039)</w:t>
            </w:r>
          </w:p>
        </w:tc>
        <w:tc>
          <w:p>
            <w:pPr>
              <w:pStyle w:val="Compact"/>
              <w:jc w:val="center"/>
            </w:pPr>
            <w:r>
              <w:t xml:space="preserve">1.065</w:t>
            </w:r>
          </w:p>
        </w:tc>
        <w:tc>
          <w:p>
            <w:pPr>
              <w:pStyle w:val="Compact"/>
              <w:jc w:val="center"/>
            </w:pPr>
            <w:r>
              <w:t xml:space="preserve">(0.173, 6.555)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Farm size (log acres)</w:t>
            </w:r>
          </w:p>
        </w:tc>
        <w:tc>
          <w:p>
            <w:pPr>
              <w:pStyle w:val="Compact"/>
              <w:jc w:val="center"/>
            </w:pPr>
            <w:r>
              <w:t xml:space="preserve">0.952</w:t>
            </w:r>
          </w:p>
        </w:tc>
        <w:tc>
          <w:p>
            <w:pPr>
              <w:pStyle w:val="Compact"/>
              <w:jc w:val="center"/>
            </w:pPr>
            <w:r>
              <w:t xml:space="preserve">(0.817, 1.11)</w:t>
            </w:r>
          </w:p>
        </w:tc>
        <w:tc>
          <w:p>
            <w:pPr>
              <w:pStyle w:val="Compact"/>
              <w:jc w:val="center"/>
            </w:pPr>
            <w:r>
              <w:t xml:space="preserve">0.966</w:t>
            </w:r>
          </w:p>
        </w:tc>
        <w:tc>
          <w:p>
            <w:pPr>
              <w:pStyle w:val="Compact"/>
              <w:jc w:val="center"/>
            </w:pPr>
            <w:r>
              <w:t xml:space="preserve">(0.837, 1.116)</w:t>
            </w:r>
          </w:p>
        </w:tc>
        <w:tc>
          <w:p>
            <w:pPr>
              <w:pStyle w:val="Compact"/>
              <w:jc w:val="center"/>
            </w:pPr>
            <w:r>
              <w:t xml:space="preserve">0.985</w:t>
            </w:r>
          </w:p>
        </w:tc>
        <w:tc>
          <w:p>
            <w:pPr>
              <w:pStyle w:val="Compact"/>
              <w:jc w:val="center"/>
            </w:pPr>
            <w:r>
              <w:t xml:space="preserve">(0.848, 1.144)</w:t>
            </w:r>
          </w:p>
        </w:tc>
        <w:tc>
          <w:p>
            <w:pPr>
              <w:pStyle w:val="Compact"/>
              <w:jc w:val="center"/>
            </w:pPr>
            <w:r>
              <w:t xml:space="preserve">0.988</w:t>
            </w:r>
          </w:p>
        </w:tc>
        <w:tc>
          <w:p>
            <w:pPr>
              <w:pStyle w:val="Compact"/>
              <w:jc w:val="center"/>
            </w:pPr>
            <w:r>
              <w:t xml:space="preserve">(0.84, 1.161)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p>
            <w:pPr>
              <w:pStyle w:val="Compact"/>
              <w:jc w:val="center"/>
            </w:pPr>
            <w:r>
              <w:t xml:space="preserve">0.882</w:t>
            </w:r>
          </w:p>
        </w:tc>
        <w:tc>
          <w:p>
            <w:pPr>
              <w:pStyle w:val="Compact"/>
              <w:jc w:val="center"/>
            </w:pPr>
            <w:r>
              <w:t xml:space="preserve">(0.751, 1.035)</w:t>
            </w:r>
          </w:p>
        </w:tc>
        <w:tc>
          <w:p>
            <w:pPr>
              <w:pStyle w:val="Compact"/>
              <w:jc w:val="center"/>
            </w:pPr>
            <w:r>
              <w:t xml:space="preserve">0.922</w:t>
            </w:r>
          </w:p>
        </w:tc>
        <w:tc>
          <w:p>
            <w:pPr>
              <w:pStyle w:val="Compact"/>
              <w:jc w:val="center"/>
            </w:pPr>
            <w:r>
              <w:t xml:space="preserve">(0.795, 1.07)</w:t>
            </w:r>
          </w:p>
        </w:tc>
        <w:tc>
          <w:p>
            <w:pPr>
              <w:pStyle w:val="Compact"/>
              <w:jc w:val="center"/>
            </w:pPr>
            <w:r>
              <w:t xml:space="preserve">0.857</w:t>
            </w:r>
            <m:oMath>
              <m:sSup>
                <m:e>
                  <m:r>
                    <m:t>​</m:t>
                  </m:r>
                </m:e>
                <m:sup>
                  <m:r>
                    <m:t>.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(0.733, 1.002)</w:t>
            </w:r>
          </w:p>
        </w:tc>
        <w:tc>
          <w:p>
            <w:pPr>
              <w:pStyle w:val="Compact"/>
              <w:jc w:val="center"/>
            </w:pPr>
            <w:r>
              <w:t xml:space="preserve">0.975</w:t>
            </w:r>
          </w:p>
        </w:tc>
        <w:tc>
          <w:p>
            <w:pPr>
              <w:pStyle w:val="Compact"/>
              <w:jc w:val="center"/>
            </w:pPr>
            <w:r>
              <w:t xml:space="preserve">(0.826, 1.151)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p>
            <w:pPr>
              <w:pStyle w:val="Compact"/>
              <w:jc w:val="center"/>
            </w:pPr>
            <w:r>
              <w:t xml:space="preserve">0.927</w:t>
            </w:r>
          </w:p>
        </w:tc>
        <w:tc>
          <w:p>
            <w:pPr>
              <w:pStyle w:val="Compact"/>
              <w:jc w:val="center"/>
            </w:pPr>
            <w:r>
              <w:t xml:space="preserve">(0.81, 1.059)</w:t>
            </w:r>
          </w:p>
        </w:tc>
        <w:tc>
          <w:p>
            <w:pPr>
              <w:pStyle w:val="Compact"/>
              <w:jc w:val="center"/>
            </w:pPr>
            <w:r>
              <w:t xml:space="preserve">0.854</w:t>
            </w:r>
            <m:oMath>
              <m:sSup>
                <m:e>
                  <m:r>
                    <m:t>​</m:t>
                  </m:r>
                </m:e>
                <m:sup>
                  <m: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(0.749, 0.974)</w:t>
            </w:r>
          </w:p>
        </w:tc>
        <w:tc>
          <w:p>
            <w:pPr>
              <w:pStyle w:val="Compact"/>
              <w:jc w:val="center"/>
            </w:pPr>
            <w:r>
              <w:t xml:space="preserve">0.899</w:t>
            </w:r>
          </w:p>
        </w:tc>
        <w:tc>
          <w:p>
            <w:pPr>
              <w:pStyle w:val="Compact"/>
              <w:jc w:val="center"/>
            </w:pPr>
            <w:r>
              <w:t xml:space="preserve">(0.782, 1.032)</w:t>
            </w:r>
          </w:p>
        </w:tc>
        <w:tc>
          <w:p>
            <w:pPr>
              <w:pStyle w:val="Compact"/>
              <w:jc w:val="center"/>
            </w:pPr>
            <w:r>
              <w:t xml:space="preserve">0.832</w:t>
            </w:r>
            <m:oMath>
              <m:sSup>
                <m:e>
                  <m:r>
                    <m:t>​</m:t>
                  </m:r>
                </m:e>
                <m:sup>
                  <m: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(0.714, 0.968)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Aware of ag. impact</w:t>
            </w:r>
          </w:p>
        </w:tc>
        <w:tc>
          <w:p>
            <w:pPr>
              <w:pStyle w:val="Compact"/>
              <w:jc w:val="center"/>
            </w:pPr>
            <w:r>
              <w:t xml:space="preserve">1.51</w:t>
            </w:r>
            <m:oMath>
              <m:sSup>
                <m:e>
                  <m:r>
                    <m:t>​</m:t>
                  </m:r>
                </m:e>
                <m:sup>
                  <m:r>
                    <m:t>*</m:t>
                  </m:r>
                  <m:r>
                    <m:t>*</m:t>
                  </m:r>
                  <m: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(1.225, 1.862)</w:t>
            </w:r>
          </w:p>
        </w:tc>
        <w:tc>
          <w:p>
            <w:pPr>
              <w:pStyle w:val="Compact"/>
              <w:jc w:val="center"/>
            </w:pPr>
            <w:r>
              <w:t xml:space="preserve">1.347</w:t>
            </w:r>
            <m:oMath>
              <m:sSup>
                <m:e>
                  <m:r>
                    <m:t>​</m:t>
                  </m:r>
                </m:e>
                <m:sup>
                  <m:r>
                    <m:t>*</m:t>
                  </m:r>
                  <m: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(1.102, 1.647)</w:t>
            </w:r>
          </w:p>
        </w:tc>
        <w:tc>
          <w:p>
            <w:pPr>
              <w:pStyle w:val="Compact"/>
              <w:jc w:val="center"/>
            </w:pPr>
            <w:r>
              <w:t xml:space="preserve">1.491</w:t>
            </w:r>
            <m:oMath>
              <m:sSup>
                <m:e>
                  <m:r>
                    <m:t>​</m:t>
                  </m:r>
                </m:e>
                <m:sup>
                  <m:r>
                    <m:t>*</m:t>
                  </m:r>
                  <m:r>
                    <m:t>*</m:t>
                  </m:r>
                  <m: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(1.207, 1.843)</w:t>
            </w:r>
          </w:p>
        </w:tc>
        <w:tc>
          <w:p>
            <w:pPr>
              <w:pStyle w:val="Compact"/>
              <w:jc w:val="center"/>
            </w:pPr>
            <w:r>
              <w:t xml:space="preserve">1.377</w:t>
            </w:r>
            <m:oMath>
              <m:sSup>
                <m:e>
                  <m:r>
                    <m:t>​</m:t>
                  </m:r>
                </m:e>
                <m:sup>
                  <m:r>
                    <m:t>*</m:t>
                  </m:r>
                  <m: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(1.093, 1.735)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Stewardship attitude</w:t>
            </w:r>
          </w:p>
        </w:tc>
        <w:tc>
          <w:p>
            <w:pPr>
              <w:pStyle w:val="Compact"/>
              <w:jc w:val="center"/>
            </w:pPr>
            <w:r>
              <w:t xml:space="preserve">1.475</w:t>
            </w:r>
            <m:oMath>
              <m:sSup>
                <m:e>
                  <m:r>
                    <m:t>​</m:t>
                  </m:r>
                </m:e>
                <m:sup>
                  <m:r>
                    <m:t>*</m:t>
                  </m:r>
                  <m:r>
                    <m:t>*</m:t>
                  </m:r>
                  <m: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(1.198, 1.817)</w:t>
            </w:r>
          </w:p>
        </w:tc>
        <w:tc>
          <w:p>
            <w:pPr>
              <w:pStyle w:val="Compact"/>
              <w:jc w:val="center"/>
            </w:pPr>
            <w:r>
              <w:t xml:space="preserve">1.107</w:t>
            </w:r>
          </w:p>
        </w:tc>
        <w:tc>
          <w:p>
            <w:pPr>
              <w:pStyle w:val="Compact"/>
              <w:jc w:val="center"/>
            </w:pPr>
            <w:r>
              <w:t xml:space="preserve">(0.874, 1.402)</w:t>
            </w:r>
          </w:p>
        </w:tc>
        <w:tc>
          <w:p>
            <w:pPr>
              <w:pStyle w:val="Compact"/>
              <w:jc w:val="center"/>
            </w:pPr>
            <w:r>
              <w:t xml:space="preserve">1.43</w:t>
            </w:r>
            <m:oMath>
              <m:sSup>
                <m:e>
                  <m:r>
                    <m:t>​</m:t>
                  </m:r>
                </m:e>
                <m:sup>
                  <m:r>
                    <m:t>*</m:t>
                  </m:r>
                  <m: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(1.155, 1.77)</w:t>
            </w:r>
          </w:p>
        </w:tc>
        <w:tc>
          <w:p>
            <w:pPr>
              <w:pStyle w:val="Compact"/>
              <w:jc w:val="center"/>
            </w:pPr>
            <w:r>
              <w:t xml:space="preserve">1.052</w:t>
            </w:r>
          </w:p>
        </w:tc>
        <w:tc>
          <w:p>
            <w:pPr>
              <w:pStyle w:val="Compact"/>
              <w:jc w:val="center"/>
            </w:pPr>
            <w:r>
              <w:t xml:space="preserve">(0.803, 1.378)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Farm-as-business attitude</w:t>
            </w:r>
          </w:p>
        </w:tc>
        <w:tc>
          <w:p>
            <w:pPr>
              <w:pStyle w:val="Compact"/>
              <w:jc w:val="center"/>
            </w:pPr>
            <w:r>
              <w:t xml:space="preserve">1.24</w:t>
            </w:r>
          </w:p>
        </w:tc>
        <w:tc>
          <w:p>
            <w:pPr>
              <w:pStyle w:val="Compact"/>
              <w:jc w:val="center"/>
            </w:pPr>
            <w:r>
              <w:t xml:space="preserve">(0.951, 1.615)</w:t>
            </w:r>
          </w:p>
        </w:tc>
        <w:tc>
          <w:p>
            <w:pPr>
              <w:pStyle w:val="Compact"/>
              <w:jc w:val="center"/>
            </w:pPr>
            <w:r>
              <w:t xml:space="preserve">0.722</w:t>
            </w:r>
            <m:oMath>
              <m:sSup>
                <m:e>
                  <m:r>
                    <m:t>​</m:t>
                  </m:r>
                </m:e>
                <m:sup>
                  <m: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(0.538, 0.969)</w:t>
            </w:r>
          </w:p>
        </w:tc>
        <w:tc>
          <w:p>
            <w:pPr>
              <w:pStyle w:val="Compact"/>
              <w:jc w:val="center"/>
            </w:pPr>
            <w:r>
              <w:t xml:space="preserve">1.198</w:t>
            </w:r>
          </w:p>
        </w:tc>
        <w:tc>
          <w:p>
            <w:pPr>
              <w:pStyle w:val="Compact"/>
              <w:jc w:val="center"/>
            </w:pPr>
            <w:r>
              <w:t xml:space="preserve">(0.91, 1.579)</w:t>
            </w:r>
          </w:p>
        </w:tc>
        <w:tc>
          <w:p>
            <w:pPr>
              <w:pStyle w:val="Compact"/>
              <w:jc w:val="center"/>
            </w:pPr>
            <w:r>
              <w:t xml:space="preserve">0.636</w:t>
            </w:r>
            <m:oMath>
              <m:sSup>
                <m:e>
                  <m:r>
                    <m:t>​</m:t>
                  </m:r>
                </m:e>
                <m:sup>
                  <m: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(0.45, 0.899)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Coalition perception</w:t>
            </w:r>
          </w:p>
        </w:tc>
        <w:tc>
          <w:p>
            <w:pPr>
              <w:pStyle w:val="Compact"/>
              <w:jc w:val="center"/>
            </w:pPr>
            <w:r>
              <w:t xml:space="preserve">2.491</w:t>
            </w:r>
            <m:oMath>
              <m:sSup>
                <m:e>
                  <m:r>
                    <m:t>​</m:t>
                  </m:r>
                </m:e>
                <m:sup>
                  <m:r>
                    <m:t>*</m:t>
                  </m:r>
                  <m:r>
                    <m:t>*</m:t>
                  </m:r>
                  <m: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(1.868, 3.322)</w:t>
            </w:r>
          </w:p>
        </w:tc>
        <w:tc>
          <w:p>
            <w:pPr>
              <w:pStyle w:val="Compact"/>
              <w:jc w:val="center"/>
            </w:pPr>
            <w:r>
              <w:t xml:space="preserve">1.353</w:t>
            </w:r>
            <m:oMath>
              <m:sSup>
                <m:e>
                  <m:r>
                    <m:t>​</m:t>
                  </m:r>
                </m:e>
                <m:sup>
                  <m: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(1.011, 1.81)</w:t>
            </w:r>
          </w:p>
        </w:tc>
        <w:tc>
          <w:p>
            <w:pPr>
              <w:pStyle w:val="Compact"/>
              <w:jc w:val="center"/>
            </w:pPr>
            <w:r>
              <w:t xml:space="preserve">2.205</w:t>
            </w:r>
            <m:oMath>
              <m:sSup>
                <m:e>
                  <m:r>
                    <m:t>​</m:t>
                  </m:r>
                </m:e>
                <m:sup>
                  <m:r>
                    <m:t>*</m:t>
                  </m:r>
                  <m:r>
                    <m:t>*</m:t>
                  </m:r>
                  <m: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(1.659, 2.931)</w:t>
            </w:r>
          </w:p>
        </w:tc>
        <w:tc>
          <w:p>
            <w:pPr>
              <w:pStyle w:val="Compact"/>
              <w:jc w:val="center"/>
            </w:pPr>
            <w:r>
              <w:t xml:space="preserve">1.245</w:t>
            </w:r>
          </w:p>
        </w:tc>
        <w:tc>
          <w:p>
            <w:pPr>
              <w:pStyle w:val="Compact"/>
              <w:jc w:val="center"/>
            </w:pPr>
            <w:r>
              <w:t xml:space="preserve">(0.902, 1.72)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Info. source count</w:t>
            </w:r>
          </w:p>
        </w:tc>
        <w:tc>
          <w:p>
            <w:pPr>
              <w:pStyle w:val="Compact"/>
              <w:jc w:val="center"/>
            </w:pPr>
            <w:r>
              <w:t xml:space="preserve">1.075</w:t>
            </w:r>
            <m:oMath>
              <m:sSup>
                <m:e>
                  <m:r>
                    <m:t>​</m:t>
                  </m:r>
                </m:e>
                <m:sup>
                  <m:r>
                    <m:t>.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(0.989, 1.168)</w:t>
            </w:r>
          </w:p>
        </w:tc>
        <w:tc>
          <w:p>
            <w:pPr>
              <w:pStyle w:val="Compact"/>
              <w:jc w:val="center"/>
            </w:pPr>
            <w:r>
              <w:t xml:space="preserve">1.145</w:t>
            </w:r>
            <m:oMath>
              <m:sSup>
                <m:e>
                  <m:r>
                    <m:t>​</m:t>
                  </m:r>
                </m:e>
                <m:sup>
                  <m:r>
                    <m:t>*</m:t>
                  </m:r>
                  <m:r>
                    <m:t>*</m:t>
                  </m:r>
                  <m: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(1.066, 1.23)</w:t>
            </w:r>
          </w:p>
        </w:tc>
        <w:tc>
          <w:p>
            <w:pPr>
              <w:pStyle w:val="Compact"/>
              <w:jc w:val="center"/>
            </w:pPr>
            <w:r>
              <w:t xml:space="preserve">1.085</w:t>
            </w:r>
            <m:oMath>
              <m:sSup>
                <m:e>
                  <m:r>
                    <m:t>​</m:t>
                  </m:r>
                </m:e>
                <m:sup>
                  <m: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(1, 1.177)</w:t>
            </w:r>
          </w:p>
        </w:tc>
        <w:tc>
          <w:p>
            <w:pPr>
              <w:pStyle w:val="Compact"/>
              <w:jc w:val="center"/>
            </w:pPr>
            <w:r>
              <w:t xml:space="preserve">1.205</w:t>
            </w:r>
            <m:oMath>
              <m:sSup>
                <m:e>
                  <m:r>
                    <m:t>​</m:t>
                  </m:r>
                </m:e>
                <m:sup>
                  <m:r>
                    <m:t>*</m:t>
                  </m:r>
                  <m:r>
                    <m:t>*</m:t>
                  </m:r>
                  <m: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(1.108, 1.312)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Self-certification</w:t>
            </w:r>
          </w:p>
        </w:tc>
        <w:tc>
          <w:p>
            <w:pPr>
              <w:pStyle w:val="Compact"/>
              <w:jc w:val="center"/>
            </w:pPr>
            <w:r>
              <w:t xml:space="preserve">1.788</w:t>
            </w:r>
            <m:oMath>
              <m:sSup>
                <m:e>
                  <m:r>
                    <m:t>​</m:t>
                  </m:r>
                </m:e>
                <m:sup>
                  <m:r>
                    <m:t>*</m:t>
                  </m:r>
                  <m: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(1.192, 2.682)</w:t>
            </w:r>
          </w:p>
        </w:tc>
        <w:tc>
          <w:p>
            <w:pPr>
              <w:pStyle w:val="Compact"/>
              <w:jc w:val="center"/>
            </w:pPr>
            <w:r>
              <w:t xml:space="preserve">1.207</w:t>
            </w:r>
          </w:p>
        </w:tc>
        <w:tc>
          <w:p>
            <w:pPr>
              <w:pStyle w:val="Compact"/>
              <w:jc w:val="center"/>
            </w:pPr>
            <w:r>
              <w:t xml:space="preserve">(0.809, 1.802)</w:t>
            </w:r>
          </w:p>
        </w:tc>
        <w:tc>
          <w:p>
            <w:pPr>
              <w:pStyle w:val="Compact"/>
              <w:jc w:val="center"/>
            </w:pPr>
            <w:r>
              <w:t xml:space="preserve">1.275</w:t>
            </w:r>
          </w:p>
        </w:tc>
        <w:tc>
          <w:p>
            <w:pPr>
              <w:pStyle w:val="Compact"/>
              <w:jc w:val="center"/>
            </w:pPr>
            <w:r>
              <w:t xml:space="preserve">(0.849, 1.914)</w:t>
            </w:r>
          </w:p>
        </w:tc>
        <w:tc>
          <w:p>
            <w:pPr>
              <w:pStyle w:val="Compact"/>
              <w:jc w:val="center"/>
            </w:pPr>
            <w:r>
              <w:t xml:space="preserve">1.154</w:t>
            </w:r>
          </w:p>
        </w:tc>
        <w:tc>
          <w:p>
            <w:pPr>
              <w:pStyle w:val="Compact"/>
              <w:jc w:val="center"/>
            </w:pPr>
            <w:r>
              <w:t xml:space="preserve">(0.738, 1.804)</w:t>
            </w:r>
          </w:p>
        </w:tc>
      </w:tr>
      <w:tr>
        <w:tc>
          <w:p>
            <w:pPr>
              <w:pStyle w:val="Compact"/>
              <w:jc w:val="left"/>
            </w:pPr>
            <m:oMath>
              <m:sSup>
                <m:e>
                  <m:r>
                    <m:t>​</m:t>
                  </m:r>
                </m:e>
                <m:sup>
                  <m:r>
                    <m:t>*</m:t>
                  </m:r>
                </m:sup>
              </m:sSup>
            </m:oMath>
            <w:r>
              <w:t xml:space="preserve"> </w:t>
            </w:r>
            <w:r>
              <w:t xml:space="preserve">p &lt; 0.05,</w:t>
            </w:r>
            <w:r>
              <w:t xml:space="preserve"> </w:t>
            </w:r>
            <m:oMath>
              <m:sSup>
                <m:e>
                  <m:r>
                    <m:t>​</m:t>
                  </m:r>
                </m:e>
                <m:sup>
                  <m:r>
                    <m:t>*</m:t>
                  </m:r>
                  <m:r>
                    <m:t>*</m:t>
                  </m:r>
                </m:sup>
              </m:sSup>
            </m:oMath>
            <w:r>
              <w:t xml:space="preserve"> </w:t>
            </w:r>
            <w:r>
              <w:t xml:space="preserve">p &lt; 0.01,</w:t>
            </w:r>
            <w:r>
              <w:t xml:space="preserve"> </w:t>
            </w:r>
            <m:oMath>
              <m:sSup>
                <m:e>
                  <m:r>
                    <m:t>​</m:t>
                  </m:r>
                </m:e>
                <m:sup>
                  <m:r>
                    <m:t>*</m:t>
                  </m:r>
                  <m:r>
                    <m:t>*</m:t>
                  </m:r>
                  <m:r>
                    <m:t>*</m:t>
                  </m:r>
                </m:sup>
              </m:sSup>
            </m:oMath>
            <w:r>
              <w:t xml:space="preserve"> </w:t>
            </w:r>
            <w:r>
              <w:t xml:space="preserve">p &lt; 0.001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pStyle w:val="BodyText"/>
      </w:pPr>
      <w:r>
        <w:drawing>
          <wp:inline>
            <wp:extent cx="5334000" cy="16668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per_outputs_files/figure-docx/predicted%20probs%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per_outputs_files/figure-docx/predicted%20probs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per_outputs_files/figure-docx/the%20info%20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Information-based policy tools facilitate California farmers’ learning about nitrogen management</dc:title>
  <dc:creator/>
  <cp:keywords/>
  <dcterms:created xsi:type="dcterms:W3CDTF">2021-10-14T19:21:24Z</dcterms:created>
  <dcterms:modified xsi:type="dcterms:W3CDTF">2021-10-14T19:21:24Z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output">
    <vt:lpwstr/>
  </property>
</Properties>
</file>