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432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Questions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Cronach.s.alpha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Construction</w:t>
            </w:r>
          </w:p>
        </w:tc>
      </w:tr>
      <w:tr>
        <w:trPr>
          <w:trHeight w:val="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 the last three years, how much were each of the following a factor in your decision NOT to purchase organic seed?</w:t>
            </w:r>
            <w:r>
              <w:rPr>
                <w:rFonts w:ascii="Times" w:hAnsi="Times" w:eastAsia="Times" w:cs="Times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Availability: Variety is not available as organic (a_1)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Quality: Lack of desirable genetic traits (a_2)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Quantity: Insufficient quantity of seed (a_3)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Form: Lack of seed treatments such as pelleting or priming (a_4)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Price (a_5)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Buyer requirement: Processor/buyer requires or supplies varieties that are not available organically (a_6)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Please indicate the extent to which you disagree or agree with the following statements: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Organic seed is important in maintaining the integrity of organic food production:(d_1)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Varieties bred for organic system management are important to the overall success of organic agriculture (d_2)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NA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This scale was reversed to represent ability, so that lower scores suggest lower ability (e.g. 1 = significant factor (low ability) and 4 = not a factor (high ability))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2025-08-13T13:50:00Z</dcterms:modified>
  <cp:category/>
</cp:coreProperties>
</file>